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1e107" w14:paraId="021e107" w:rsidRDefault="000508CA" w:rsidP="000508CA" w:rsidR="000508CA">
      <w:pPr>
        <w:pStyle w:val="Bezproreda"/>
        <w15:collapsed w:val="false"/>
      </w:pPr>
      <w:bookmarkStart w:name="OLE_LINK8" w:id="0"/>
      <w:bookmarkStart w:name="OLE_LINK9" w:id="1"/>
      <w:r>
        <w:t>TESLA ŠTEDNA BANKA d.d. u stečaju, OIB 82901735413</w:t>
      </w:r>
    </w:p>
    <w:p w:rsidRDefault="000508CA" w:rsidP="000508CA" w:rsidR="000508CA">
      <w:pPr>
        <w:pStyle w:val="Bezproreda"/>
      </w:pPr>
      <w:r>
        <w:t xml:space="preserve">Zagreb, Trg J. F. </w:t>
      </w:r>
      <w:proofErr w:type="spellStart"/>
      <w:r>
        <w:t>Kennedya</w:t>
      </w:r>
      <w:proofErr w:type="spellEnd"/>
      <w:r>
        <w:t xml:space="preserve"> 6b</w:t>
      </w:r>
    </w:p>
    <w:bookmarkEnd w:id="0"/>
    <w:bookmarkEnd w:id="1"/>
    <w:p w:rsidRDefault="000508CA" w:rsidP="000508CA" w:rsidR="000508CA">
      <w:pPr>
        <w:pStyle w:val="Bezproreda"/>
      </w:pPr>
      <w:r>
        <w:t xml:space="preserve">                                                                                                                         St-529/2018                                                                                              </w:t>
      </w:r>
    </w:p>
    <w:p w:rsidRDefault="000508CA" w:rsidP="000508CA" w:rsidR="000508CA">
      <w:pPr>
        <w:pStyle w:val="Bezproreda"/>
      </w:pPr>
    </w:p>
    <w:p w:rsidRDefault="006C2922" w:rsidP="000508CA" w:rsidR="006C2922">
      <w:pPr>
        <w:pStyle w:val="Bezproreda"/>
      </w:pPr>
      <w:r>
        <w:t xml:space="preserve">                                                                                                                          Zagreb, 2.7.2018.g</w:t>
      </w:r>
    </w:p>
    <w:p w:rsidRDefault="006C2922" w:rsidP="000508CA" w:rsidR="006C2922">
      <w:pPr>
        <w:pStyle w:val="Bezproreda"/>
      </w:pPr>
    </w:p>
    <w:p w:rsidRDefault="000508CA" w:rsidP="000508CA" w:rsidR="000508CA">
      <w:pPr>
        <w:pStyle w:val="Bezproreda"/>
      </w:pPr>
      <w:r>
        <w:t xml:space="preserve"> Trgovački sud u Zagreb</w:t>
      </w:r>
    </w:p>
    <w:p w:rsidRDefault="000508CA" w:rsidP="000508CA" w:rsidR="000508CA">
      <w:pPr>
        <w:pStyle w:val="Bezproreda"/>
      </w:pPr>
    </w:p>
    <w:p w:rsidRDefault="000508CA" w:rsidP="000508CA" w:rsidR="000508CA">
      <w:pPr>
        <w:pStyle w:val="Bezproreda"/>
        <w:rPr>
          <w:b/>
        </w:rPr>
      </w:pPr>
      <w:r>
        <w:t xml:space="preserve">                        </w:t>
      </w:r>
      <w:r>
        <w:rPr>
          <w:b/>
        </w:rPr>
        <w:t>IZVJEŠĆE STEČAJNOG UPRAVITELJA O GOSPODARSKOM POLOŽAJU</w:t>
      </w:r>
    </w:p>
    <w:p w:rsidRDefault="000508CA" w:rsidP="000508CA" w:rsidR="000508CA">
      <w:pPr>
        <w:pStyle w:val="Bezproreda"/>
        <w:rPr>
          <w:b/>
        </w:rPr>
      </w:pPr>
      <w:r>
        <w:rPr>
          <w:b/>
        </w:rPr>
        <w:t xml:space="preserve">                                                   DUŽNIKA I NJEGOVIM UZROCIMA</w:t>
      </w:r>
    </w:p>
    <w:p w:rsidRDefault="000508CA" w:rsidP="000508CA" w:rsidR="000508CA">
      <w:pPr>
        <w:pStyle w:val="Bezproreda"/>
      </w:pPr>
      <w:r>
        <w:rPr>
          <w:b/>
        </w:rPr>
        <w:t xml:space="preserve">          </w:t>
      </w:r>
    </w:p>
    <w:p w:rsidRDefault="000508CA" w:rsidP="000508CA" w:rsidR="000508CA">
      <w:pPr>
        <w:pStyle w:val="Bezproreda"/>
      </w:pPr>
      <w:r>
        <w:t xml:space="preserve">               </w:t>
      </w:r>
    </w:p>
    <w:p w:rsidRDefault="000508CA" w:rsidP="000508CA" w:rsidR="000508CA">
      <w:pPr>
        <w:pStyle w:val="Bezproreda"/>
      </w:pPr>
      <w:r>
        <w:t>I   OPĆI PODACI O DRUŠTVU</w:t>
      </w:r>
    </w:p>
    <w:p w:rsidRDefault="008030A8" w:rsidP="000508CA" w:rsidR="008030A8">
      <w:pPr>
        <w:pStyle w:val="Bezproreda"/>
      </w:pPr>
    </w:p>
    <w:p w:rsidRDefault="000508CA" w:rsidP="000508CA" w:rsidR="000508CA">
      <w:pPr>
        <w:pStyle w:val="Bezproreda"/>
      </w:pPr>
      <w:r>
        <w:t>Prema stanju upisa u sudski registar kod Trgovačkog suda u Zagrebu</w:t>
      </w:r>
      <w:r w:rsidR="006F4492">
        <w:t>,</w:t>
      </w:r>
      <w:r>
        <w:t xml:space="preserve"> Tesla štedna banka d.d., Zagreb, Trg J. F. </w:t>
      </w:r>
      <w:proofErr w:type="spellStart"/>
      <w:r>
        <w:t>Kennedya</w:t>
      </w:r>
      <w:proofErr w:type="spellEnd"/>
      <w:r>
        <w:t xml:space="preserve"> 6b,  registrirana je pod brojem MBS 080692019, OIB  82901735413 sa temeljnim kapitalom u  iznosu od 10.575.110,00  kuna. </w:t>
      </w:r>
    </w:p>
    <w:p w:rsidRDefault="000508CA" w:rsidP="000508CA" w:rsidR="000508CA">
      <w:pPr>
        <w:pStyle w:val="Bezproreda"/>
      </w:pPr>
    </w:p>
    <w:p w:rsidRDefault="000508CA" w:rsidP="000508CA" w:rsidR="000508CA">
      <w:pPr>
        <w:pStyle w:val="Bezproreda"/>
      </w:pPr>
      <w:r>
        <w:t xml:space="preserve">Predmet poslovanja: </w:t>
      </w:r>
    </w:p>
    <w:p w:rsidRDefault="000508CA" w:rsidP="000508CA" w:rsidR="000508CA">
      <w:pPr>
        <w:pStyle w:val="Bezproreda"/>
      </w:pPr>
    </w:p>
    <w:p w:rsidRDefault="000508CA" w:rsidP="000508CA" w:rsidR="000508CA">
      <w:pPr>
        <w:pStyle w:val="Bezproreda"/>
      </w:pPr>
      <w:r>
        <w:t>- bankovne usluge koje se sastoje od primanja novčanog depozita i odobravanja kredita i drugih plasmana</w:t>
      </w:r>
    </w:p>
    <w:p w:rsidRDefault="000508CA" w:rsidP="000508CA" w:rsidR="000508CA">
      <w:pPr>
        <w:pStyle w:val="Bezproreda"/>
      </w:pPr>
      <w:r>
        <w:t>- izdavanje garancija ili drugih jamstava</w:t>
      </w:r>
    </w:p>
    <w:p w:rsidRDefault="000508CA" w:rsidP="000508CA" w:rsidR="000508CA">
      <w:pPr>
        <w:pStyle w:val="Bezproreda"/>
      </w:pPr>
      <w:r>
        <w:t>- kreditiranje, uključujući potrošačke kredite i hipotekarne kredite</w:t>
      </w:r>
    </w:p>
    <w:p w:rsidRDefault="000508CA" w:rsidP="000508CA" w:rsidR="000508CA">
      <w:pPr>
        <w:pStyle w:val="Bezproreda"/>
      </w:pPr>
      <w:r>
        <w:t>- trgovanje u svoje ime i za svoj račun – instrumentima tržišta novca i ostalim prenosivim vrijednosnim papirima, - stranim sredstvima plaćanja uključujući mjenjačke poslove</w:t>
      </w:r>
    </w:p>
    <w:p w:rsidRDefault="000508CA" w:rsidP="000508CA" w:rsidR="000508CA">
      <w:pPr>
        <w:pStyle w:val="Bezproreda"/>
      </w:pPr>
      <w:r>
        <w:t xml:space="preserve">- obavljanje platnog prometa u zemlji sukladno posebnim propisima </w:t>
      </w:r>
    </w:p>
    <w:p w:rsidRDefault="000508CA" w:rsidP="000508CA" w:rsidR="000508CA">
      <w:pPr>
        <w:pStyle w:val="Bezproreda"/>
      </w:pPr>
      <w:r>
        <w:t xml:space="preserve">- prikupljanje, izrada, analiza i davanje informacija o kreditnoj sposobnosti pravnih i fizičkih osoba koje samostalno obavljaju djelatnost </w:t>
      </w:r>
    </w:p>
    <w:p w:rsidRDefault="000508CA" w:rsidP="000508CA" w:rsidR="000508CA">
      <w:pPr>
        <w:pStyle w:val="Bezproreda"/>
      </w:pPr>
      <w:r>
        <w:t>- posredovanje pri sklapanju financijskih poslova</w:t>
      </w:r>
    </w:p>
    <w:p w:rsidRDefault="000508CA" w:rsidP="000508CA" w:rsidR="000508CA">
      <w:pPr>
        <w:pStyle w:val="Bezproreda"/>
      </w:pPr>
    </w:p>
    <w:p w:rsidRDefault="000508CA" w:rsidP="000508CA" w:rsidR="000508CA">
      <w:pPr>
        <w:pStyle w:val="Bezproreda"/>
      </w:pPr>
    </w:p>
    <w:p w:rsidRDefault="000508CA" w:rsidP="000508CA" w:rsidR="000508CA">
      <w:pPr>
        <w:pStyle w:val="Bezproreda"/>
      </w:pPr>
      <w:r>
        <w:t>II  POSLOVNE AKTIVNOSTI I GOSPODARSKI POLOŽAJ</w:t>
      </w:r>
    </w:p>
    <w:p w:rsidRDefault="000508CA" w:rsidP="000508CA" w:rsidR="000508CA">
      <w:pPr>
        <w:pStyle w:val="Bezproreda"/>
      </w:pPr>
    </w:p>
    <w:p w:rsidRDefault="000508CA" w:rsidP="000508CA" w:rsidR="000508CA">
      <w:pPr>
        <w:pStyle w:val="Bezproreda"/>
      </w:pPr>
      <w:r>
        <w:t xml:space="preserve">Sukladno iznesenoj analizi poslovanja, odnosno pronalaženja investitora i poduzetim radnjama prije otvaranja stečaja opisanim u prijedlogu za otvaranje stečaja podnesenim od Hrvatske narodne banke dana 21.2.2018.g., proizlazi da Štedna banka nije u dužem periodu od dobivanja suglasnosti za rad, u travnju 2008.godine,  razvila poslovnu mrežu niti poslovanje koje bi iz poslovnih aktivnosti omogućilo stabilno poslovanje Štedne banke. Također su se tijekom nekoliko godina prije otvaranja stečaja,  pojavljivali zainteresirani investitori radi preuzimanja Štedne banke i dokapitalizacije,  no investitori ili nisu zadovoljavali uvjete ili su odustajali od zahtjeva za preuzimanjem Štedne banke. </w:t>
      </w:r>
    </w:p>
    <w:p w:rsidRDefault="000508CA" w:rsidP="000508CA" w:rsidR="000508CA">
      <w:pPr>
        <w:pStyle w:val="Bezproreda"/>
      </w:pPr>
    </w:p>
    <w:p w:rsidRDefault="000508CA" w:rsidP="000508CA" w:rsidR="000508CA">
      <w:pPr>
        <w:pStyle w:val="Bezproreda"/>
      </w:pPr>
      <w:r>
        <w:t>Prema odlukama Skupštine banke, te evidentiranim promjenama kapitala Štedne banke, proizlazi da su se  u dužem periodu od dobivanja odobrenja za rad, donosile odluke o smanjenju kapitala radi pokrića kontinuiranih gubitaka, te odluke o povećanju kapitala koji je u dužem periodu bio u funkciji pokrića troškova poslovanja, odnosno pokrića poslovnih gubitaka uslijed činjenice da Štedna banka nije razvila poslovnu mrežu i održiv model poslovanja.</w:t>
      </w:r>
    </w:p>
    <w:p w:rsidRDefault="000508CA" w:rsidP="000508CA" w:rsidR="000508CA">
      <w:pPr>
        <w:pStyle w:val="Bezproreda"/>
      </w:pPr>
      <w:r>
        <w:t xml:space="preserve"> </w:t>
      </w:r>
    </w:p>
    <w:p w:rsidRDefault="000508CA" w:rsidP="000508CA" w:rsidR="000508CA">
      <w:pPr>
        <w:pStyle w:val="Bezproreda"/>
      </w:pPr>
      <w:r>
        <w:t xml:space="preserve">Prema podacima iskazanih gubitaka u poslovanju, proizlazi da je Štedna banka  kontinuirano ostvarivala poslovne gubitke. Prema iskazanim poreznim gubicima, samo u nekoliko godina prije otvaranja stečaja, proizlazi da je u 2012.g. ostvaren porezni gubitak od 5,8 mil. kn, u 2013.g. 7,3 mil. kn, 2014.g. 5,9 mil. kn, 2015.g. 5,2 mil. kn, u 2016.g. 5,4 mil. kn i konačno za 2017.g. porezni gubitak </w:t>
      </w:r>
      <w:r>
        <w:lastRenderedPageBreak/>
        <w:t>od 4,2 mil. kn. Također prema privremenom obračunu u 2018.g do dana otvaranja stečaj, ostvaren je daljnji gubitak od 0,5 mil. kn.</w:t>
      </w:r>
    </w:p>
    <w:p w:rsidRDefault="000508CA" w:rsidP="000508CA" w:rsidR="000508CA">
      <w:pPr>
        <w:pStyle w:val="Bezproreda"/>
      </w:pPr>
    </w:p>
    <w:p w:rsidRDefault="000508CA" w:rsidP="000508CA" w:rsidR="000508CA">
      <w:pPr>
        <w:pStyle w:val="Bezproreda"/>
      </w:pPr>
    </w:p>
    <w:p w:rsidRDefault="000508CA" w:rsidP="000508CA" w:rsidR="000508CA">
      <w:pPr>
        <w:pStyle w:val="Bezproreda"/>
      </w:pPr>
      <w:r>
        <w:t>Navedeni model poslovanja uvjetovao je činjenicu da je Štedna banka na dan 31.12.2017.g. imala prema financijskim izvješćima imovinu  u iznosu od 1.535.661 kunu uz istovremene obaveze u iznosu od 6.608.897 kuna, a na dan otvaranja stečajnog postupka, nakon rezervacija, imovinu u iznosu od 1.184.861 kuna uz istovremeno iskazane obaveze od 6.813.231 kunu.</w:t>
      </w:r>
    </w:p>
    <w:p w:rsidRDefault="000508CA" w:rsidP="000508CA" w:rsidR="000508CA">
      <w:pPr>
        <w:pStyle w:val="Bezproreda"/>
      </w:pPr>
    </w:p>
    <w:p w:rsidRDefault="000508CA" w:rsidP="000508CA" w:rsidR="000508CA">
      <w:pPr>
        <w:pStyle w:val="Bezproreda"/>
      </w:pPr>
      <w:r>
        <w:t xml:space="preserve">Tesla štedna banka je duži period funkcionirala bez Uprave i Nadzornog odbora, odnosno Hrvatska narodna banka je 19.12.2016.g. uskratila suglasnost za ponovno imenovanje članova uprave, te je banka do imenovanja Posebne uprave poslovala bez Uprave. </w:t>
      </w:r>
    </w:p>
    <w:p w:rsidRDefault="000508CA" w:rsidP="000508CA" w:rsidR="000508CA">
      <w:pPr>
        <w:pStyle w:val="Bezproreda"/>
      </w:pPr>
    </w:p>
    <w:p w:rsidRDefault="000508CA" w:rsidP="000508CA" w:rsidR="000508CA">
      <w:pPr>
        <w:pStyle w:val="Bezproreda"/>
      </w:pPr>
      <w:r>
        <w:t xml:space="preserve">Nastavno na opisanu poziciju Štedne banke,  Hrvatska narodna banka  je dana 21.2.2018.g. </w:t>
      </w:r>
      <w:proofErr w:type="spellStart"/>
      <w:r>
        <w:t>podnesla</w:t>
      </w:r>
      <w:proofErr w:type="spellEnd"/>
      <w:r>
        <w:t xml:space="preserve"> prijedlog za otvaranje stečajnog postupka nad Štednom bankom uz imenovanje Posebne uprave. </w:t>
      </w:r>
    </w:p>
    <w:p w:rsidRDefault="000508CA" w:rsidP="000508CA" w:rsidR="000508CA">
      <w:pPr>
        <w:pStyle w:val="Bezproreda"/>
      </w:pPr>
    </w:p>
    <w:p w:rsidRDefault="000508CA" w:rsidP="000508CA" w:rsidR="000508CA">
      <w:pPr>
        <w:pStyle w:val="Bezproreda"/>
      </w:pPr>
      <w:r>
        <w:t xml:space="preserve">U trenutku preuzimanja banke od Posebne uprave, Štedna banka se nalazila u tuđim prostorima za koje je istekao zakup, te je Posebna uprava imenovana od HNB-a dana 9.8.2018.g. napustila poslovne prostorije u Zagrebu, Trg J. F. </w:t>
      </w:r>
      <w:proofErr w:type="spellStart"/>
      <w:r>
        <w:t>Kennedya</w:t>
      </w:r>
      <w:proofErr w:type="spellEnd"/>
      <w:r>
        <w:t xml:space="preserve"> 6b, te cjelokupnu dokumentaciju premjestila i informatičku opremu banke demontirala, odnosno stavila van funkcije uz nužno premještanje elemenata informacijski sustav banke   u prostore HNB-a u Zagrebu u </w:t>
      </w:r>
      <w:proofErr w:type="spellStart"/>
      <w:r>
        <w:t>Jurišićevoj</w:t>
      </w:r>
      <w:proofErr w:type="spellEnd"/>
      <w:r>
        <w:t xml:space="preserve"> ulici i u skladište smješteno na Zagrebačkom velesajmu. Prema primopredajnom zapisniku između Zakupodavca i Posebne uprave banke, namještaj koji se nalazio u zakupljenom prostoru ostao je u prostorijama, te je isti privremeno preuzeo novi Zakupnik, BDO savjetovanje d.o.o.. Također se dio uredskog namještaja nekoliko godina nalazi u zakupljenom prostoru na lokaciji Zagreb, </w:t>
      </w:r>
      <w:proofErr w:type="spellStart"/>
      <w:r>
        <w:t>Zvonigradska</w:t>
      </w:r>
      <w:proofErr w:type="spellEnd"/>
      <w:r>
        <w:t xml:space="preserve"> 18. Izvršenim uvidom u predmetni namještaj, utvrđeno je da se radi o jednostavnom pločastom namještaju koji po svojem izgledu je u dobrom stanju, no ne predstavlja namještaj posebne izvedbe i kvalitete. Za namještaj koji je u rastavljenom stanju nije zbog malog prostora u kojem se nalazi uopće moguće utvrditi da li sadrži sve dijelove niti stanje.  </w:t>
      </w:r>
    </w:p>
    <w:p w:rsidRDefault="000508CA" w:rsidP="000508CA" w:rsidR="000508CA">
      <w:pPr>
        <w:pStyle w:val="Bezproreda"/>
      </w:pPr>
    </w:p>
    <w:p w:rsidRDefault="000508CA" w:rsidP="000508CA" w:rsidR="000508CA">
      <w:pPr>
        <w:pStyle w:val="Bezproreda"/>
      </w:pPr>
      <w:r>
        <w:t>Nakon otvaranja stečaja preuzeta je predmetna imovina, te su prioritetno poduzete radnje na osposobljavanju informacijskog sustava banke, koji je tijekom travnja stavljen u funkciju.</w:t>
      </w:r>
    </w:p>
    <w:p w:rsidRDefault="000508CA" w:rsidP="000508CA" w:rsidR="000508CA">
      <w:pPr>
        <w:pStyle w:val="Bezproreda"/>
      </w:pPr>
    </w:p>
    <w:p w:rsidRDefault="000508CA" w:rsidP="000508CA" w:rsidR="000508CA">
      <w:pPr>
        <w:pStyle w:val="Bezproreda"/>
      </w:pPr>
      <w:r>
        <w:t>Nakon otvaranja stečajnog postupka izvršene su slijedeće bitne radnje stečajnog postupka:</w:t>
      </w:r>
    </w:p>
    <w:p w:rsidRDefault="000508CA" w:rsidP="000508CA" w:rsidR="000508CA">
      <w:pPr>
        <w:pStyle w:val="Bezproreda"/>
      </w:pPr>
    </w:p>
    <w:p w:rsidRDefault="000508CA" w:rsidP="000508CA" w:rsidR="000508CA">
      <w:pPr>
        <w:pStyle w:val="Bezproreda"/>
      </w:pPr>
      <w:r>
        <w:t>- otkaza</w:t>
      </w:r>
      <w:r w:rsidR="006F4492">
        <w:t xml:space="preserve">ni su ugovori o radu zatečenih </w:t>
      </w:r>
      <w:r>
        <w:t xml:space="preserve"> zaposlenika</w:t>
      </w:r>
    </w:p>
    <w:p w:rsidRDefault="000508CA" w:rsidP="000508CA" w:rsidR="000508CA">
      <w:pPr>
        <w:pStyle w:val="Bezproreda"/>
      </w:pPr>
      <w:r>
        <w:t xml:space="preserve">- otvoren je novi račun stečajnog dužnika kod Privredne banke Zagreb </w:t>
      </w:r>
      <w:proofErr w:type="spellStart"/>
      <w:r>
        <w:t>dd</w:t>
      </w:r>
      <w:proofErr w:type="spellEnd"/>
    </w:p>
    <w:p w:rsidRDefault="000508CA" w:rsidP="000508CA" w:rsidR="000508CA">
      <w:pPr>
        <w:pStyle w:val="Bezproreda"/>
      </w:pPr>
      <w:r>
        <w:t>- poduzete su nužne radnje na naplati potraživanja banke temeljem kontakata sa klijentima i  slanjem zadužnica na naplatu</w:t>
      </w:r>
    </w:p>
    <w:p w:rsidRDefault="000508CA" w:rsidP="000508CA" w:rsidR="000508CA">
      <w:pPr>
        <w:pStyle w:val="Bezproreda"/>
      </w:pPr>
      <w:r>
        <w:t>- izvršen je popis imovine</w:t>
      </w:r>
    </w:p>
    <w:p w:rsidRDefault="000508CA" w:rsidP="000508CA" w:rsidR="000508CA">
      <w:pPr>
        <w:pStyle w:val="Bezproreda"/>
      </w:pPr>
      <w:r>
        <w:t>- poduzete su radnje na prikupljanju podataka o  imovini klijenata i jamaca putem Državne geodetske uprave, SKDD-a i MUP-a u svrhu procjene i poduzimanja budućih daljnjih radnji radi naplate potraživanja</w:t>
      </w:r>
    </w:p>
    <w:p w:rsidRDefault="000508CA" w:rsidP="000508CA" w:rsidR="000508CA">
      <w:pPr>
        <w:pStyle w:val="Bezproreda"/>
      </w:pPr>
      <w:r>
        <w:t>- predana je porezna prijava i javna objava financijskih izvješća za 2017.g. i za period do dana otvaranja stečaja 30.3.2018.g.</w:t>
      </w:r>
    </w:p>
    <w:p w:rsidRDefault="000508CA" w:rsidP="000508CA" w:rsidR="000508CA">
      <w:pPr>
        <w:pStyle w:val="Bezproreda"/>
      </w:pPr>
      <w:r>
        <w:t>- izvršna je isplata plaća do isteka otkaznog roka, te je uz suglasnost stečajnog suca sklopljen ugovor o radu na određeno vrijeme sa dva radnika. Uslijed pronalaska novog posla, jedan je radnik otišao, te je trenutačno po Ugovoru o radu na određeno vrijeme na poslovima knjigovodstva zaposlena jedna radnica, pri čemu je također za povremene poslove knjiženja izvoda računa i knjiženja  analitike po klijentima angažirana daljnja jedna djelatnica po Ugovoru o djelu koja je na navedenim poslovima radila veći broj godina prije otvaranja stečaja, te također tijekom mandata Posebne uprave</w:t>
      </w:r>
    </w:p>
    <w:p w:rsidRDefault="000508CA" w:rsidP="000508CA" w:rsidR="000508CA">
      <w:pPr>
        <w:pStyle w:val="Bezproreda"/>
      </w:pPr>
      <w:r>
        <w:lastRenderedPageBreak/>
        <w:t xml:space="preserve">- u narednom periodu tijekom kolovoza 2018.g. planiraju se poduzeti   radnje radi  angažiranja knjigovodstvenog servisa za daljnje vođenje poslovnih knjiga </w:t>
      </w:r>
    </w:p>
    <w:p w:rsidRDefault="000508CA" w:rsidP="000508CA" w:rsidR="000508CA">
      <w:pPr>
        <w:pStyle w:val="Bezproreda"/>
      </w:pPr>
      <w:r>
        <w:t>- za potrebe smještaja stečajnog dužnika sklopljen je  ugovor o zakupu do 31.7.2018.g.</w:t>
      </w:r>
      <w:r w:rsidR="006F4492">
        <w:t>,</w:t>
      </w:r>
      <w:r>
        <w:t xml:space="preserve">   prostora  površine od  17,60 m2</w:t>
      </w:r>
      <w:r w:rsidR="006F4492">
        <w:t>,</w:t>
      </w:r>
      <w:r>
        <w:t xml:space="preserve"> koji će biti nadalje produžen po potrebi postupka, te je ostao na snazi zatečeni ugovor o zakupu skladišnog prostora u kojem se nalazi rastavljeni namještaj</w:t>
      </w:r>
    </w:p>
    <w:p w:rsidRDefault="000508CA" w:rsidP="000508CA" w:rsidR="000508CA">
      <w:pPr>
        <w:pStyle w:val="Bezproreda"/>
      </w:pPr>
      <w:r>
        <w:t>- podnesen je prijedlog za odbačaj prijave tražbine Fonda za razvoj Republike Srbije po osnovi Ugovora o podređenom / subordiniranom kreditu ( instrumentu dopunskog kapitala ) u iznosu od 4.037.649,66 kuna</w:t>
      </w:r>
    </w:p>
    <w:p w:rsidRDefault="000508CA" w:rsidP="000508CA" w:rsidR="000508CA">
      <w:pPr>
        <w:pStyle w:val="Bezproreda"/>
      </w:pPr>
    </w:p>
    <w:p w:rsidRDefault="000508CA" w:rsidP="000508CA" w:rsidR="000508CA">
      <w:pPr>
        <w:pStyle w:val="Bezproreda"/>
      </w:pPr>
    </w:p>
    <w:p w:rsidRDefault="000508CA" w:rsidP="000508CA" w:rsidR="000508CA">
      <w:pPr>
        <w:pStyle w:val="Bezproreda"/>
      </w:pPr>
      <w:r>
        <w:t>III    IMOVINA  BANKE</w:t>
      </w:r>
    </w:p>
    <w:p w:rsidRDefault="000508CA" w:rsidP="000508CA" w:rsidR="000508CA">
      <w:pPr>
        <w:pStyle w:val="Bezproreda"/>
      </w:pPr>
    </w:p>
    <w:p w:rsidRDefault="000508CA" w:rsidP="000508CA" w:rsidR="000508CA">
      <w:pPr>
        <w:pStyle w:val="Bezproreda"/>
      </w:pPr>
      <w:r>
        <w:t>Prema stanju poslovnih knjiga , te analitičkim evidencijama Banke, na dan otvaranja stečaja proizlazi slijedeće stanje imovine stečajnog dužnika:</w:t>
      </w:r>
    </w:p>
    <w:p w:rsidRDefault="000508CA" w:rsidP="000508CA" w:rsidR="000508CA">
      <w:pPr>
        <w:pStyle w:val="Bezproreda"/>
      </w:pPr>
    </w:p>
    <w:tbl>
      <w:tblPr>
        <w:tblW w:type="dxa" w:w="9210"/>
        <w:tblInd w:type="dxa" w:w="141"/>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4180"/>
        <w:gridCol w:w="2580"/>
        <w:gridCol w:w="2450"/>
      </w:tblGrid>
      <w:tr w:rsidTr="000508CA" w:rsidR="000508CA">
        <w:trPr>
          <w:trHeight w:val="420"/>
        </w:trPr>
        <w:tc>
          <w:tcPr>
            <w:tcW w:type="dxa" w:w="4180"/>
            <w:tcBorders>
              <w:top w:space="0" w:sz="4" w:color="auto" w:val="single"/>
              <w:left w:space="0" w:sz="4" w:color="auto" w:val="single"/>
              <w:bottom w:space="0" w:sz="4" w:color="auto" w:val="single"/>
              <w:right w:space="0" w:sz="4" w:color="auto" w:val="single"/>
            </w:tcBorders>
            <w:hideMark/>
          </w:tcPr>
          <w:p w:rsidRDefault="000508CA" w:rsidR="000508CA">
            <w:pPr>
              <w:pStyle w:val="Bezproreda"/>
              <w:spacing w:lineRule="auto" w:line="276"/>
            </w:pPr>
            <w:r>
              <w:t>Vrsta imovine</w:t>
            </w:r>
          </w:p>
        </w:tc>
        <w:tc>
          <w:tcPr>
            <w:tcW w:type="dxa" w:w="2580"/>
            <w:tcBorders>
              <w:top w:space="0" w:sz="4" w:color="auto" w:val="single"/>
              <w:left w:space="0" w:sz="4" w:color="auto" w:val="single"/>
              <w:bottom w:space="0" w:sz="4" w:color="auto" w:val="single"/>
              <w:right w:space="0" w:sz="4" w:color="auto" w:val="single"/>
            </w:tcBorders>
            <w:hideMark/>
          </w:tcPr>
          <w:p w:rsidRDefault="000508CA" w:rsidR="000508CA">
            <w:pPr>
              <w:pStyle w:val="Bezproreda"/>
              <w:spacing w:lineRule="auto" w:line="276"/>
            </w:pPr>
            <w:r>
              <w:t xml:space="preserve">Neto knjigovodstvena vrijednost </w:t>
            </w:r>
            <w:r>
              <w:rPr>
                <w:sz w:val="16"/>
                <w:szCs w:val="16"/>
              </w:rPr>
              <w:t>( nakon rezervacija)</w:t>
            </w:r>
          </w:p>
        </w:tc>
        <w:tc>
          <w:tcPr>
            <w:tcW w:type="dxa" w:w="2450"/>
            <w:tcBorders>
              <w:top w:space="0" w:sz="4" w:color="auto" w:val="single"/>
              <w:left w:space="0" w:sz="4" w:color="auto" w:val="single"/>
              <w:bottom w:space="0" w:sz="4" w:color="auto" w:val="single"/>
              <w:right w:space="0" w:sz="4" w:color="auto" w:val="single"/>
            </w:tcBorders>
            <w:hideMark/>
          </w:tcPr>
          <w:p w:rsidRDefault="000508CA" w:rsidR="000508CA">
            <w:pPr>
              <w:pStyle w:val="Bezproreda"/>
              <w:spacing w:lineRule="auto" w:line="276"/>
            </w:pPr>
            <w:r>
              <w:t>Procijenjena očekivana visina stečajne mase</w:t>
            </w:r>
          </w:p>
        </w:tc>
      </w:tr>
      <w:tr w:rsidTr="000508CA" w:rsidR="000508CA">
        <w:trPr>
          <w:trHeight w:val="420"/>
        </w:trPr>
        <w:tc>
          <w:tcPr>
            <w:tcW w:type="dxa" w:w="4180"/>
            <w:tcBorders>
              <w:top w:space="0" w:sz="4" w:color="auto" w:val="single"/>
              <w:left w:space="0" w:sz="4" w:color="auto" w:val="single"/>
              <w:bottom w:space="0" w:sz="4" w:color="auto" w:val="single"/>
              <w:right w:space="0" w:sz="4" w:color="auto" w:val="single"/>
            </w:tcBorders>
            <w:hideMark/>
          </w:tcPr>
          <w:p w:rsidRDefault="000508CA" w:rsidR="000508CA">
            <w:pPr>
              <w:pStyle w:val="Bezproreda"/>
              <w:spacing w:lineRule="auto" w:line="276"/>
            </w:pPr>
            <w:r>
              <w:t>Depoziti kod HNB-a i kreditnih institucija</w:t>
            </w:r>
          </w:p>
        </w:tc>
        <w:tc>
          <w:tcPr>
            <w:tcW w:type="dxa" w:w="2580"/>
            <w:tcBorders>
              <w:top w:space="0" w:sz="4" w:color="auto" w:val="single"/>
              <w:left w:space="0" w:sz="4" w:color="auto" w:val="single"/>
              <w:bottom w:space="0" w:sz="4" w:color="auto" w:val="single"/>
              <w:right w:space="0" w:sz="4" w:color="auto" w:val="single"/>
            </w:tcBorders>
            <w:hideMark/>
          </w:tcPr>
          <w:p w:rsidRDefault="000508CA" w:rsidR="000508CA">
            <w:pPr>
              <w:pStyle w:val="Bezproreda"/>
              <w:spacing w:lineRule="auto" w:line="276"/>
            </w:pPr>
            <w:r>
              <w:t xml:space="preserve">               649.281</w:t>
            </w:r>
          </w:p>
        </w:tc>
        <w:tc>
          <w:tcPr>
            <w:tcW w:type="dxa" w:w="2450"/>
            <w:tcBorders>
              <w:top w:space="0" w:sz="4" w:color="auto" w:val="single"/>
              <w:left w:space="0" w:sz="4" w:color="auto" w:val="single"/>
              <w:bottom w:space="0" w:sz="4" w:color="auto" w:val="single"/>
              <w:right w:space="0" w:sz="4" w:color="auto" w:val="single"/>
            </w:tcBorders>
            <w:hideMark/>
          </w:tcPr>
          <w:p w:rsidRDefault="000508CA" w:rsidR="000508CA">
            <w:pPr>
              <w:pStyle w:val="Bezproreda"/>
              <w:spacing w:lineRule="auto" w:line="276"/>
            </w:pPr>
            <w:r>
              <w:t xml:space="preserve">              649.281</w:t>
            </w:r>
          </w:p>
        </w:tc>
      </w:tr>
      <w:tr w:rsidTr="000508CA" w:rsidR="000508CA">
        <w:trPr>
          <w:trHeight w:val="420"/>
        </w:trPr>
        <w:tc>
          <w:tcPr>
            <w:tcW w:type="dxa" w:w="4180"/>
            <w:tcBorders>
              <w:top w:space="0" w:sz="4" w:color="auto" w:val="single"/>
              <w:left w:space="0" w:sz="4" w:color="auto" w:val="single"/>
              <w:bottom w:space="0" w:sz="4" w:color="auto" w:val="single"/>
              <w:right w:space="0" w:sz="4" w:color="auto" w:val="single"/>
            </w:tcBorders>
            <w:hideMark/>
          </w:tcPr>
          <w:p w:rsidRDefault="000508CA" w:rsidR="000508CA">
            <w:pPr>
              <w:pStyle w:val="Bezproreda"/>
              <w:spacing w:lineRule="auto" w:line="276"/>
            </w:pPr>
            <w:r>
              <w:t>Uredski namještaj, informatička oprema i sl.</w:t>
            </w:r>
          </w:p>
        </w:tc>
        <w:tc>
          <w:tcPr>
            <w:tcW w:type="dxa" w:w="2580"/>
            <w:tcBorders>
              <w:top w:space="0" w:sz="4" w:color="auto" w:val="single"/>
              <w:left w:space="0" w:sz="4" w:color="auto" w:val="single"/>
              <w:bottom w:space="0" w:sz="4" w:color="auto" w:val="single"/>
              <w:right w:space="0" w:sz="4" w:color="auto" w:val="single"/>
            </w:tcBorders>
            <w:hideMark/>
          </w:tcPr>
          <w:p w:rsidRDefault="000508CA" w:rsidR="000508CA">
            <w:pPr>
              <w:pStyle w:val="Bezproreda"/>
              <w:spacing w:lineRule="auto" w:line="276"/>
            </w:pPr>
            <w:r>
              <w:t xml:space="preserve">                   7.651</w:t>
            </w:r>
          </w:p>
        </w:tc>
        <w:tc>
          <w:tcPr>
            <w:tcW w:type="dxa" w:w="2450"/>
            <w:tcBorders>
              <w:top w:space="0" w:sz="4" w:color="auto" w:val="single"/>
              <w:left w:space="0" w:sz="4" w:color="auto" w:val="single"/>
              <w:bottom w:space="0" w:sz="4" w:color="auto" w:val="single"/>
              <w:right w:space="0" w:sz="4" w:color="auto" w:val="single"/>
            </w:tcBorders>
            <w:hideMark/>
          </w:tcPr>
          <w:p w:rsidRDefault="000508CA" w:rsidR="000508CA">
            <w:pPr>
              <w:pStyle w:val="Bezproreda"/>
              <w:spacing w:lineRule="auto" w:line="276"/>
            </w:pPr>
            <w:r>
              <w:t xml:space="preserve">                18.500</w:t>
            </w:r>
          </w:p>
        </w:tc>
      </w:tr>
      <w:tr w:rsidTr="000508CA" w:rsidR="000508CA">
        <w:trPr>
          <w:trHeight w:val="420"/>
        </w:trPr>
        <w:tc>
          <w:tcPr>
            <w:tcW w:type="dxa" w:w="4180"/>
            <w:tcBorders>
              <w:top w:space="0" w:sz="4" w:color="auto" w:val="single"/>
              <w:left w:space="0" w:sz="4" w:color="auto" w:val="single"/>
              <w:bottom w:space="0" w:sz="4" w:color="auto" w:val="single"/>
              <w:right w:space="0" w:sz="4" w:color="auto" w:val="single"/>
            </w:tcBorders>
            <w:hideMark/>
          </w:tcPr>
          <w:p w:rsidRDefault="000508CA" w:rsidR="000508CA">
            <w:pPr>
              <w:pStyle w:val="Bezproreda"/>
              <w:spacing w:lineRule="auto" w:line="276"/>
            </w:pPr>
            <w:r>
              <w:t xml:space="preserve">Nekretnine </w:t>
            </w:r>
            <w:r>
              <w:rPr>
                <w:sz w:val="16"/>
                <w:szCs w:val="16"/>
              </w:rPr>
              <w:t>( zemljište preuzeto u postupku naplate)</w:t>
            </w:r>
          </w:p>
        </w:tc>
        <w:tc>
          <w:tcPr>
            <w:tcW w:type="dxa" w:w="2580"/>
            <w:tcBorders>
              <w:top w:space="0" w:sz="4" w:color="auto" w:val="single"/>
              <w:left w:space="0" w:sz="4" w:color="auto" w:val="single"/>
              <w:bottom w:space="0" w:sz="4" w:color="auto" w:val="single"/>
              <w:right w:space="0" w:sz="4" w:color="auto" w:val="single"/>
            </w:tcBorders>
            <w:hideMark/>
          </w:tcPr>
          <w:p w:rsidRDefault="000508CA" w:rsidR="000508CA">
            <w:pPr>
              <w:pStyle w:val="Bezproreda"/>
              <w:spacing w:lineRule="auto" w:line="276"/>
            </w:pPr>
            <w:r>
              <w:t xml:space="preserve">              373.531</w:t>
            </w:r>
          </w:p>
        </w:tc>
        <w:tc>
          <w:tcPr>
            <w:tcW w:type="dxa" w:w="2450"/>
            <w:tcBorders>
              <w:top w:space="0" w:sz="4" w:color="auto" w:val="single"/>
              <w:left w:space="0" w:sz="4" w:color="auto" w:val="single"/>
              <w:bottom w:space="0" w:sz="4" w:color="auto" w:val="single"/>
              <w:right w:space="0" w:sz="4" w:color="auto" w:val="single"/>
            </w:tcBorders>
            <w:hideMark/>
          </w:tcPr>
          <w:p w:rsidRDefault="000508CA" w:rsidR="000508CA">
            <w:pPr>
              <w:pStyle w:val="Bezproreda"/>
              <w:spacing w:lineRule="auto" w:line="276"/>
            </w:pPr>
            <w:r>
              <w:t xml:space="preserve">              270.000</w:t>
            </w:r>
          </w:p>
        </w:tc>
      </w:tr>
      <w:tr w:rsidTr="000508CA" w:rsidR="000508CA">
        <w:trPr>
          <w:trHeight w:val="420"/>
        </w:trPr>
        <w:tc>
          <w:tcPr>
            <w:tcW w:type="dxa" w:w="4180"/>
            <w:tcBorders>
              <w:top w:space="0" w:sz="4" w:color="auto" w:val="single"/>
              <w:left w:space="0" w:sz="4" w:color="auto" w:val="single"/>
              <w:bottom w:space="0" w:sz="4" w:color="auto" w:val="single"/>
              <w:right w:space="0" w:sz="4" w:color="auto" w:val="single"/>
            </w:tcBorders>
            <w:hideMark/>
          </w:tcPr>
          <w:p w:rsidRDefault="000508CA" w:rsidR="000508CA">
            <w:pPr>
              <w:pStyle w:val="Bezproreda"/>
              <w:spacing w:lineRule="auto" w:line="276"/>
              <w:rPr>
                <w:sz w:val="16"/>
                <w:szCs w:val="16"/>
              </w:rPr>
            </w:pPr>
            <w:r>
              <w:t xml:space="preserve">Potraživanje po kreditnim plasmanima, kamate, naknade </w:t>
            </w:r>
            <w:r>
              <w:rPr>
                <w:sz w:val="16"/>
                <w:szCs w:val="16"/>
              </w:rPr>
              <w:t xml:space="preserve">( </w:t>
            </w:r>
            <w:r>
              <w:rPr>
                <w:sz w:val="18"/>
                <w:szCs w:val="18"/>
              </w:rPr>
              <w:t>nakon rezervacija</w:t>
            </w:r>
            <w:r>
              <w:rPr>
                <w:sz w:val="16"/>
                <w:szCs w:val="16"/>
              </w:rPr>
              <w:t>)</w:t>
            </w:r>
          </w:p>
          <w:p w:rsidRDefault="000508CA" w:rsidR="000508CA">
            <w:pPr>
              <w:pStyle w:val="Bezproreda"/>
              <w:spacing w:lineRule="auto" w:line="276"/>
              <w:rPr>
                <w:sz w:val="16"/>
                <w:szCs w:val="16"/>
              </w:rPr>
            </w:pPr>
            <w:r>
              <w:rPr>
                <w:sz w:val="16"/>
                <w:szCs w:val="16"/>
              </w:rPr>
              <w:t xml:space="preserve">/ Prije rezervacija glavnica + </w:t>
            </w:r>
            <w:proofErr w:type="spellStart"/>
            <w:r>
              <w:rPr>
                <w:sz w:val="16"/>
                <w:szCs w:val="16"/>
              </w:rPr>
              <w:t>kta</w:t>
            </w:r>
            <w:proofErr w:type="spellEnd"/>
            <w:r>
              <w:rPr>
                <w:sz w:val="16"/>
                <w:szCs w:val="16"/>
              </w:rPr>
              <w:t>. 7.478.070 kn/</w:t>
            </w:r>
          </w:p>
        </w:tc>
        <w:tc>
          <w:tcPr>
            <w:tcW w:type="dxa" w:w="2580"/>
            <w:tcBorders>
              <w:top w:space="0" w:sz="4" w:color="auto" w:val="single"/>
              <w:left w:space="0" w:sz="4" w:color="auto" w:val="single"/>
              <w:bottom w:space="0" w:sz="4" w:color="auto" w:val="single"/>
              <w:right w:space="0" w:sz="4" w:color="auto" w:val="single"/>
            </w:tcBorders>
            <w:hideMark/>
          </w:tcPr>
          <w:p w:rsidRDefault="000508CA" w:rsidR="000508CA">
            <w:pPr>
              <w:pStyle w:val="Bezproreda"/>
              <w:spacing w:lineRule="auto" w:line="276"/>
            </w:pPr>
            <w:r>
              <w:t xml:space="preserve">              154.398</w:t>
            </w:r>
          </w:p>
        </w:tc>
        <w:tc>
          <w:tcPr>
            <w:tcW w:type="dxa" w:w="2450"/>
            <w:tcBorders>
              <w:top w:space="0" w:sz="4" w:color="auto" w:val="single"/>
              <w:left w:space="0" w:sz="4" w:color="auto" w:val="single"/>
              <w:bottom w:space="0" w:sz="4" w:color="auto" w:val="single"/>
              <w:right w:space="0" w:sz="4" w:color="auto" w:val="single"/>
            </w:tcBorders>
            <w:hideMark/>
          </w:tcPr>
          <w:p w:rsidRDefault="000508CA" w:rsidR="000508CA">
            <w:pPr>
              <w:pStyle w:val="Bezproreda"/>
              <w:spacing w:lineRule="auto" w:line="276"/>
            </w:pPr>
            <w:r>
              <w:t xml:space="preserve">             1.1 - 1.8 mil. kn</w:t>
            </w:r>
          </w:p>
        </w:tc>
      </w:tr>
      <w:tr w:rsidTr="000508CA" w:rsidR="000508CA">
        <w:trPr>
          <w:trHeight w:val="420"/>
        </w:trPr>
        <w:tc>
          <w:tcPr>
            <w:tcW w:type="dxa" w:w="4180"/>
            <w:tcBorders>
              <w:top w:space="0" w:sz="4" w:color="auto" w:val="single"/>
              <w:left w:space="0" w:sz="4" w:color="auto" w:val="single"/>
              <w:bottom w:space="0" w:sz="4" w:color="auto" w:val="single"/>
              <w:right w:space="0" w:sz="4" w:color="auto" w:val="single"/>
            </w:tcBorders>
          </w:tcPr>
          <w:p w:rsidRDefault="000508CA" w:rsidR="000508CA">
            <w:pPr>
              <w:pStyle w:val="Bezproreda"/>
              <w:spacing w:lineRule="auto" w:line="276"/>
            </w:pPr>
          </w:p>
          <w:p w:rsidRDefault="000508CA" w:rsidR="000508CA">
            <w:pPr>
              <w:pStyle w:val="Bezproreda"/>
              <w:spacing w:lineRule="auto" w:line="276"/>
            </w:pPr>
            <w:r>
              <w:t xml:space="preserve"> Sveukupno imovina</w:t>
            </w:r>
          </w:p>
        </w:tc>
        <w:tc>
          <w:tcPr>
            <w:tcW w:type="dxa" w:w="2580"/>
            <w:tcBorders>
              <w:top w:space="0" w:sz="4" w:color="auto" w:val="single"/>
              <w:left w:space="0" w:sz="4" w:color="auto" w:val="single"/>
              <w:bottom w:space="0" w:sz="4" w:color="auto" w:val="single"/>
              <w:right w:space="0" w:sz="4" w:color="auto" w:val="single"/>
            </w:tcBorders>
            <w:hideMark/>
          </w:tcPr>
          <w:p w:rsidRDefault="000508CA" w:rsidR="000508CA">
            <w:pPr>
              <w:pStyle w:val="Bezproreda"/>
              <w:spacing w:lineRule="auto" w:line="276"/>
            </w:pPr>
            <w:r>
              <w:t xml:space="preserve">           1.184.861</w:t>
            </w:r>
          </w:p>
        </w:tc>
        <w:tc>
          <w:tcPr>
            <w:tcW w:type="dxa" w:w="2450"/>
            <w:tcBorders>
              <w:top w:space="0" w:sz="4" w:color="auto" w:val="single"/>
              <w:left w:space="0" w:sz="4" w:color="auto" w:val="single"/>
              <w:bottom w:space="0" w:sz="4" w:color="auto" w:val="single"/>
              <w:right w:space="0" w:sz="4" w:color="auto" w:val="single"/>
            </w:tcBorders>
            <w:hideMark/>
          </w:tcPr>
          <w:p w:rsidRDefault="000508CA" w:rsidR="000508CA">
            <w:pPr>
              <w:pStyle w:val="Bezproreda"/>
              <w:spacing w:lineRule="auto" w:line="276"/>
            </w:pPr>
            <w:r>
              <w:t xml:space="preserve">            2.0 – 2.7 mil. kn</w:t>
            </w:r>
          </w:p>
        </w:tc>
      </w:tr>
    </w:tbl>
    <w:p w:rsidRDefault="000508CA" w:rsidP="000508CA" w:rsidR="000508CA">
      <w:pPr>
        <w:pStyle w:val="Bezproreda"/>
      </w:pPr>
    </w:p>
    <w:p w:rsidRDefault="000508CA" w:rsidP="000508CA" w:rsidR="000508CA">
      <w:pPr>
        <w:pStyle w:val="Bezproreda"/>
      </w:pPr>
      <w:r>
        <w:t>Depoziti prioritetno se odnose na obveznu pričuvu i sredstva na računu kod HNB-a, koja su po otvaranju stečaja prenesena na račun stečajnog dužnika.</w:t>
      </w:r>
    </w:p>
    <w:p w:rsidRDefault="000508CA" w:rsidP="000508CA" w:rsidR="000508CA">
      <w:pPr>
        <w:pStyle w:val="Bezproreda"/>
      </w:pPr>
    </w:p>
    <w:p w:rsidRDefault="000508CA" w:rsidP="000508CA" w:rsidR="000508CA">
      <w:pPr>
        <w:pStyle w:val="Bezproreda"/>
      </w:pPr>
      <w:r>
        <w:t xml:space="preserve">Uredski namještaj, kako je već opisano, nalazi se u tuđem prostoru i u zakupljenom prostoru. Radi se o imovini koja je prema stanju poslovnih knjiga amortizirana.  Za dio namještaj koji je ostao na lokaciji Trg J. F. </w:t>
      </w:r>
      <w:proofErr w:type="spellStart"/>
      <w:r>
        <w:t>Kennedya</w:t>
      </w:r>
      <w:proofErr w:type="spellEnd"/>
      <w:r>
        <w:t xml:space="preserve"> 6b, načelno je interes za otkup iskazao novi Zakupac BDO d.o.o. Zagreb. U pismu namjere za otkup nije definiran točan iznos </w:t>
      </w:r>
      <w:proofErr w:type="spellStart"/>
      <w:r>
        <w:t>kupovnine</w:t>
      </w:r>
      <w:proofErr w:type="spellEnd"/>
      <w:r>
        <w:t xml:space="preserve"> koji se nudi, no upućuju na mogućnost procjene po vještaku. U odnosu na eventualno vještačenje, u području opisanog pločastog namještaja industrijske proizvodnje, nije poznato da postoje okvirni standardi za procjenu, no ako bi ista bila  i iznad očekivanja ponuđača, vrlo vjerojatno ne bi došlo do realizacije prodaje. Uzimajući u obzir nastanak troškova procjene i upitnost svrsishodnosti iste, prema stanju predmetne imovine</w:t>
      </w:r>
      <w:r w:rsidR="006F4492">
        <w:t>,</w:t>
      </w:r>
      <w:r>
        <w:t xml:space="preserve"> procjenjuje se najekonomičnije pokušati u neposrednoj pogodbi sa zainteresiranim kupcem BDO d.o.o.  dogovoriti sporazumnu cijenu koja bi bila prihvatlj</w:t>
      </w:r>
      <w:r w:rsidR="006F4492">
        <w:t>iva za Banku i kupca, pri čemu S</w:t>
      </w:r>
      <w:r>
        <w:t xml:space="preserve">kupština vjerovnika može odrediti najnižu prodajnu cijenu. Naime, u slučaju pojedinačne prodaje biti će nužno trpjeti troškove demontaže, prijevoza i zakupa dodatnog skladišta.  Namještaj koji je u dijelovima smješten u posebno zakupljenom prostoru nije prema zatečenom stanju uopće moguće provjeriti da li sadrži sve dijelove, te je također isti više godina uskladišten u negrijanom prostoru i upitne je kvalitete, te se ne očekuje interes kupaca za isti.  Također iz dugogodišnjeg iskustva, proizlazi da ne postoji velik interes tržišta za rabljeni namještaj, te da se vrlo često zbog nemogućnosti prodaje isti mora zbrinjavati zbog oslobađanja prostora ili je očekivana zakupnina za čuvanje istog iznad vrijednosti samog namještaja. Slijedom navedenog, procijenjena je očekivana visina stečajne mase od unovčenja predmetne imovine u visini od oko 14.000,00 kuna. </w:t>
      </w:r>
    </w:p>
    <w:p w:rsidRDefault="000508CA" w:rsidP="000508CA" w:rsidR="000508CA">
      <w:pPr>
        <w:pStyle w:val="Bezproreda"/>
      </w:pPr>
    </w:p>
    <w:p w:rsidRDefault="000508CA" w:rsidP="000508CA" w:rsidR="000508CA">
      <w:pPr>
        <w:pStyle w:val="Bezproreda"/>
      </w:pPr>
      <w:r>
        <w:lastRenderedPageBreak/>
        <w:t>Informatička oprema obuhvaća opremu koja je bila u funkciji banke i u korištenju, te je gotovo u cijelosti amortizirana. Također se na dijelu opreme nalaze podaci o klijentima, što predstavlja ograničenje u odnosu na prodaju predmetne opreme. Nastavno na navedeno kako se radi o korištenoj, sada generacijski zastarjeloj informatičkoj opremi od unovčenja se ne očekuju značajniji prilivi u korist stečajne mase, već će istu biti potrebno zbrinuti. Slijedom navedenog,  od unovčenja predmetne imovine procjenjuje se očekivana stečajna masa od oko 4 do 5 tis. kuna.</w:t>
      </w:r>
    </w:p>
    <w:p w:rsidRDefault="000508CA" w:rsidP="000508CA" w:rsidR="000508CA">
      <w:pPr>
        <w:pStyle w:val="Bezproreda"/>
      </w:pPr>
    </w:p>
    <w:p w:rsidRDefault="000508CA" w:rsidP="000508CA" w:rsidR="000508CA">
      <w:pPr>
        <w:pStyle w:val="Bezproreda"/>
      </w:pPr>
      <w:r>
        <w:t xml:space="preserve">Nekretnina koja je u vlasništvu stečajnog dužnika upisana je kod Općinskog suda u Rijeci, zemljišnoknjižni odjel Novi Vinodolski, k.o. Ledenice, </w:t>
      </w:r>
      <w:proofErr w:type="spellStart"/>
      <w:r>
        <w:t>zk.ul</w:t>
      </w:r>
      <w:proofErr w:type="spellEnd"/>
      <w:r>
        <w:t xml:space="preserve">. 1524, </w:t>
      </w:r>
      <w:proofErr w:type="spellStart"/>
      <w:r>
        <w:t>kčbr</w:t>
      </w:r>
      <w:proofErr w:type="spellEnd"/>
      <w:r>
        <w:t xml:space="preserve">. 3419/1 u površini od 1169 m2. U naravi se radi o neizgrađenom zemljištu koje se prema dostupnim podacima nalazi u građevinskoj zoni u </w:t>
      </w:r>
      <w:proofErr w:type="spellStart"/>
      <w:r>
        <w:t>Klenovici</w:t>
      </w:r>
      <w:proofErr w:type="spellEnd"/>
      <w:r>
        <w:t xml:space="preserve">. Predmetnu nekretninu pravni prednik stečajnog dužnika stekao je temeljem provedenog ovršnog postupka pod poslovnim brojem </w:t>
      </w:r>
      <w:proofErr w:type="spellStart"/>
      <w:r>
        <w:t>Ovr</w:t>
      </w:r>
      <w:proofErr w:type="spellEnd"/>
      <w:r>
        <w:t xml:space="preserve">-1171/2015 kod Općinskog suda u Rijeci, Stalna služba u Crikvenici i to stjecanjem iste naplatom potraživanja, pri čemu prema stanju dostupnih podatak u provedenom ovršnom postupku nije bilo drugih zainteresiranih kupaca. Slijedom navedenog kako je nekretnina stečena javnom, sudskom prodajom, uz izostanak drugih ponuđača, očekivana visina stečajne mase je procijenjena u manjem iznosu od iznosa stjecanja, pri čemu će se stvarna tržišna vrijednost ostvariti javnom objavom i prikupljanjem najpovoljnijih ponuda. </w:t>
      </w:r>
    </w:p>
    <w:p w:rsidRDefault="000508CA" w:rsidP="000508CA" w:rsidR="000508CA">
      <w:pPr>
        <w:pStyle w:val="Bezproreda"/>
      </w:pPr>
    </w:p>
    <w:p w:rsidRDefault="000508CA" w:rsidP="000508CA" w:rsidR="000508CA">
      <w:pPr>
        <w:pStyle w:val="Bezproreda"/>
      </w:pPr>
      <w:r>
        <w:t>Prema analitičkim evidencijama stečajnog dužnika, banka ima potraživanja po kreditima, kamatama i naknadama od 15 klijenata po osnovi 22 kreditna posla, u sveukupnom nominalnom iznosu prije rezervacija (</w:t>
      </w:r>
      <w:r>
        <w:rPr>
          <w:sz w:val="18"/>
          <w:szCs w:val="18"/>
        </w:rPr>
        <w:t>na dan 17.4.2018.g.</w:t>
      </w:r>
      <w:r>
        <w:t xml:space="preserve">) u sveukupnom iznosu od 7,4 mi. kuna. Od navedenog iznos evidentirana potraživanja od društava u stečaju ( Dizajn centar AAG d.o.o. u stečaju, </w:t>
      </w:r>
      <w:proofErr w:type="spellStart"/>
      <w:r>
        <w:t>Kontex</w:t>
      </w:r>
      <w:proofErr w:type="spellEnd"/>
      <w:r>
        <w:t xml:space="preserve"> d.o.o. u stečaju, Vuković </w:t>
      </w:r>
      <w:proofErr w:type="spellStart"/>
      <w:r>
        <w:t>Company</w:t>
      </w:r>
      <w:proofErr w:type="spellEnd"/>
      <w:r>
        <w:t xml:space="preserve"> d.o.o. u stečaju)  iznose  2.405.617 kn pri čemu je dužnik vršio obračun kamata i nakon otvaranja stečaja uz istovremenu rezervaciju i isključenje iz prihoda, te iskazana potraživanja u nominalnom iznosu nadilaze iznose sadržane u prijavama tražbina. Provjerom stanja imovine i obaveza klijenata nad kojima je otvoren stečaj, proizlazi da Banka nema izgled za naplatu u stečajnim postupcima.  Daljnja potraživanja stečajni dužnik ima od klijenata koji su u postupcima </w:t>
      </w:r>
      <w:proofErr w:type="spellStart"/>
      <w:r>
        <w:t>predstečajne</w:t>
      </w:r>
      <w:proofErr w:type="spellEnd"/>
      <w:r>
        <w:t xml:space="preserve"> nagodbe ili nad koji</w:t>
      </w:r>
      <w:r w:rsidR="002D6745">
        <w:t>ma prijeti otvaranje stečaja</w:t>
      </w:r>
      <w:r>
        <w:t xml:space="preserve"> ( AR-CO sistemi; PZ Dar prirode) u nominalnom iznosu prije rezervacija od 926.166 kuna pri čemu je bitan disparitet iskazanog potraživanja i očekivane tržišne vrijednosti kolaterala koje Banka posjeduje. Pojedinačno najznačajnija stavka potraživanja prema analitičkim evidencijama odnosi se na klijenta Zlatna igla – </w:t>
      </w:r>
      <w:proofErr w:type="spellStart"/>
      <w:r>
        <w:t>Siscia</w:t>
      </w:r>
      <w:proofErr w:type="spellEnd"/>
      <w:r>
        <w:t xml:space="preserve"> d.o.o. u iznosu od 2.781.595,15 kn po osnovi tri kreditna plasmana po kojima su vršeni obračuni kamata i nakon otvaranja postupka </w:t>
      </w:r>
      <w:proofErr w:type="spellStart"/>
      <w:r>
        <w:t>predstečajne</w:t>
      </w:r>
      <w:proofErr w:type="spellEnd"/>
      <w:r>
        <w:t xml:space="preserve"> nagodbe uz istovremeno isključenje istih iz prihoda. Uvidom u postupak </w:t>
      </w:r>
      <w:proofErr w:type="spellStart"/>
      <w:r>
        <w:t>predstečajne</w:t>
      </w:r>
      <w:proofErr w:type="spellEnd"/>
      <w:r>
        <w:t xml:space="preserve"> nagodbe za predmetnog klijenta utvrđeno je da je Banci ukupno priznat iznos od  1.728.849,91 kn od čega je planom financijskog restrukturiranja predviđeno namirenje tražbine u visini od 691.539,96 kn sa počekom od 2 godine i otplatom u 8 godina od pravomoćnosti rješenja o </w:t>
      </w:r>
      <w:proofErr w:type="spellStart"/>
      <w:r>
        <w:t>predstečajnoj</w:t>
      </w:r>
      <w:proofErr w:type="spellEnd"/>
      <w:r>
        <w:t xml:space="preserve"> nagodbi. Postupak predmetne </w:t>
      </w:r>
      <w:proofErr w:type="spellStart"/>
      <w:r>
        <w:t>predstečajne</w:t>
      </w:r>
      <w:proofErr w:type="spellEnd"/>
      <w:r>
        <w:t xml:space="preserve"> nagodbe započeo je 2013.g., te isti do danas nije okončan. Slijedom navedenog  upitan je ishod postupka i očekivana naplata iz plana financijskog restrukturiranja.  </w:t>
      </w:r>
    </w:p>
    <w:p w:rsidRDefault="000508CA" w:rsidP="000508CA" w:rsidR="000508CA">
      <w:pPr>
        <w:pStyle w:val="Bezproreda"/>
      </w:pPr>
    </w:p>
    <w:p w:rsidRDefault="000508CA" w:rsidP="000508CA" w:rsidR="000508CA">
      <w:pPr>
        <w:pStyle w:val="Bezproreda"/>
      </w:pPr>
      <w:r>
        <w:t>U preostalom dijelu, klijenti banke su uglavnom obiteljska poljoprivredna gospodarstva.</w:t>
      </w:r>
    </w:p>
    <w:p w:rsidRDefault="000508CA" w:rsidP="000508CA" w:rsidR="000508CA">
      <w:pPr>
        <w:pStyle w:val="Bezproreda"/>
      </w:pPr>
    </w:p>
    <w:p w:rsidRDefault="000508CA" w:rsidP="000508CA" w:rsidR="000508CA">
      <w:pPr>
        <w:pStyle w:val="Bezproreda"/>
      </w:pPr>
      <w:r>
        <w:t>Strukturno po dospijeću, tražbine po kreditima su pretežito dospjele, a u dijelu nedospjelih ispunjene  su pretpostavke za otkaz kredita.</w:t>
      </w:r>
    </w:p>
    <w:p w:rsidRDefault="000508CA" w:rsidP="000508CA" w:rsidR="000508CA">
      <w:pPr>
        <w:pStyle w:val="Bezproreda"/>
      </w:pPr>
    </w:p>
    <w:p w:rsidRDefault="000508CA" w:rsidP="000508CA" w:rsidR="000508CA">
      <w:pPr>
        <w:pStyle w:val="Bezproreda"/>
      </w:pPr>
      <w:r>
        <w:t xml:space="preserve">Procjena naplativosti opisanih kreditnih plasmana u okolnostima da klijenti ne ispunjavaju svoje obaveze dobrovoljno i po dospijeću, ovisi o osiguranjima koje stečajni dužnik posjeduje. Prema stanju kreditnih spisa, Banka uglavnom kao osiguranje posjeduje zadužnice i mjenice glavnih dužnika i jamaca, te su prije i nakon otvaranja stečaja zadužnice poslane na naplatu, klijenti i jamci su blokirani, pri čemu je ostvarena neznatna naplata po predmetnim instrumentima osiguranja. U odnosu na osiguranje založnim pravima na nekretninama, Banka kao osiguranje kredita ima upisana založna prava na nekretninama koje se uglavnom nalaze izvan gradova, odnosno u naravi seoska </w:t>
      </w:r>
      <w:r>
        <w:lastRenderedPageBreak/>
        <w:t xml:space="preserve">gospodarstva, pomoćne zgrade, poljoprivredna zemljišta, za koja na tržištu nema značajnog interesa, te se u postupcima prisilne naplate očekuju znatno niže vrijednosti od procijenjenih ( u dokumentaciji procjene stare </w:t>
      </w:r>
      <w:proofErr w:type="spellStart"/>
      <w:r>
        <w:t>cca</w:t>
      </w:r>
      <w:proofErr w:type="spellEnd"/>
      <w:r>
        <w:t xml:space="preserve"> 5 godina). Nakon otvaranja stečaja također su poduzete aktivnosti  prikupljanja daljnjih podataka o imovini klijenta i jamaca od Državne geodetske uprave, SKDD-a i MUP-a, te su postupci prikupljanja cjelovitih podataka još u tijeku.</w:t>
      </w:r>
    </w:p>
    <w:p w:rsidRDefault="000508CA" w:rsidP="000508CA" w:rsidR="000508CA">
      <w:pPr>
        <w:pStyle w:val="Bezproreda"/>
      </w:pPr>
    </w:p>
    <w:p w:rsidRDefault="000508CA" w:rsidP="000508CA" w:rsidR="000508CA">
      <w:pPr>
        <w:pStyle w:val="Bezproreda"/>
      </w:pPr>
      <w:r>
        <w:t xml:space="preserve">Na dužinu i predvidive troškove stečajnog postupka, bitno će uticati dužina stečajnog postupka koja ovisi o dužini trajanja postupaka  naplate po kreditima, odnosno ovršnih postupaka koji će biti nužno pokrenuti. </w:t>
      </w:r>
    </w:p>
    <w:p w:rsidRDefault="000508CA" w:rsidP="000508CA" w:rsidR="000508CA">
      <w:pPr>
        <w:pStyle w:val="Bezproreda"/>
      </w:pPr>
    </w:p>
    <w:p w:rsidRDefault="000508CA" w:rsidP="000508CA" w:rsidR="000508CA">
      <w:pPr>
        <w:pStyle w:val="Bezproreda"/>
      </w:pPr>
      <w:r>
        <w:t xml:space="preserve">S obzirom na strukturu zatečenih kreditnih plasmana, te činjenicu da će za većinu trebati pokrenuti sudske postupke radi prisilne naplate koji će bitno utjecati na dužinu postupka i troškove, procjenjuje se ekonomičnim i svrsishodnim istovremeno sa poduzimanjem pravnih radnji radi naplate, poduzeti i radnje u cilju eventualne  prodaje kreditnog portfelja ili dijela potraživanja, ukoliko će biti interesa za otkup. Nastavno na navedeno ukoliko se pokaže interes trećih za otkup tražbina Banke, biti će naknadno tijelima stečajnog postupka ( odboru vjerovnika ili skupštini vjerovnika) predloženo donošenje odluke vezane uz eventualnu ponudu za otkup. </w:t>
      </w:r>
    </w:p>
    <w:p w:rsidRDefault="000508CA" w:rsidP="000508CA" w:rsidR="000508CA">
      <w:pPr>
        <w:pStyle w:val="Bezproreda"/>
      </w:pPr>
    </w:p>
    <w:p w:rsidRDefault="000508CA" w:rsidP="000508CA" w:rsidR="000508CA">
      <w:pPr>
        <w:pStyle w:val="Bezproreda"/>
      </w:pPr>
      <w:r>
        <w:t>Prema dostupnim podacima,  te uzimajući u obzir naprijed opisano, procijenjena je očekivana naplativosti svih kreditnih plasmana kroz poduzimanje pravnih radnji radi prisilne naplate, u iznosu od 1,</w:t>
      </w:r>
      <w:proofErr w:type="spellStart"/>
      <w:r>
        <w:t>1</w:t>
      </w:r>
      <w:proofErr w:type="spellEnd"/>
      <w:r>
        <w:t xml:space="preserve"> mil. kn do 1,8 mil. kuna pri čemu na iskazanu razliku prioritetno utiče ishod naprijed opisanog postupka </w:t>
      </w:r>
      <w:proofErr w:type="spellStart"/>
      <w:r>
        <w:t>predstečajne</w:t>
      </w:r>
      <w:proofErr w:type="spellEnd"/>
      <w:r>
        <w:t xml:space="preserve"> nagodbe. Ističe se da će se stvarna naplativost moći utvrditi tek u postupcima prisilne naplate koji će uslijediti, te stvarno ostvareni iznos naplate može biti bitno manji ili veći od očekivanog.</w:t>
      </w:r>
    </w:p>
    <w:p w:rsidRDefault="000508CA" w:rsidP="000508CA" w:rsidR="000508CA">
      <w:pPr>
        <w:pStyle w:val="Bezproreda"/>
      </w:pPr>
    </w:p>
    <w:p w:rsidRDefault="000508CA" w:rsidP="000508CA" w:rsidR="000508CA">
      <w:pPr>
        <w:pStyle w:val="Bezproreda"/>
      </w:pPr>
      <w:r>
        <w:t>Nastavno na opisanu strukturu imovine stečajnog dužnika potencijalna stečajna masa procjenjuje se od 2.0 do 2.7 mil. kuna.</w:t>
      </w:r>
    </w:p>
    <w:p w:rsidRDefault="000508CA" w:rsidP="000508CA" w:rsidR="000508CA">
      <w:pPr>
        <w:pStyle w:val="Bezproreda"/>
      </w:pPr>
      <w:r>
        <w:t xml:space="preserve">  </w:t>
      </w:r>
    </w:p>
    <w:p w:rsidRDefault="000508CA" w:rsidP="000508CA" w:rsidR="000508CA">
      <w:pPr>
        <w:pStyle w:val="Bezproreda"/>
      </w:pPr>
      <w:r>
        <w:t>Popis predmeta stečajne mase i vrijednosti sukladno odredbama članka 221. Stečajnog zakona ( NN 71/15) priložen je uz izvje</w:t>
      </w:r>
      <w:r w:rsidR="00C5751C">
        <w:t>šće</w:t>
      </w:r>
      <w:r>
        <w:t>.</w:t>
      </w:r>
    </w:p>
    <w:p w:rsidRDefault="000508CA" w:rsidP="000508CA" w:rsidR="000508CA">
      <w:pPr>
        <w:pStyle w:val="Bezproreda"/>
      </w:pPr>
    </w:p>
    <w:p w:rsidRDefault="002D6745" w:rsidP="000508CA" w:rsidR="002D6745">
      <w:pPr>
        <w:pStyle w:val="Bezproreda"/>
      </w:pPr>
    </w:p>
    <w:p w:rsidRDefault="000508CA" w:rsidP="000508CA" w:rsidR="000508CA">
      <w:pPr>
        <w:pStyle w:val="Bezproreda"/>
      </w:pPr>
      <w:r>
        <w:t xml:space="preserve">IV    OBAVEZE </w:t>
      </w:r>
    </w:p>
    <w:p w:rsidRDefault="00C5751C" w:rsidP="000508CA" w:rsidR="00C5751C">
      <w:pPr>
        <w:pStyle w:val="Bezproreda"/>
      </w:pPr>
    </w:p>
    <w:p w:rsidRDefault="000508CA" w:rsidP="000508CA" w:rsidR="000508CA">
      <w:pPr>
        <w:pStyle w:val="Bezproreda"/>
      </w:pPr>
      <w:r>
        <w:t>Temeljem zaprimljenih prijava tražbina, te evidentiranih obaveza Banke i procijenjenih obaveza na teret stečajne mase, procjenjuju se</w:t>
      </w:r>
      <w:r w:rsidR="00C5751C">
        <w:t xml:space="preserve"> sljedeće ukupne obaveze stečajnog dužnika</w:t>
      </w:r>
      <w:r>
        <w:t xml:space="preserve">: </w:t>
      </w:r>
    </w:p>
    <w:p w:rsidRDefault="000508CA" w:rsidP="000508CA" w:rsidR="000508CA">
      <w:pPr>
        <w:pStyle w:val="Bezproreda"/>
      </w:pPr>
    </w:p>
    <w:p w:rsidRDefault="000508CA" w:rsidP="000508CA" w:rsidR="000508CA">
      <w:pPr>
        <w:pStyle w:val="Bezproreda"/>
      </w:pPr>
    </w:p>
    <w:p w:rsidRDefault="000508CA" w:rsidP="000508CA" w:rsidR="000508CA">
      <w:pPr>
        <w:pStyle w:val="Bezproreda"/>
        <w:rPr>
          <w:rFonts w:cs="Times New Roman" w:eastAsia="Times New Roman" w:hAnsi="Times New Roman" w:ascii="Times New Roman"/>
          <w:lang w:eastAsia="hr-HR"/>
        </w:rPr>
      </w:pPr>
      <w:r>
        <w:rPr>
          <w:rFonts w:cs="Times New Roman" w:eastAsia="Times New Roman" w:hAnsi="Times New Roman" w:ascii="Times New Roman"/>
          <w:lang w:eastAsia="hr-HR"/>
        </w:rPr>
        <w:t xml:space="preserve">IV.1.   </w:t>
      </w:r>
      <w:r>
        <w:rPr>
          <w:rFonts w:cs="Times New Roman" w:eastAsia="Times New Roman" w:hAnsi="Times New Roman" w:ascii="Times New Roman"/>
          <w:b/>
          <w:lang w:eastAsia="hr-HR"/>
        </w:rPr>
        <w:t>Utvrđene tražbine po isplatnim redovima</w:t>
      </w:r>
      <w:r>
        <w:rPr>
          <w:rFonts w:cs="Times New Roman" w:eastAsia="Times New Roman" w:hAnsi="Times New Roman" w:ascii="Times New Roman"/>
          <w:lang w:eastAsia="hr-HR"/>
        </w:rPr>
        <w:t xml:space="preserve">   </w:t>
      </w:r>
    </w:p>
    <w:p w:rsidRDefault="000508CA" w:rsidP="000508CA" w:rsidR="000508CA">
      <w:pPr>
        <w:pStyle w:val="Bezproreda"/>
        <w:rPr>
          <w:rFonts w:cs="Times New Roman" w:eastAsia="Times New Roman" w:hAnsi="Times New Roman" w:ascii="Times New Roman"/>
          <w:lang w:eastAsia="hr-HR"/>
        </w:rPr>
      </w:pPr>
    </w:p>
    <w:p w:rsidRDefault="000508CA" w:rsidP="000508CA" w:rsidR="000508CA">
      <w:pPr>
        <w:pStyle w:val="Bezproreda"/>
        <w:rPr>
          <w:rFonts w:cs="Times New Roman" w:eastAsia="Times New Roman" w:hAnsi="Times New Roman" w:ascii="Times New Roman"/>
          <w:lang w:eastAsia="hr-HR"/>
        </w:rPr>
      </w:pPr>
      <w:r>
        <w:rPr>
          <w:rFonts w:cs="Times New Roman" w:eastAsia="Times New Roman" w:hAnsi="Times New Roman" w:ascii="Times New Roman"/>
          <w:lang w:eastAsia="hr-HR"/>
        </w:rPr>
        <w:t>Prema zaprimljenim prijavama tražbina, utvrđene su slijedeće obaveze:</w:t>
      </w:r>
    </w:p>
    <w:p w:rsidRDefault="000508CA" w:rsidP="000508CA" w:rsidR="000508CA">
      <w:pPr>
        <w:pStyle w:val="Bezproreda"/>
        <w:rPr>
          <w:rFonts w:cs="Times New Roman" w:eastAsia="Times New Roman" w:hAnsi="Times New Roman" w:ascii="Times New Roman"/>
          <w:lang w:eastAsia="hr-HR"/>
        </w:rPr>
      </w:pPr>
    </w:p>
    <w:p w:rsidRDefault="000508CA" w:rsidP="000508CA" w:rsidR="000508CA">
      <w:pPr>
        <w:pStyle w:val="Bezproreda"/>
        <w:rPr>
          <w:rFonts w:cs="Times New Roman" w:eastAsia="Times New Roman" w:hAnsi="Times New Roman" w:ascii="Times New Roman"/>
          <w:i/>
          <w:lang w:eastAsia="hr-HR"/>
        </w:rPr>
      </w:pPr>
      <w:r>
        <w:rPr>
          <w:rFonts w:cs="Times New Roman" w:eastAsia="Times New Roman" w:hAnsi="Times New Roman" w:ascii="Times New Roman"/>
          <w:lang w:eastAsia="hr-HR"/>
        </w:rPr>
        <w:t xml:space="preserve">                            </w:t>
      </w:r>
      <w:r>
        <w:rPr>
          <w:rFonts w:cs="Times New Roman" w:eastAsia="Times New Roman" w:hAnsi="Times New Roman" w:ascii="Times New Roman"/>
          <w:i/>
          <w:lang w:eastAsia="hr-HR"/>
        </w:rPr>
        <w:t>Obaveze prema stanju ispitanih zaprimljenih prijava tražbina</w:t>
      </w:r>
    </w:p>
    <w:p w:rsidRDefault="000508CA" w:rsidP="000508CA" w:rsidR="000508CA">
      <w:pPr>
        <w:pStyle w:val="Bezproreda"/>
        <w:rPr>
          <w:rFonts w:cs="Times New Roman" w:eastAsia="Times New Roman" w:hAnsi="Times New Roman" w:ascii="Times New Roman"/>
          <w:lang w:eastAsia="hr-HR"/>
        </w:rPr>
      </w:pPr>
    </w:p>
    <w:tbl>
      <w:tblPr>
        <w:tblW w:type="auto" w:w="0"/>
        <w:tblInd w:type="dxa" w:w="77"/>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874"/>
        <w:gridCol w:w="2106"/>
      </w:tblGrid>
      <w:tr w:rsidTr="000508CA" w:rsidR="000508CA">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0508CA" w:rsidR="000508CA">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Isplatni red</w:t>
            </w:r>
          </w:p>
        </w:tc>
        <w:tc>
          <w:tcPr>
            <w:tcW w:type="dxa" w:w="2106"/>
            <w:tcBorders>
              <w:top w:space="0" w:sz="4" w:color="auto" w:val="single"/>
              <w:left w:space="0" w:sz="4" w:color="auto" w:val="single"/>
              <w:bottom w:space="0" w:sz="4" w:color="auto" w:val="single"/>
              <w:right w:space="0" w:sz="4" w:color="auto" w:val="single"/>
            </w:tcBorders>
            <w:hideMark/>
          </w:tcPr>
          <w:p w:rsidRDefault="000508CA" w:rsidR="000508CA">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xml:space="preserve">   Iznos (kn)</w:t>
            </w:r>
          </w:p>
        </w:tc>
      </w:tr>
      <w:tr w:rsidTr="000508CA" w:rsidR="000508CA">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0508CA" w:rsidR="000508CA">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Utvrđene tražbine I višeg isplatnog reda</w:t>
            </w:r>
          </w:p>
        </w:tc>
        <w:tc>
          <w:tcPr>
            <w:tcW w:type="dxa" w:w="2106"/>
            <w:tcBorders>
              <w:top w:space="0" w:sz="4" w:color="auto" w:val="single"/>
              <w:left w:space="0" w:sz="4" w:color="auto" w:val="single"/>
              <w:bottom w:space="0" w:sz="4" w:color="auto" w:val="single"/>
              <w:right w:space="0" w:sz="4" w:color="auto" w:val="single"/>
            </w:tcBorders>
            <w:hideMark/>
          </w:tcPr>
          <w:p w:rsidRDefault="00C5751C" w:rsidR="000508CA">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xml:space="preserve">          825.267,68</w:t>
            </w:r>
          </w:p>
        </w:tc>
      </w:tr>
      <w:tr w:rsidTr="000508CA" w:rsidR="000508CA">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0508CA" w:rsidR="000508CA">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Utvrđene  tražbine II višeg isplatnog reda</w:t>
            </w:r>
          </w:p>
        </w:tc>
        <w:tc>
          <w:tcPr>
            <w:tcW w:type="dxa" w:w="2106"/>
            <w:tcBorders>
              <w:top w:space="0" w:sz="4" w:color="auto" w:val="single"/>
              <w:left w:space="0" w:sz="4" w:color="auto" w:val="single"/>
              <w:bottom w:space="0" w:sz="4" w:color="auto" w:val="single"/>
              <w:right w:space="0" w:sz="4" w:color="auto" w:val="single"/>
            </w:tcBorders>
            <w:hideMark/>
          </w:tcPr>
          <w:p w:rsidRDefault="000508CA" w:rsidR="000508CA">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xml:space="preserve">          230.238,86</w:t>
            </w:r>
          </w:p>
        </w:tc>
      </w:tr>
      <w:tr w:rsidTr="000508CA" w:rsidR="000508CA">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0508CA" w:rsidR="000508CA">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Utvrđene tražbine III višeg isplatnog reda</w:t>
            </w:r>
          </w:p>
        </w:tc>
        <w:tc>
          <w:tcPr>
            <w:tcW w:type="dxa" w:w="2106"/>
            <w:tcBorders>
              <w:top w:space="0" w:sz="4" w:color="auto" w:val="single"/>
              <w:left w:space="0" w:sz="4" w:color="auto" w:val="single"/>
              <w:bottom w:space="0" w:sz="4" w:color="auto" w:val="single"/>
              <w:right w:space="0" w:sz="4" w:color="auto" w:val="single"/>
            </w:tcBorders>
            <w:hideMark/>
          </w:tcPr>
          <w:p w:rsidRDefault="000508CA" w:rsidR="000508CA">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xml:space="preserve">              7.540,05</w:t>
            </w:r>
          </w:p>
        </w:tc>
      </w:tr>
      <w:tr w:rsidTr="000508CA" w:rsidR="000508CA">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0508CA" w:rsidR="000508CA">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Utvrđene tražbine V višeg isplatnog reda</w:t>
            </w:r>
          </w:p>
        </w:tc>
        <w:tc>
          <w:tcPr>
            <w:tcW w:type="dxa" w:w="2106"/>
            <w:tcBorders>
              <w:top w:space="0" w:sz="4" w:color="auto" w:val="single"/>
              <w:left w:space="0" w:sz="4" w:color="auto" w:val="single"/>
              <w:bottom w:space="0" w:sz="4" w:color="auto" w:val="single"/>
              <w:right w:space="0" w:sz="4" w:color="auto" w:val="single"/>
            </w:tcBorders>
            <w:hideMark/>
          </w:tcPr>
          <w:p w:rsidRDefault="00C5751C" w:rsidR="000508CA">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xml:space="preserve">       2.351.783,54</w:t>
            </w:r>
          </w:p>
        </w:tc>
      </w:tr>
      <w:tr w:rsidTr="000508CA" w:rsidR="000508CA">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0508CA" w:rsidR="000508CA">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lastRenderedPageBreak/>
              <w:t>Ukupno utvrđene tražbine</w:t>
            </w:r>
          </w:p>
        </w:tc>
        <w:tc>
          <w:tcPr>
            <w:tcW w:type="dxa" w:w="2106"/>
            <w:tcBorders>
              <w:top w:space="0" w:sz="4" w:color="auto" w:val="single"/>
              <w:left w:space="0" w:sz="4" w:color="auto" w:val="single"/>
              <w:bottom w:space="0" w:sz="4" w:color="auto" w:val="single"/>
              <w:right w:space="0" w:sz="4" w:color="auto" w:val="single"/>
            </w:tcBorders>
            <w:hideMark/>
          </w:tcPr>
          <w:p w:rsidRDefault="00C5751C" w:rsidR="000508CA">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xml:space="preserve">       3.414.830,13</w:t>
            </w:r>
          </w:p>
        </w:tc>
      </w:tr>
    </w:tbl>
    <w:p w:rsidRDefault="000508CA" w:rsidP="000508CA" w:rsidR="000508CA">
      <w:pPr>
        <w:pStyle w:val="Bezproreda"/>
        <w:rPr>
          <w:rFonts w:cs="Times New Roman" w:eastAsia="Times New Roman" w:hAnsi="Times New Roman" w:ascii="Times New Roman"/>
          <w:lang w:eastAsia="hr-HR"/>
        </w:rPr>
      </w:pPr>
    </w:p>
    <w:p w:rsidRDefault="000508CA" w:rsidP="000508CA" w:rsidR="000508CA">
      <w:pPr>
        <w:pStyle w:val="Bezproreda"/>
        <w:rPr>
          <w:rFonts w:cs="Times New Roman" w:eastAsia="Times New Roman" w:hAnsi="Times New Roman" w:ascii="Times New Roman"/>
          <w:lang w:eastAsia="hr-HR"/>
        </w:rPr>
      </w:pPr>
      <w:r>
        <w:rPr>
          <w:rFonts w:cs="Times New Roman" w:eastAsia="Times New Roman" w:hAnsi="Times New Roman" w:ascii="Times New Roman"/>
          <w:lang w:eastAsia="hr-HR"/>
        </w:rPr>
        <w:t>Popis vjerovnik sukladno odredbi članka 222. Stečajnog zakona u prilogu je izvješća.</w:t>
      </w:r>
    </w:p>
    <w:p w:rsidRDefault="000508CA" w:rsidP="000508CA" w:rsidR="000508CA">
      <w:pPr>
        <w:pStyle w:val="Bezproreda"/>
        <w:rPr>
          <w:rFonts w:cs="Times New Roman" w:eastAsia="Times New Roman" w:hAnsi="Times New Roman" w:ascii="Times New Roman"/>
          <w:lang w:eastAsia="hr-HR"/>
        </w:rPr>
      </w:pPr>
    </w:p>
    <w:p w:rsidRDefault="000508CA" w:rsidP="000508CA" w:rsidR="000508CA">
      <w:pPr>
        <w:pStyle w:val="Bezproreda"/>
        <w:rPr>
          <w:rFonts w:cs="Times New Roman" w:eastAsia="Times New Roman" w:hAnsi="Times New Roman" w:ascii="Times New Roman"/>
          <w:lang w:eastAsia="hr-HR"/>
        </w:rPr>
      </w:pPr>
    </w:p>
    <w:p w:rsidRDefault="000508CA" w:rsidP="000508CA" w:rsidR="000508CA">
      <w:pPr>
        <w:pStyle w:val="Bezproreda"/>
        <w:rPr>
          <w:rFonts w:cs="Times New Roman" w:eastAsia="Times New Roman" w:hAnsi="Times New Roman" w:ascii="Times New Roman"/>
          <w:i/>
          <w:lang w:eastAsia="hr-HR"/>
        </w:rPr>
      </w:pPr>
      <w:r>
        <w:rPr>
          <w:rFonts w:cs="Times New Roman" w:eastAsia="Times New Roman" w:hAnsi="Times New Roman" w:ascii="Times New Roman"/>
          <w:lang w:eastAsia="hr-HR"/>
        </w:rPr>
        <w:t xml:space="preserve">VI.2. </w:t>
      </w:r>
      <w:r>
        <w:rPr>
          <w:rFonts w:cs="Times New Roman" w:eastAsia="Times New Roman" w:hAnsi="Times New Roman" w:ascii="Times New Roman"/>
          <w:b/>
          <w:lang w:eastAsia="hr-HR"/>
        </w:rPr>
        <w:t>Procijenjeni troškovi stečajnog postupka na teret stečajne mase</w:t>
      </w:r>
    </w:p>
    <w:p w:rsidRDefault="000508CA" w:rsidP="000508CA" w:rsidR="000508CA">
      <w:pPr>
        <w:pStyle w:val="Bezproreda"/>
        <w:rPr>
          <w:rFonts w:cs="Times New Roman" w:eastAsia="Times New Roman" w:hAnsi="Times New Roman" w:ascii="Times New Roman"/>
          <w:lang w:eastAsia="hr-HR"/>
        </w:rPr>
      </w:pPr>
    </w:p>
    <w:p w:rsidRDefault="000508CA" w:rsidP="000508CA" w:rsidR="000508CA">
      <w:pPr>
        <w:pStyle w:val="Bezproreda"/>
        <w:rPr>
          <w:rFonts w:cs="Times New Roman" w:eastAsia="Times New Roman" w:hAnsi="Times New Roman" w:ascii="Times New Roman"/>
          <w:lang w:eastAsia="hr-HR"/>
        </w:rPr>
      </w:pPr>
      <w:r>
        <w:rPr>
          <w:rFonts w:cs="Times New Roman" w:eastAsia="Times New Roman" w:hAnsi="Times New Roman" w:ascii="Times New Roman"/>
          <w:lang w:eastAsia="hr-HR"/>
        </w:rPr>
        <w:t>Ukupno predvidivi troškova  stečajnog postupka procjenjuju se na očekivanom minimalnom trajanju stečajnog postupka od 18 mjeseci, te se isti  procjenjuju u slijedećem iznosu:</w:t>
      </w:r>
    </w:p>
    <w:p w:rsidRDefault="000508CA" w:rsidP="000508CA" w:rsidR="000508CA">
      <w:pPr>
        <w:pStyle w:val="Bezproreda"/>
        <w:rPr>
          <w:rFonts w:cs="Times New Roman" w:eastAsia="Times New Roman" w:hAnsi="Times New Roman" w:ascii="Times New Roman"/>
          <w:lang w:eastAsia="hr-HR"/>
        </w:rPr>
      </w:pPr>
    </w:p>
    <w:tbl>
      <w:tblPr>
        <w:tblW w:type="auto" w:w="0"/>
        <w:tblInd w:type="dxa" w:w="77"/>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874"/>
        <w:gridCol w:w="2106"/>
      </w:tblGrid>
      <w:tr w:rsidTr="000508CA" w:rsidR="000508CA">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0508CA" w:rsidR="000508CA">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Predvidivi troškovi</w:t>
            </w:r>
          </w:p>
        </w:tc>
        <w:tc>
          <w:tcPr>
            <w:tcW w:type="dxa" w:w="2106"/>
            <w:tcBorders>
              <w:top w:space="0" w:sz="4" w:color="auto" w:val="single"/>
              <w:left w:space="0" w:sz="4" w:color="auto" w:val="single"/>
              <w:bottom w:space="0" w:sz="4" w:color="auto" w:val="single"/>
              <w:right w:space="0" w:sz="4" w:color="auto" w:val="single"/>
            </w:tcBorders>
            <w:hideMark/>
          </w:tcPr>
          <w:p w:rsidRDefault="000508CA" w:rsidR="000508CA">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xml:space="preserve">   Iznos (kn)</w:t>
            </w:r>
          </w:p>
        </w:tc>
      </w:tr>
      <w:tr w:rsidTr="000508CA" w:rsidR="000508CA">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0508CA" w:rsidR="000508CA">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xml:space="preserve">Troškovi knjigovodstva </w:t>
            </w:r>
          </w:p>
        </w:tc>
        <w:tc>
          <w:tcPr>
            <w:tcW w:type="dxa" w:w="2106"/>
            <w:tcBorders>
              <w:top w:space="0" w:sz="4" w:color="auto" w:val="single"/>
              <w:left w:space="0" w:sz="4" w:color="auto" w:val="single"/>
              <w:bottom w:space="0" w:sz="4" w:color="auto" w:val="single"/>
              <w:right w:space="0" w:sz="4" w:color="auto" w:val="single"/>
            </w:tcBorders>
            <w:hideMark/>
          </w:tcPr>
          <w:p w:rsidRDefault="000508CA" w:rsidR="000508CA">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xml:space="preserve">      40.600</w:t>
            </w:r>
          </w:p>
        </w:tc>
      </w:tr>
      <w:tr w:rsidTr="000508CA" w:rsidR="000508CA">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0508CA" w:rsidR="000508CA">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Troškovi vještaka</w:t>
            </w:r>
          </w:p>
        </w:tc>
        <w:tc>
          <w:tcPr>
            <w:tcW w:type="dxa" w:w="2106"/>
            <w:tcBorders>
              <w:top w:space="0" w:sz="4" w:color="auto" w:val="single"/>
              <w:left w:space="0" w:sz="4" w:color="auto" w:val="single"/>
              <w:bottom w:space="0" w:sz="4" w:color="auto" w:val="single"/>
              <w:right w:space="0" w:sz="4" w:color="auto" w:val="single"/>
            </w:tcBorders>
            <w:hideMark/>
          </w:tcPr>
          <w:p w:rsidRDefault="000508CA" w:rsidR="000508CA">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xml:space="preserve">        6.000</w:t>
            </w:r>
          </w:p>
        </w:tc>
      </w:tr>
      <w:tr w:rsidTr="000508CA" w:rsidR="000508CA">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0508CA" w:rsidR="000508CA">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Troškovi oglašavanja ( FINA i sl.)</w:t>
            </w:r>
          </w:p>
        </w:tc>
        <w:tc>
          <w:tcPr>
            <w:tcW w:type="dxa" w:w="2106"/>
            <w:tcBorders>
              <w:top w:space="0" w:sz="4" w:color="auto" w:val="single"/>
              <w:left w:space="0" w:sz="4" w:color="auto" w:val="single"/>
              <w:bottom w:space="0" w:sz="4" w:color="auto" w:val="single"/>
              <w:right w:space="0" w:sz="4" w:color="auto" w:val="single"/>
            </w:tcBorders>
            <w:hideMark/>
          </w:tcPr>
          <w:p w:rsidRDefault="000508CA" w:rsidR="000508CA">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xml:space="preserve">        1.000</w:t>
            </w:r>
          </w:p>
        </w:tc>
      </w:tr>
      <w:tr w:rsidTr="000508CA" w:rsidR="000508CA">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0508CA" w:rsidR="000508CA">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xml:space="preserve">Troškovi zakupa prostora sa režijama </w:t>
            </w:r>
          </w:p>
        </w:tc>
        <w:tc>
          <w:tcPr>
            <w:tcW w:type="dxa" w:w="2106"/>
            <w:tcBorders>
              <w:top w:space="0" w:sz="4" w:color="auto" w:val="single"/>
              <w:left w:space="0" w:sz="4" w:color="auto" w:val="single"/>
              <w:bottom w:space="0" w:sz="4" w:color="auto" w:val="single"/>
              <w:right w:space="0" w:sz="4" w:color="auto" w:val="single"/>
            </w:tcBorders>
            <w:hideMark/>
          </w:tcPr>
          <w:p w:rsidRDefault="000508CA" w:rsidR="000508CA">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xml:space="preserve">      40.000</w:t>
            </w:r>
          </w:p>
        </w:tc>
      </w:tr>
      <w:tr w:rsidTr="000508CA" w:rsidR="000508CA">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0508CA" w:rsidR="000508CA">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Bruto plaće radnika – otkazni rok i na određeno vrijeme</w:t>
            </w:r>
          </w:p>
        </w:tc>
        <w:tc>
          <w:tcPr>
            <w:tcW w:type="dxa" w:w="2106"/>
            <w:tcBorders>
              <w:top w:space="0" w:sz="4" w:color="auto" w:val="single"/>
              <w:left w:space="0" w:sz="4" w:color="auto" w:val="single"/>
              <w:bottom w:space="0" w:sz="4" w:color="auto" w:val="single"/>
              <w:right w:space="0" w:sz="4" w:color="auto" w:val="single"/>
            </w:tcBorders>
            <w:hideMark/>
          </w:tcPr>
          <w:p w:rsidRDefault="000508CA" w:rsidR="000508CA">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xml:space="preserve">    253.890</w:t>
            </w:r>
          </w:p>
        </w:tc>
      </w:tr>
      <w:tr w:rsidTr="000508CA" w:rsidR="000508CA">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0508CA" w:rsidR="000508CA">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xml:space="preserve">Troškovi prijevoza, smještaja arhive i pokretnina </w:t>
            </w:r>
          </w:p>
        </w:tc>
        <w:tc>
          <w:tcPr>
            <w:tcW w:type="dxa" w:w="2106"/>
            <w:tcBorders>
              <w:top w:space="0" w:sz="4" w:color="auto" w:val="single"/>
              <w:left w:space="0" w:sz="4" w:color="auto" w:val="single"/>
              <w:bottom w:space="0" w:sz="4" w:color="auto" w:val="single"/>
              <w:right w:space="0" w:sz="4" w:color="auto" w:val="single"/>
            </w:tcBorders>
            <w:hideMark/>
          </w:tcPr>
          <w:p w:rsidRDefault="000508CA" w:rsidR="000508CA">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xml:space="preserve">        3.000</w:t>
            </w:r>
          </w:p>
        </w:tc>
      </w:tr>
      <w:tr w:rsidTr="000508CA" w:rsidR="000508CA">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0508CA" w:rsidR="000508CA">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xml:space="preserve">Predvidivi troškovi sudskih postupka, bilježnika i sl. </w:t>
            </w:r>
          </w:p>
        </w:tc>
        <w:tc>
          <w:tcPr>
            <w:tcW w:type="dxa" w:w="2106"/>
            <w:tcBorders>
              <w:top w:space="0" w:sz="4" w:color="auto" w:val="single"/>
              <w:left w:space="0" w:sz="4" w:color="auto" w:val="single"/>
              <w:bottom w:space="0" w:sz="4" w:color="auto" w:val="single"/>
              <w:right w:space="0" w:sz="4" w:color="auto" w:val="single"/>
            </w:tcBorders>
            <w:hideMark/>
          </w:tcPr>
          <w:p w:rsidRDefault="000508CA" w:rsidR="000508CA">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xml:space="preserve">    155.000</w:t>
            </w:r>
          </w:p>
        </w:tc>
      </w:tr>
      <w:tr w:rsidTr="000508CA" w:rsidR="000508CA">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0508CA" w:rsidR="000508CA">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Nagrada stečajnog upravitelja bruto prema Uredbi</w:t>
            </w:r>
          </w:p>
          <w:p w:rsidRDefault="000508CA" w:rsidR="000508CA">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xml:space="preserve">( </w:t>
            </w:r>
            <w:r>
              <w:rPr>
                <w:rFonts w:cs="Times New Roman" w:eastAsia="Times New Roman" w:hAnsi="Times New Roman" w:ascii="Times New Roman"/>
                <w:sz w:val="18"/>
                <w:szCs w:val="18"/>
              </w:rPr>
              <w:t>na osnovi predvidive stečajne mase</w:t>
            </w:r>
            <w:r>
              <w:rPr>
                <w:rFonts w:cs="Times New Roman" w:eastAsia="Times New Roman" w:hAnsi="Times New Roman" w:ascii="Times New Roman"/>
              </w:rPr>
              <w:t xml:space="preserve"> )</w:t>
            </w:r>
          </w:p>
        </w:tc>
        <w:tc>
          <w:tcPr>
            <w:tcW w:type="dxa" w:w="2106"/>
            <w:tcBorders>
              <w:top w:space="0" w:sz="4" w:color="auto" w:val="single"/>
              <w:left w:space="0" w:sz="4" w:color="auto" w:val="single"/>
              <w:bottom w:space="0" w:sz="4" w:color="auto" w:val="single"/>
              <w:right w:space="0" w:sz="4" w:color="auto" w:val="single"/>
            </w:tcBorders>
            <w:hideMark/>
          </w:tcPr>
          <w:p w:rsidRDefault="000508CA" w:rsidR="000508CA">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xml:space="preserve">    205.000</w:t>
            </w:r>
          </w:p>
        </w:tc>
      </w:tr>
      <w:tr w:rsidTr="000508CA" w:rsidR="000508CA">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0508CA" w:rsidR="000508CA">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Troškovi naknada suradnika - bruto</w:t>
            </w:r>
          </w:p>
        </w:tc>
        <w:tc>
          <w:tcPr>
            <w:tcW w:type="dxa" w:w="2106"/>
            <w:tcBorders>
              <w:top w:space="0" w:sz="4" w:color="auto" w:val="single"/>
              <w:left w:space="0" w:sz="4" w:color="auto" w:val="single"/>
              <w:bottom w:space="0" w:sz="4" w:color="auto" w:val="single"/>
              <w:right w:space="0" w:sz="4" w:color="auto" w:val="single"/>
            </w:tcBorders>
            <w:hideMark/>
          </w:tcPr>
          <w:p w:rsidRDefault="000508CA" w:rsidR="000508CA">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xml:space="preserve">      20.000</w:t>
            </w:r>
          </w:p>
        </w:tc>
      </w:tr>
      <w:tr w:rsidTr="000508CA" w:rsidR="000508CA">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0508CA" w:rsidR="000508CA">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Troškovi pohrane arhive nakon okončanja stečaja</w:t>
            </w:r>
          </w:p>
        </w:tc>
        <w:tc>
          <w:tcPr>
            <w:tcW w:type="dxa" w:w="2106"/>
            <w:tcBorders>
              <w:top w:space="0" w:sz="4" w:color="auto" w:val="single"/>
              <w:left w:space="0" w:sz="4" w:color="auto" w:val="single"/>
              <w:bottom w:space="0" w:sz="4" w:color="auto" w:val="single"/>
              <w:right w:space="0" w:sz="4" w:color="auto" w:val="single"/>
            </w:tcBorders>
            <w:hideMark/>
          </w:tcPr>
          <w:p w:rsidRDefault="000508CA" w:rsidR="000508CA">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xml:space="preserve">        5.000</w:t>
            </w:r>
          </w:p>
        </w:tc>
      </w:tr>
      <w:tr w:rsidTr="000508CA" w:rsidR="000508CA">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0508CA" w:rsidR="000508CA">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Troškovi otvaranja računa,  žiga, statistike, putni i sl.</w:t>
            </w:r>
          </w:p>
        </w:tc>
        <w:tc>
          <w:tcPr>
            <w:tcW w:type="dxa" w:w="2106"/>
            <w:tcBorders>
              <w:top w:space="0" w:sz="4" w:color="auto" w:val="single"/>
              <w:left w:space="0" w:sz="4" w:color="auto" w:val="single"/>
              <w:bottom w:space="0" w:sz="4" w:color="auto" w:val="single"/>
              <w:right w:space="0" w:sz="4" w:color="auto" w:val="single"/>
            </w:tcBorders>
            <w:hideMark/>
          </w:tcPr>
          <w:p w:rsidRDefault="000508CA" w:rsidR="000508CA">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xml:space="preserve">        7.000</w:t>
            </w:r>
          </w:p>
        </w:tc>
      </w:tr>
      <w:tr w:rsidTr="000508CA" w:rsidR="000508CA">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0508CA" w:rsidR="000508CA">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Predvidivi troškovi bankarske naknade</w:t>
            </w:r>
          </w:p>
        </w:tc>
        <w:tc>
          <w:tcPr>
            <w:tcW w:type="dxa" w:w="2106"/>
            <w:tcBorders>
              <w:top w:space="0" w:sz="4" w:color="auto" w:val="single"/>
              <w:left w:space="0" w:sz="4" w:color="auto" w:val="single"/>
              <w:bottom w:space="0" w:sz="4" w:color="auto" w:val="single"/>
              <w:right w:space="0" w:sz="4" w:color="auto" w:val="single"/>
            </w:tcBorders>
            <w:hideMark/>
          </w:tcPr>
          <w:p w:rsidRDefault="000508CA" w:rsidR="000508CA">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xml:space="preserve">        3.500</w:t>
            </w:r>
          </w:p>
        </w:tc>
      </w:tr>
      <w:tr w:rsidTr="000508CA" w:rsidR="000508CA">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0508CA" w:rsidR="000508CA">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Ostali nepredvidivi troškovi</w:t>
            </w:r>
          </w:p>
        </w:tc>
        <w:tc>
          <w:tcPr>
            <w:tcW w:type="dxa" w:w="2106"/>
            <w:tcBorders>
              <w:top w:space="0" w:sz="4" w:color="auto" w:val="single"/>
              <w:left w:space="0" w:sz="4" w:color="auto" w:val="single"/>
              <w:bottom w:space="0" w:sz="4" w:color="auto" w:val="single"/>
              <w:right w:space="0" w:sz="4" w:color="auto" w:val="single"/>
            </w:tcBorders>
            <w:hideMark/>
          </w:tcPr>
          <w:p w:rsidRDefault="000508CA" w:rsidR="000508CA">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xml:space="preserve">        1.500   </w:t>
            </w:r>
          </w:p>
        </w:tc>
      </w:tr>
      <w:tr w:rsidTr="000508CA" w:rsidR="000508CA">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0508CA" w:rsidR="000508CA">
            <w:pPr>
              <w:pStyle w:val="Bezproreda"/>
              <w:spacing w:lineRule="auto" w:line="276"/>
              <w:rPr>
                <w:rFonts w:cs="Times New Roman" w:eastAsia="Times New Roman" w:hAnsi="Times New Roman" w:ascii="Times New Roman"/>
                <w:b/>
              </w:rPr>
            </w:pPr>
            <w:r>
              <w:rPr>
                <w:rFonts w:cs="Times New Roman" w:eastAsia="Times New Roman" w:hAnsi="Times New Roman" w:ascii="Times New Roman"/>
                <w:b/>
              </w:rPr>
              <w:t>Ukupno predvidivi troškovi postupka</w:t>
            </w:r>
          </w:p>
        </w:tc>
        <w:tc>
          <w:tcPr>
            <w:tcW w:type="dxa" w:w="2106"/>
            <w:tcBorders>
              <w:top w:space="0" w:sz="4" w:color="auto" w:val="single"/>
              <w:left w:space="0" w:sz="4" w:color="auto" w:val="single"/>
              <w:bottom w:space="0" w:sz="4" w:color="auto" w:val="single"/>
              <w:right w:space="0" w:sz="4" w:color="auto" w:val="single"/>
            </w:tcBorders>
            <w:hideMark/>
          </w:tcPr>
          <w:p w:rsidRDefault="000508CA" w:rsidR="000508CA">
            <w:pPr>
              <w:pStyle w:val="Bezproreda"/>
              <w:spacing w:lineRule="auto" w:line="276"/>
              <w:rPr>
                <w:rFonts w:cs="Times New Roman" w:eastAsia="Times New Roman" w:hAnsi="Times New Roman" w:ascii="Times New Roman"/>
                <w:b/>
              </w:rPr>
            </w:pPr>
            <w:r>
              <w:rPr>
                <w:rFonts w:cs="Times New Roman" w:eastAsia="Times New Roman" w:hAnsi="Times New Roman" w:ascii="Times New Roman"/>
                <w:b/>
              </w:rPr>
              <w:t xml:space="preserve">    741.490</w:t>
            </w:r>
          </w:p>
        </w:tc>
      </w:tr>
    </w:tbl>
    <w:p w:rsidRDefault="000508CA" w:rsidP="000508CA" w:rsidR="000508CA">
      <w:pPr>
        <w:pStyle w:val="Bezproreda"/>
      </w:pPr>
    </w:p>
    <w:p w:rsidRDefault="000508CA" w:rsidP="000508CA" w:rsidR="000508CA">
      <w:pPr>
        <w:pStyle w:val="Bezproreda"/>
      </w:pPr>
      <w:r>
        <w:t>Predvidivi troškovi postupka obračunati su na osnovi predvidive duljine trajanja stečajnog postupka od 18 mjeseci.</w:t>
      </w:r>
    </w:p>
    <w:p w:rsidRDefault="000508CA" w:rsidP="000508CA" w:rsidR="000508CA">
      <w:pPr>
        <w:pStyle w:val="Bezproreda"/>
      </w:pPr>
    </w:p>
    <w:p w:rsidRDefault="000508CA" w:rsidP="000508CA" w:rsidR="000508CA">
      <w:pPr>
        <w:pStyle w:val="Bezproreda"/>
      </w:pPr>
      <w:r>
        <w:t xml:space="preserve">Troškovi knjigovodstva vezani su uz opisanu namjeru angažiranja knjigovodstvenog servisa za vođenje poslovnih knjiga tijekom kolovoza 2018.g., pri čemu je neophodno istaknuti da se radi o bankarskom poslovanju i specifičnosti samog knjigovodstva. Troškovi procjene nekretnine vezani su uz nekretninu u vlasništvu stečajnog dužnika, uz predvidivu okolnost potrebe angažiranja geodete za </w:t>
      </w:r>
      <w:proofErr w:type="spellStart"/>
      <w:r>
        <w:t>indentifikaciju</w:t>
      </w:r>
      <w:proofErr w:type="spellEnd"/>
      <w:r>
        <w:t xml:space="preserve"> nekretnine i troškova objave prodaje kod FINE-e. Banka ne posjeduje vlastite poslovne prostorije, te je za provođenje postupka neophodno osigurati zakupljeni prostor kao i prostor zatečen u zakupu do unovčenja namještaja koji se nalazi u demontiranom stanju kako je već naprijed opisano. Sukladno odredbama </w:t>
      </w:r>
      <w:r w:rsidR="00566DED">
        <w:t xml:space="preserve">članka 156. </w:t>
      </w:r>
      <w:r>
        <w:t>Stečajnog zakona, plaće nastale nakon otvaranja stečajnog postupka</w:t>
      </w:r>
      <w:r w:rsidR="00566DED">
        <w:t xml:space="preserve"> ( otkazni rok i ugovori o radu u stečaju na određeno vrijeme)</w:t>
      </w:r>
      <w:r>
        <w:t>, predstavljaju troškove postupka</w:t>
      </w:r>
      <w:r w:rsidR="006345EE">
        <w:t xml:space="preserve"> koji su podmirivani po dospijeću</w:t>
      </w:r>
      <w:r w:rsidR="00566DED">
        <w:t>.</w:t>
      </w:r>
      <w:r w:rsidR="006345EE">
        <w:t xml:space="preserve"> </w:t>
      </w:r>
      <w:r w:rsidR="00566DED">
        <w:t xml:space="preserve"> </w:t>
      </w:r>
      <w:r>
        <w:t>U trenutku otvaranja stečaja cjelokupna imovina i dokumentacija  banke bila je izmještena u prostore Hrvatske narodne banke</w:t>
      </w:r>
      <w:r w:rsidR="00566DED">
        <w:t xml:space="preserve"> i skladištu na Zagrebačkom velesajmu</w:t>
      </w:r>
      <w:r>
        <w:t xml:space="preserve">, te je istu nakon preuzimanja trebalo prevesti na druge lokacije, te će </w:t>
      </w:r>
      <w:r>
        <w:lastRenderedPageBreak/>
        <w:t xml:space="preserve">također po okončanju postupka biti neophodno daljnje </w:t>
      </w:r>
      <w:proofErr w:type="spellStart"/>
      <w:r>
        <w:t>izmještanje</w:t>
      </w:r>
      <w:proofErr w:type="spellEnd"/>
      <w:r>
        <w:t xml:space="preserve"> dokumentacije dužnika, te je za navedeno, trebalo uzeti u obzir nastanak iskazanog troška.</w:t>
      </w:r>
    </w:p>
    <w:p w:rsidRDefault="000508CA" w:rsidP="000508CA" w:rsidR="000508CA">
      <w:pPr>
        <w:pStyle w:val="Bezproreda"/>
      </w:pPr>
    </w:p>
    <w:p w:rsidRDefault="000508CA" w:rsidP="000508CA" w:rsidR="000508CA">
      <w:pPr>
        <w:pStyle w:val="Bezproreda"/>
      </w:pPr>
      <w:r>
        <w:t>U dijelu predvidivih sudskih troškova ukalkulirani su samo nužni predvidivi troškovi pokretanja prisilnih naplata, ovršnih postupaka radi unov</w:t>
      </w:r>
      <w:r w:rsidR="00460413">
        <w:t xml:space="preserve">čenja založene  imovine klijenata </w:t>
      </w:r>
      <w:r>
        <w:t xml:space="preserve"> i / ili njihovih jamaca i založnih dužnika i to u odnosu na klijente za koje se procijenilo nužno pokretanje postupaka p</w:t>
      </w:r>
      <w:r w:rsidR="002D6745">
        <w:t>r</w:t>
      </w:r>
      <w:r>
        <w:t xml:space="preserve">isilne naplate. U okviru troškova nisu predviđene eventualne parnice koje bi procesno mogle nastati u okviru ovršnih postupaka koje pokrene stečajni dužnik. </w:t>
      </w:r>
    </w:p>
    <w:p w:rsidRDefault="000508CA" w:rsidP="000508CA" w:rsidR="000508CA">
      <w:pPr>
        <w:pStyle w:val="Bezproreda"/>
      </w:pPr>
    </w:p>
    <w:p w:rsidRDefault="000508CA" w:rsidP="000508CA" w:rsidR="000508CA">
      <w:pPr>
        <w:pStyle w:val="Bezproreda"/>
      </w:pPr>
      <w:r>
        <w:t xml:space="preserve">Nagrada stečajnog upravitelja iskazana je na osnovi odredbi Uredbe o načinu obračuna nagrade ( NN 105/15) na osnovi očekivane procijenjene visine stečajne mase ( točka III izvješća), te ista podliježe promjeni, povećanju ili smanjenju,  sukladno stvarno ostvarenoj visini stečajne mase. </w:t>
      </w:r>
    </w:p>
    <w:p w:rsidRDefault="000508CA" w:rsidP="000508CA" w:rsidR="000508CA">
      <w:pPr>
        <w:pStyle w:val="Bezproreda"/>
      </w:pPr>
    </w:p>
    <w:p w:rsidRDefault="000508CA" w:rsidP="000508CA" w:rsidR="000508CA">
      <w:pPr>
        <w:pStyle w:val="Bezproreda"/>
      </w:pPr>
      <w:r>
        <w:t>Ostali predvidivi troškovi obuhvaćaju troškove suradnika vezanih uz administrativne poslove u samom uredu stečajnog upravitelja, po potrebi izlazak na teren u postupcima prodaje, ovršnim postupcima koje će Banka voditi,   nadzora imovine  i drugih poslova vezanih uz stečajni postupak po nalogu stečajnog upravitelja. Također su iskazani predvidivi nužni troškovi izrade žiga, bankarske naknade vođenja računa stečajnog dužnika, troškovi pohrane arhive koju nakon zaključenja stečaja treba trajno zbrinuti.</w:t>
      </w:r>
    </w:p>
    <w:p w:rsidRDefault="000508CA" w:rsidP="000508CA" w:rsidR="000508CA">
      <w:pPr>
        <w:pStyle w:val="Bezproreda"/>
      </w:pPr>
    </w:p>
    <w:p w:rsidRDefault="000508CA" w:rsidP="000508CA" w:rsidR="000508CA">
      <w:pPr>
        <w:pStyle w:val="Bezproreda"/>
      </w:pPr>
      <w:r>
        <w:t>Nastavno na iskazanu strukturu predvidivih troškova stečajnog postupka, proizlaze sveukupni predvidivi troškovi postupka od 741.490 kn.</w:t>
      </w:r>
    </w:p>
    <w:p w:rsidRDefault="000508CA" w:rsidP="000508CA" w:rsidR="000508CA">
      <w:pPr>
        <w:pStyle w:val="Bezproreda"/>
      </w:pPr>
    </w:p>
    <w:p w:rsidRDefault="000508CA" w:rsidP="000508CA" w:rsidR="000508CA">
      <w:pPr>
        <w:pStyle w:val="Bezproreda"/>
        <w:rPr>
          <w:b/>
        </w:rPr>
      </w:pPr>
      <w:r>
        <w:t xml:space="preserve">VI.3.   </w:t>
      </w:r>
      <w:r>
        <w:rPr>
          <w:b/>
        </w:rPr>
        <w:t>Odnos imovine i oba</w:t>
      </w:r>
      <w:r w:rsidR="00897C88">
        <w:rPr>
          <w:b/>
        </w:rPr>
        <w:t xml:space="preserve">veza </w:t>
      </w:r>
    </w:p>
    <w:p w:rsidRDefault="000508CA" w:rsidP="000508CA" w:rsidR="000508CA">
      <w:pPr>
        <w:pStyle w:val="Bezproreda"/>
        <w:rPr>
          <w:b/>
        </w:rPr>
      </w:pPr>
    </w:p>
    <w:p w:rsidRDefault="000508CA" w:rsidP="000508CA" w:rsidR="000508CA">
      <w:pPr>
        <w:pStyle w:val="Bezproreda"/>
      </w:pPr>
      <w:r>
        <w:t xml:space="preserve">Očekivana visina stečajne mase iskazana u točki III. Izvješća od 2.0 do 2.7 mil. kn. , te je kao prosječno predvidiva visina određen iznos od </w:t>
      </w:r>
      <w:proofErr w:type="spellStart"/>
      <w:r>
        <w:t>cca</w:t>
      </w:r>
      <w:proofErr w:type="spellEnd"/>
      <w:r>
        <w:t xml:space="preserve"> 2.3 mil. kn kao  očekivana visina stečajne mase za usporedbu sa obavezama temeljem procijenjenih troškova postupka i utvrđenih tražbina vjerovnika po isplatnim redovima.</w:t>
      </w:r>
    </w:p>
    <w:p w:rsidRDefault="000508CA" w:rsidP="000508CA" w:rsidR="000508CA">
      <w:pPr>
        <w:pStyle w:val="Bezproreda"/>
      </w:pPr>
    </w:p>
    <w:p w:rsidRDefault="000508CA" w:rsidP="000508CA" w:rsidR="000508CA">
      <w:pPr>
        <w:pStyle w:val="Bezproreda"/>
      </w:pPr>
      <w:r>
        <w:t>PREGLED IMOVINE I OBAVEZA</w:t>
      </w:r>
    </w:p>
    <w:tbl>
      <w:tblPr>
        <w:tblStyle w:val="Reetkatablice"/>
        <w:tblW w:type="dxa" w:w="9305"/>
        <w:tblInd w:type="dxa" w:w="0"/>
        <w:tblLook w:val="04A0" w:noVBand="1" w:noHBand="0" w:lastColumn="0" w:firstColumn="1" w:lastRow="0" w:firstRow="1"/>
      </w:tblPr>
      <w:tblGrid>
        <w:gridCol w:w="2235"/>
        <w:gridCol w:w="2777"/>
        <w:gridCol w:w="1617"/>
        <w:gridCol w:w="1276"/>
        <w:gridCol w:w="1400"/>
      </w:tblGrid>
      <w:tr w:rsidTr="000508CA" w:rsidR="000508CA">
        <w:tc>
          <w:tcPr>
            <w:tcW w:type="dxa" w:w="2235"/>
            <w:tcBorders>
              <w:top w:val="nil"/>
              <w:left w:val="nil"/>
              <w:bottom w:space="0" w:sz="4" w:color="auto" w:val="single"/>
              <w:right w:val="nil"/>
            </w:tcBorders>
          </w:tcPr>
          <w:p w:rsidRDefault="000508CA" w:rsidR="000508CA">
            <w:pPr>
              <w:pStyle w:val="Bezproreda"/>
              <w:rPr>
                <w:b/>
                <w:sz w:val="20"/>
                <w:szCs w:val="20"/>
              </w:rPr>
            </w:pPr>
          </w:p>
        </w:tc>
        <w:tc>
          <w:tcPr>
            <w:tcW w:type="dxa" w:w="2777"/>
            <w:tcBorders>
              <w:top w:val="nil"/>
              <w:left w:val="nil"/>
              <w:bottom w:space="0" w:sz="4" w:color="auto" w:val="single"/>
              <w:right w:space="0" w:sz="4" w:color="auto" w:val="single"/>
            </w:tcBorders>
          </w:tcPr>
          <w:p w:rsidRDefault="000508CA" w:rsidR="000508CA">
            <w:pPr>
              <w:pStyle w:val="Bezproreda"/>
              <w:rPr>
                <w:b/>
                <w:sz w:val="20"/>
                <w:szCs w:val="20"/>
              </w:rPr>
            </w:pPr>
          </w:p>
        </w:tc>
        <w:tc>
          <w:tcPr>
            <w:tcW w:type="dxa" w:w="4293"/>
            <w:gridSpan w:val="3"/>
            <w:tcBorders>
              <w:top w:space="0" w:sz="4" w:color="auto" w:val="single"/>
              <w:left w:space="0" w:sz="4" w:color="auto" w:val="single"/>
              <w:bottom w:space="0" w:sz="4" w:color="auto" w:val="single"/>
              <w:right w:space="0" w:sz="4" w:color="auto" w:val="single"/>
            </w:tcBorders>
            <w:hideMark/>
          </w:tcPr>
          <w:p w:rsidRDefault="000508CA" w:rsidR="000508CA">
            <w:pPr>
              <w:pStyle w:val="Bezproreda"/>
              <w:rPr>
                <w:b/>
                <w:i/>
                <w:sz w:val="20"/>
                <w:szCs w:val="20"/>
              </w:rPr>
            </w:pPr>
            <w:r>
              <w:rPr>
                <w:b/>
                <w:i/>
                <w:sz w:val="20"/>
                <w:szCs w:val="20"/>
              </w:rPr>
              <w:t>PROCIJENJENO NAMIRENJE TROŠKOVA I VJEROVNIKA PO ISPL. REDOVIMA</w:t>
            </w:r>
          </w:p>
        </w:tc>
      </w:tr>
      <w:tr w:rsidTr="000508CA" w:rsidR="000508CA">
        <w:tc>
          <w:tcPr>
            <w:tcW w:type="dxa" w:w="2235"/>
            <w:tcBorders>
              <w:top w:space="0" w:sz="4" w:color="auto" w:val="single"/>
              <w:left w:space="0" w:sz="4" w:themeColor="text1" w:color="000000" w:val="single"/>
              <w:bottom w:space="0" w:sz="4" w:color="auto" w:val="single"/>
              <w:right w:space="0" w:sz="4" w:themeColor="text1" w:color="000000" w:val="single"/>
            </w:tcBorders>
            <w:hideMark/>
          </w:tcPr>
          <w:p w:rsidRDefault="000508CA" w:rsidR="000508CA">
            <w:pPr>
              <w:pStyle w:val="Bezproreda"/>
              <w:rPr>
                <w:b/>
                <w:i/>
                <w:sz w:val="20"/>
                <w:szCs w:val="20"/>
              </w:rPr>
            </w:pPr>
            <w:r>
              <w:rPr>
                <w:b/>
                <w:i/>
                <w:sz w:val="20"/>
                <w:szCs w:val="20"/>
              </w:rPr>
              <w:t>PROCIJENJENA</w:t>
            </w:r>
          </w:p>
          <w:p w:rsidRDefault="000508CA" w:rsidR="000508CA">
            <w:pPr>
              <w:pStyle w:val="Bezproreda"/>
              <w:rPr>
                <w:b/>
                <w:i/>
                <w:sz w:val="20"/>
                <w:szCs w:val="20"/>
              </w:rPr>
            </w:pPr>
            <w:r>
              <w:rPr>
                <w:b/>
                <w:i/>
                <w:sz w:val="20"/>
                <w:szCs w:val="20"/>
              </w:rPr>
              <w:t>VISINA STEČAJNE MASE</w:t>
            </w:r>
          </w:p>
        </w:tc>
        <w:tc>
          <w:tcPr>
            <w:tcW w:type="dxa" w:w="2777"/>
            <w:tcBorders>
              <w:top w:space="0" w:sz="4" w:color="auto" w:val="single"/>
              <w:left w:space="0" w:sz="4" w:themeColor="text1" w:color="000000" w:val="single"/>
              <w:bottom w:space="0" w:sz="4" w:color="auto" w:val="single"/>
              <w:right w:space="0" w:sz="4" w:themeColor="text1" w:color="000000" w:val="single"/>
            </w:tcBorders>
            <w:hideMark/>
          </w:tcPr>
          <w:p w:rsidRDefault="000508CA" w:rsidR="000508CA">
            <w:pPr>
              <w:pStyle w:val="Bezproreda"/>
              <w:rPr>
                <w:b/>
                <w:i/>
                <w:sz w:val="20"/>
                <w:szCs w:val="20"/>
              </w:rPr>
            </w:pPr>
            <w:r>
              <w:rPr>
                <w:b/>
                <w:i/>
                <w:sz w:val="20"/>
                <w:szCs w:val="20"/>
              </w:rPr>
              <w:t>OSNOV</w:t>
            </w:r>
          </w:p>
          <w:p w:rsidRDefault="000508CA" w:rsidR="000508CA">
            <w:pPr>
              <w:pStyle w:val="Bezproreda"/>
              <w:rPr>
                <w:b/>
                <w:i/>
                <w:sz w:val="20"/>
                <w:szCs w:val="20"/>
              </w:rPr>
            </w:pPr>
            <w:r>
              <w:rPr>
                <w:b/>
                <w:i/>
                <w:sz w:val="20"/>
                <w:szCs w:val="20"/>
              </w:rPr>
              <w:t>ISPLATNI RED</w:t>
            </w:r>
          </w:p>
        </w:tc>
        <w:tc>
          <w:tcPr>
            <w:tcW w:type="dxa" w:w="1617"/>
            <w:tcBorders>
              <w:top w:space="0" w:sz="4" w:color="auto" w:val="single"/>
              <w:left w:space="0" w:sz="4" w:themeColor="text1" w:color="000000" w:val="single"/>
              <w:bottom w:space="0" w:sz="4" w:color="auto" w:val="single"/>
              <w:right w:space="0" w:sz="4" w:themeColor="text1" w:color="000000" w:val="single"/>
            </w:tcBorders>
            <w:hideMark/>
          </w:tcPr>
          <w:p w:rsidRDefault="000508CA" w:rsidR="000508CA">
            <w:pPr>
              <w:pStyle w:val="Bezproreda"/>
              <w:rPr>
                <w:b/>
                <w:i/>
                <w:sz w:val="20"/>
                <w:szCs w:val="20"/>
              </w:rPr>
            </w:pPr>
            <w:r>
              <w:rPr>
                <w:b/>
                <w:i/>
                <w:sz w:val="20"/>
                <w:szCs w:val="20"/>
              </w:rPr>
              <w:t>UTVRĐENI</w:t>
            </w:r>
          </w:p>
          <w:p w:rsidRDefault="000508CA" w:rsidR="000508CA">
            <w:pPr>
              <w:pStyle w:val="Bezproreda"/>
              <w:rPr>
                <w:b/>
                <w:i/>
                <w:sz w:val="20"/>
                <w:szCs w:val="20"/>
              </w:rPr>
            </w:pPr>
            <w:r>
              <w:rPr>
                <w:b/>
                <w:i/>
                <w:sz w:val="20"/>
                <w:szCs w:val="20"/>
              </w:rPr>
              <w:t>IZNOS</w:t>
            </w:r>
          </w:p>
        </w:tc>
        <w:tc>
          <w:tcPr>
            <w:tcW w:type="dxa" w:w="1276"/>
            <w:tcBorders>
              <w:top w:space="0" w:sz="4" w:color="auto" w:val="single"/>
              <w:left w:space="0" w:sz="4" w:themeColor="text1" w:color="000000" w:val="single"/>
              <w:bottom w:space="0" w:sz="4" w:color="auto" w:val="single"/>
              <w:right w:space="0" w:sz="4" w:themeColor="text1" w:color="000000" w:val="single"/>
            </w:tcBorders>
            <w:hideMark/>
          </w:tcPr>
          <w:p w:rsidRDefault="000508CA" w:rsidR="000508CA">
            <w:pPr>
              <w:pStyle w:val="Bezproreda"/>
              <w:rPr>
                <w:b/>
                <w:i/>
                <w:sz w:val="20"/>
                <w:szCs w:val="20"/>
              </w:rPr>
            </w:pPr>
            <w:r>
              <w:rPr>
                <w:b/>
                <w:i/>
                <w:sz w:val="20"/>
                <w:szCs w:val="20"/>
              </w:rPr>
              <w:t>IZNOS</w:t>
            </w:r>
          </w:p>
          <w:p w:rsidRDefault="000508CA" w:rsidR="000508CA">
            <w:pPr>
              <w:pStyle w:val="Bezproreda"/>
              <w:rPr>
                <w:b/>
                <w:i/>
                <w:sz w:val="20"/>
                <w:szCs w:val="20"/>
              </w:rPr>
            </w:pPr>
            <w:r>
              <w:rPr>
                <w:b/>
                <w:i/>
                <w:sz w:val="20"/>
                <w:szCs w:val="20"/>
              </w:rPr>
              <w:t>NAMIRENJA</w:t>
            </w:r>
          </w:p>
        </w:tc>
        <w:tc>
          <w:tcPr>
            <w:tcW w:type="dxa" w:w="1400"/>
            <w:tcBorders>
              <w:top w:space="0" w:sz="4" w:color="auto" w:val="single"/>
              <w:left w:space="0" w:sz="4" w:themeColor="text1" w:color="000000" w:val="single"/>
              <w:bottom w:space="0" w:sz="4" w:color="auto" w:val="single"/>
              <w:right w:space="0" w:sz="4" w:themeColor="text1" w:color="000000" w:val="single"/>
            </w:tcBorders>
            <w:hideMark/>
          </w:tcPr>
          <w:p w:rsidRDefault="000508CA" w:rsidR="000508CA">
            <w:pPr>
              <w:pStyle w:val="Bezproreda"/>
              <w:rPr>
                <w:b/>
                <w:i/>
                <w:sz w:val="20"/>
                <w:szCs w:val="20"/>
              </w:rPr>
            </w:pPr>
            <w:r>
              <w:rPr>
                <w:b/>
                <w:i/>
                <w:sz w:val="20"/>
                <w:szCs w:val="20"/>
              </w:rPr>
              <w:t>NENAMIRENI</w:t>
            </w:r>
          </w:p>
          <w:p w:rsidRDefault="000508CA" w:rsidR="000508CA">
            <w:pPr>
              <w:pStyle w:val="Bezproreda"/>
              <w:rPr>
                <w:b/>
                <w:i/>
                <w:sz w:val="20"/>
                <w:szCs w:val="20"/>
              </w:rPr>
            </w:pPr>
            <w:r>
              <w:rPr>
                <w:b/>
                <w:i/>
                <w:sz w:val="20"/>
                <w:szCs w:val="20"/>
              </w:rPr>
              <w:t>IZNOS</w:t>
            </w:r>
          </w:p>
        </w:tc>
      </w:tr>
      <w:tr w:rsidTr="000508CA" w:rsidR="000508CA">
        <w:tc>
          <w:tcPr>
            <w:tcW w:type="dxa" w:w="2235"/>
            <w:tcBorders>
              <w:top w:space="0" w:sz="4" w:color="auto" w:val="single"/>
              <w:left w:space="0" w:sz="4" w:color="auto" w:val="single"/>
              <w:bottom w:val="nil"/>
              <w:right w:space="0" w:sz="4" w:color="auto" w:val="single"/>
            </w:tcBorders>
          </w:tcPr>
          <w:p w:rsidRDefault="000508CA" w:rsidR="000508CA">
            <w:pPr>
              <w:pStyle w:val="Bezproreda"/>
              <w:rPr>
                <w:sz w:val="20"/>
                <w:szCs w:val="20"/>
              </w:rPr>
            </w:pPr>
          </w:p>
        </w:tc>
        <w:tc>
          <w:tcPr>
            <w:tcW w:type="dxa" w:w="2777"/>
            <w:tcBorders>
              <w:top w:space="0" w:sz="4" w:color="auto" w:val="single"/>
              <w:left w:space="0" w:sz="4" w:color="auto" w:val="single"/>
              <w:bottom w:space="0" w:sz="4" w:color="auto" w:val="single"/>
              <w:right w:space="0" w:sz="4" w:themeColor="text1" w:color="000000" w:val="single"/>
            </w:tcBorders>
            <w:hideMark/>
          </w:tcPr>
          <w:p w:rsidRDefault="000508CA" w:rsidR="000508CA">
            <w:pPr>
              <w:pStyle w:val="Bezproreda"/>
              <w:rPr>
                <w:sz w:val="18"/>
                <w:szCs w:val="18"/>
              </w:rPr>
            </w:pPr>
            <w:r>
              <w:rPr>
                <w:sz w:val="18"/>
                <w:szCs w:val="18"/>
              </w:rPr>
              <w:t xml:space="preserve">   Predvidivi troškovi postupka</w:t>
            </w:r>
          </w:p>
        </w:tc>
        <w:tc>
          <w:tcPr>
            <w:tcW w:type="dxa" w:w="1617"/>
            <w:tcBorders>
              <w:top w:space="0" w:sz="4" w:color="auto" w:val="single"/>
              <w:left w:space="0" w:sz="4" w:themeColor="text1" w:color="000000" w:val="single"/>
              <w:bottom w:space="0" w:sz="4" w:color="auto" w:val="single"/>
              <w:right w:space="0" w:sz="4" w:themeColor="text1" w:color="000000" w:val="single"/>
            </w:tcBorders>
            <w:hideMark/>
          </w:tcPr>
          <w:p w:rsidRDefault="000508CA" w:rsidR="000508CA">
            <w:pPr>
              <w:pStyle w:val="Bezproreda"/>
              <w:rPr>
                <w:sz w:val="20"/>
                <w:szCs w:val="20"/>
              </w:rPr>
            </w:pPr>
            <w:r>
              <w:rPr>
                <w:sz w:val="20"/>
                <w:szCs w:val="20"/>
              </w:rPr>
              <w:t>741.490,00</w:t>
            </w:r>
          </w:p>
        </w:tc>
        <w:tc>
          <w:tcPr>
            <w:tcW w:type="dxa" w:w="1276"/>
            <w:tcBorders>
              <w:top w:space="0" w:sz="4" w:color="auto" w:val="single"/>
              <w:left w:space="0" w:sz="4" w:themeColor="text1" w:color="000000" w:val="single"/>
              <w:bottom w:space="0" w:sz="4" w:color="auto" w:val="single"/>
              <w:right w:space="0" w:sz="4" w:themeColor="text1" w:color="000000" w:val="single"/>
            </w:tcBorders>
            <w:hideMark/>
          </w:tcPr>
          <w:p w:rsidRDefault="000508CA" w:rsidR="000508CA">
            <w:pPr>
              <w:pStyle w:val="Bezproreda"/>
              <w:rPr>
                <w:sz w:val="20"/>
                <w:szCs w:val="20"/>
              </w:rPr>
            </w:pPr>
            <w:r>
              <w:rPr>
                <w:sz w:val="20"/>
                <w:szCs w:val="20"/>
              </w:rPr>
              <w:t>741.490,00</w:t>
            </w:r>
          </w:p>
        </w:tc>
        <w:tc>
          <w:tcPr>
            <w:tcW w:type="dxa" w:w="1400"/>
            <w:tcBorders>
              <w:top w:space="0" w:sz="4" w:color="auto" w:val="single"/>
              <w:left w:space="0" w:sz="4" w:themeColor="text1" w:color="000000" w:val="single"/>
              <w:bottom w:space="0" w:sz="4" w:color="auto" w:val="single"/>
              <w:right w:space="0" w:sz="4" w:themeColor="text1" w:color="000000" w:val="single"/>
            </w:tcBorders>
          </w:tcPr>
          <w:p w:rsidRDefault="000508CA" w:rsidR="000508CA">
            <w:pPr>
              <w:pStyle w:val="Bezproreda"/>
              <w:rPr>
                <w:sz w:val="20"/>
                <w:szCs w:val="20"/>
              </w:rPr>
            </w:pPr>
          </w:p>
        </w:tc>
      </w:tr>
      <w:tr w:rsidTr="000508CA" w:rsidR="000508CA">
        <w:tc>
          <w:tcPr>
            <w:tcW w:type="dxa" w:w="2235"/>
            <w:tcBorders>
              <w:top w:val="nil"/>
              <w:left w:space="0" w:sz="4" w:color="auto" w:val="single"/>
              <w:bottom w:val="nil"/>
              <w:right w:space="0" w:sz="4" w:color="auto" w:val="single"/>
            </w:tcBorders>
            <w:hideMark/>
          </w:tcPr>
          <w:p w:rsidRDefault="000508CA" w:rsidR="000508CA">
            <w:pPr>
              <w:pStyle w:val="Bezproreda"/>
              <w:rPr>
                <w:sz w:val="20"/>
                <w:szCs w:val="20"/>
              </w:rPr>
            </w:pPr>
            <w:r>
              <w:rPr>
                <w:sz w:val="20"/>
                <w:szCs w:val="20"/>
              </w:rPr>
              <w:t>kn</w:t>
            </w:r>
          </w:p>
        </w:tc>
        <w:tc>
          <w:tcPr>
            <w:tcW w:type="dxa" w:w="2777"/>
            <w:tcBorders>
              <w:top w:space="0" w:sz="4" w:color="auto" w:val="single"/>
              <w:left w:space="0" w:sz="4" w:color="auto" w:val="single"/>
              <w:bottom w:space="0" w:sz="4" w:color="auto" w:val="single"/>
              <w:right w:space="0" w:sz="4" w:themeColor="text1" w:color="000000" w:val="single"/>
            </w:tcBorders>
            <w:hideMark/>
          </w:tcPr>
          <w:p w:rsidRDefault="000508CA" w:rsidR="000508CA">
            <w:pPr>
              <w:pStyle w:val="Bezproreda"/>
              <w:rPr>
                <w:sz w:val="18"/>
                <w:szCs w:val="18"/>
              </w:rPr>
            </w:pPr>
            <w:r>
              <w:rPr>
                <w:sz w:val="18"/>
                <w:szCs w:val="18"/>
              </w:rPr>
              <w:t xml:space="preserve">Utvrđene tražbine I viši. </w:t>
            </w:r>
            <w:proofErr w:type="spellStart"/>
            <w:r>
              <w:rPr>
                <w:sz w:val="18"/>
                <w:szCs w:val="18"/>
              </w:rPr>
              <w:t>Isp</w:t>
            </w:r>
            <w:proofErr w:type="spellEnd"/>
            <w:r>
              <w:rPr>
                <w:sz w:val="18"/>
                <w:szCs w:val="18"/>
              </w:rPr>
              <w:t>. red</w:t>
            </w:r>
          </w:p>
        </w:tc>
        <w:tc>
          <w:tcPr>
            <w:tcW w:type="dxa" w:w="1617"/>
            <w:tcBorders>
              <w:top w:space="0" w:sz="4" w:color="auto" w:val="single"/>
              <w:left w:space="0" w:sz="4" w:themeColor="text1" w:color="000000" w:val="single"/>
              <w:bottom w:space="0" w:sz="4" w:color="auto" w:val="single"/>
              <w:right w:space="0" w:sz="4" w:themeColor="text1" w:color="000000" w:val="single"/>
            </w:tcBorders>
            <w:hideMark/>
          </w:tcPr>
          <w:p w:rsidRDefault="000508CA" w:rsidR="000508CA">
            <w:pPr>
              <w:pStyle w:val="Bezproreda"/>
              <w:rPr>
                <w:sz w:val="20"/>
                <w:szCs w:val="20"/>
              </w:rPr>
            </w:pPr>
            <w:r>
              <w:rPr>
                <w:sz w:val="20"/>
                <w:szCs w:val="20"/>
              </w:rPr>
              <w:t>825.267,68</w:t>
            </w:r>
          </w:p>
        </w:tc>
        <w:tc>
          <w:tcPr>
            <w:tcW w:type="dxa" w:w="1276"/>
            <w:tcBorders>
              <w:top w:space="0" w:sz="4" w:color="auto" w:val="single"/>
              <w:left w:space="0" w:sz="4" w:themeColor="text1" w:color="000000" w:val="single"/>
              <w:bottom w:space="0" w:sz="4" w:color="auto" w:val="single"/>
              <w:right w:space="0" w:sz="4" w:themeColor="text1" w:color="000000" w:val="single"/>
            </w:tcBorders>
            <w:hideMark/>
          </w:tcPr>
          <w:p w:rsidRDefault="000508CA" w:rsidR="000508CA">
            <w:pPr>
              <w:pStyle w:val="Bezproreda"/>
              <w:rPr>
                <w:sz w:val="20"/>
                <w:szCs w:val="20"/>
              </w:rPr>
            </w:pPr>
            <w:r>
              <w:rPr>
                <w:sz w:val="20"/>
                <w:szCs w:val="20"/>
              </w:rPr>
              <w:t>825.267,68</w:t>
            </w:r>
          </w:p>
        </w:tc>
        <w:tc>
          <w:tcPr>
            <w:tcW w:type="dxa" w:w="1400"/>
            <w:tcBorders>
              <w:top w:space="0" w:sz="4" w:color="auto" w:val="single"/>
              <w:left w:space="0" w:sz="4" w:themeColor="text1" w:color="000000" w:val="single"/>
              <w:bottom w:space="0" w:sz="4" w:color="auto" w:val="single"/>
              <w:right w:space="0" w:sz="4" w:themeColor="text1" w:color="000000" w:val="single"/>
            </w:tcBorders>
          </w:tcPr>
          <w:p w:rsidRDefault="000508CA" w:rsidR="000508CA">
            <w:pPr>
              <w:pStyle w:val="Bezproreda"/>
              <w:rPr>
                <w:sz w:val="20"/>
                <w:szCs w:val="20"/>
              </w:rPr>
            </w:pPr>
          </w:p>
        </w:tc>
      </w:tr>
      <w:tr w:rsidTr="000508CA" w:rsidR="000508CA">
        <w:tc>
          <w:tcPr>
            <w:tcW w:type="dxa" w:w="2235"/>
            <w:tcBorders>
              <w:top w:val="nil"/>
              <w:left w:space="0" w:sz="4" w:color="auto" w:val="single"/>
              <w:bottom w:val="nil"/>
              <w:right w:space="0" w:sz="4" w:color="auto" w:val="single"/>
            </w:tcBorders>
            <w:hideMark/>
          </w:tcPr>
          <w:p w:rsidRDefault="000508CA" w:rsidR="000508CA">
            <w:pPr>
              <w:pStyle w:val="Bezproreda"/>
              <w:rPr>
                <w:sz w:val="20"/>
                <w:szCs w:val="20"/>
              </w:rPr>
            </w:pPr>
            <w:r>
              <w:rPr>
                <w:sz w:val="20"/>
                <w:szCs w:val="20"/>
              </w:rPr>
              <w:t>2.300.000</w:t>
            </w:r>
          </w:p>
        </w:tc>
        <w:tc>
          <w:tcPr>
            <w:tcW w:type="dxa" w:w="2777"/>
            <w:tcBorders>
              <w:top w:space="0" w:sz="4" w:color="auto" w:val="single"/>
              <w:left w:space="0" w:sz="4" w:color="auto" w:val="single"/>
              <w:bottom w:space="0" w:sz="4" w:color="auto" w:val="single"/>
              <w:right w:space="0" w:sz="4" w:themeColor="text1" w:color="000000" w:val="single"/>
            </w:tcBorders>
            <w:hideMark/>
          </w:tcPr>
          <w:p w:rsidRDefault="000508CA" w:rsidR="000508CA">
            <w:pPr>
              <w:pStyle w:val="Bezproreda"/>
              <w:rPr>
                <w:sz w:val="18"/>
                <w:szCs w:val="18"/>
              </w:rPr>
            </w:pPr>
            <w:r>
              <w:rPr>
                <w:sz w:val="18"/>
                <w:szCs w:val="18"/>
              </w:rPr>
              <w:t xml:space="preserve">Utvrđene tražbine II viši </w:t>
            </w:r>
            <w:proofErr w:type="spellStart"/>
            <w:r>
              <w:rPr>
                <w:sz w:val="18"/>
                <w:szCs w:val="18"/>
              </w:rPr>
              <w:t>isp</w:t>
            </w:r>
            <w:proofErr w:type="spellEnd"/>
            <w:r>
              <w:rPr>
                <w:sz w:val="18"/>
                <w:szCs w:val="18"/>
              </w:rPr>
              <w:t>. red</w:t>
            </w:r>
          </w:p>
        </w:tc>
        <w:tc>
          <w:tcPr>
            <w:tcW w:type="dxa" w:w="1617"/>
            <w:tcBorders>
              <w:top w:space="0" w:sz="4" w:color="auto" w:val="single"/>
              <w:left w:space="0" w:sz="4" w:themeColor="text1" w:color="000000" w:val="single"/>
              <w:bottom w:space="0" w:sz="4" w:color="auto" w:val="single"/>
              <w:right w:space="0" w:sz="4" w:themeColor="text1" w:color="000000" w:val="single"/>
            </w:tcBorders>
            <w:hideMark/>
          </w:tcPr>
          <w:p w:rsidRDefault="000508CA" w:rsidR="000508CA">
            <w:pPr>
              <w:pStyle w:val="Bezproreda"/>
              <w:rPr>
                <w:sz w:val="20"/>
                <w:szCs w:val="20"/>
              </w:rPr>
            </w:pPr>
            <w:r>
              <w:rPr>
                <w:sz w:val="20"/>
                <w:szCs w:val="20"/>
              </w:rPr>
              <w:t>230.238,86</w:t>
            </w:r>
          </w:p>
        </w:tc>
        <w:tc>
          <w:tcPr>
            <w:tcW w:type="dxa" w:w="1276"/>
            <w:tcBorders>
              <w:top w:space="0" w:sz="4" w:color="auto" w:val="single"/>
              <w:left w:space="0" w:sz="4" w:themeColor="text1" w:color="000000" w:val="single"/>
              <w:bottom w:space="0" w:sz="4" w:color="auto" w:val="single"/>
              <w:right w:space="0" w:sz="4" w:themeColor="text1" w:color="000000" w:val="single"/>
            </w:tcBorders>
            <w:hideMark/>
          </w:tcPr>
          <w:p w:rsidRDefault="000508CA" w:rsidR="000508CA">
            <w:pPr>
              <w:pStyle w:val="Bezproreda"/>
              <w:rPr>
                <w:sz w:val="20"/>
                <w:szCs w:val="20"/>
              </w:rPr>
            </w:pPr>
            <w:r>
              <w:rPr>
                <w:sz w:val="20"/>
                <w:szCs w:val="20"/>
              </w:rPr>
              <w:t>230.238,86</w:t>
            </w:r>
          </w:p>
        </w:tc>
        <w:tc>
          <w:tcPr>
            <w:tcW w:type="dxa" w:w="1400"/>
            <w:tcBorders>
              <w:top w:space="0" w:sz="4" w:color="auto" w:val="single"/>
              <w:left w:space="0" w:sz="4" w:themeColor="text1" w:color="000000" w:val="single"/>
              <w:bottom w:space="0" w:sz="4" w:color="auto" w:val="single"/>
              <w:right w:space="0" w:sz="4" w:themeColor="text1" w:color="000000" w:val="single"/>
            </w:tcBorders>
          </w:tcPr>
          <w:p w:rsidRDefault="000508CA" w:rsidR="000508CA">
            <w:pPr>
              <w:pStyle w:val="Bezproreda"/>
              <w:rPr>
                <w:sz w:val="20"/>
                <w:szCs w:val="20"/>
              </w:rPr>
            </w:pPr>
          </w:p>
        </w:tc>
      </w:tr>
      <w:tr w:rsidTr="000508CA" w:rsidR="000508CA">
        <w:tc>
          <w:tcPr>
            <w:tcW w:type="dxa" w:w="2235"/>
            <w:tcBorders>
              <w:top w:val="nil"/>
              <w:left w:space="0" w:sz="4" w:color="auto" w:val="single"/>
              <w:bottom w:val="nil"/>
              <w:right w:space="0" w:sz="4" w:color="auto" w:val="single"/>
            </w:tcBorders>
          </w:tcPr>
          <w:p w:rsidRDefault="000508CA" w:rsidR="000508CA">
            <w:pPr>
              <w:pStyle w:val="Bezproreda"/>
              <w:rPr>
                <w:sz w:val="20"/>
                <w:szCs w:val="20"/>
              </w:rPr>
            </w:pPr>
          </w:p>
        </w:tc>
        <w:tc>
          <w:tcPr>
            <w:tcW w:type="dxa" w:w="2777"/>
            <w:tcBorders>
              <w:top w:space="0" w:sz="4" w:color="auto" w:val="single"/>
              <w:left w:space="0" w:sz="4" w:color="auto" w:val="single"/>
              <w:bottom w:space="0" w:sz="4" w:color="auto" w:val="single"/>
              <w:right w:space="0" w:sz="4" w:themeColor="text1" w:color="000000" w:val="single"/>
            </w:tcBorders>
            <w:hideMark/>
          </w:tcPr>
          <w:p w:rsidRDefault="000508CA" w:rsidR="000508CA">
            <w:pPr>
              <w:pStyle w:val="Bezproreda"/>
              <w:rPr>
                <w:sz w:val="18"/>
                <w:szCs w:val="18"/>
              </w:rPr>
            </w:pPr>
            <w:r>
              <w:rPr>
                <w:sz w:val="18"/>
                <w:szCs w:val="18"/>
              </w:rPr>
              <w:t xml:space="preserve">   Utvrđene </w:t>
            </w:r>
            <w:proofErr w:type="spellStart"/>
            <w:r>
              <w:rPr>
                <w:sz w:val="18"/>
                <w:szCs w:val="18"/>
              </w:rPr>
              <w:t>traž</w:t>
            </w:r>
            <w:proofErr w:type="spellEnd"/>
            <w:r>
              <w:rPr>
                <w:sz w:val="18"/>
                <w:szCs w:val="18"/>
              </w:rPr>
              <w:t xml:space="preserve">. III viši </w:t>
            </w:r>
            <w:proofErr w:type="spellStart"/>
            <w:r>
              <w:rPr>
                <w:sz w:val="18"/>
                <w:szCs w:val="18"/>
              </w:rPr>
              <w:t>isp</w:t>
            </w:r>
            <w:proofErr w:type="spellEnd"/>
            <w:r>
              <w:rPr>
                <w:sz w:val="18"/>
                <w:szCs w:val="18"/>
              </w:rPr>
              <w:t>. red</w:t>
            </w:r>
          </w:p>
        </w:tc>
        <w:tc>
          <w:tcPr>
            <w:tcW w:type="dxa" w:w="1617"/>
            <w:tcBorders>
              <w:top w:space="0" w:sz="4" w:color="auto" w:val="single"/>
              <w:left w:space="0" w:sz="4" w:themeColor="text1" w:color="000000" w:val="single"/>
              <w:bottom w:space="0" w:sz="4" w:color="auto" w:val="single"/>
              <w:right w:space="0" w:sz="4" w:themeColor="text1" w:color="000000" w:val="single"/>
            </w:tcBorders>
            <w:hideMark/>
          </w:tcPr>
          <w:p w:rsidRDefault="000508CA" w:rsidR="000508CA">
            <w:pPr>
              <w:pStyle w:val="Bezproreda"/>
              <w:rPr>
                <w:sz w:val="20"/>
                <w:szCs w:val="20"/>
              </w:rPr>
            </w:pPr>
            <w:r>
              <w:rPr>
                <w:sz w:val="20"/>
                <w:szCs w:val="20"/>
              </w:rPr>
              <w:t xml:space="preserve">    7.540,05</w:t>
            </w:r>
          </w:p>
        </w:tc>
        <w:tc>
          <w:tcPr>
            <w:tcW w:type="dxa" w:w="1276"/>
            <w:tcBorders>
              <w:top w:space="0" w:sz="4" w:color="auto" w:val="single"/>
              <w:left w:space="0" w:sz="4" w:themeColor="text1" w:color="000000" w:val="single"/>
              <w:bottom w:space="0" w:sz="4" w:color="auto" w:val="single"/>
              <w:right w:space="0" w:sz="4" w:themeColor="text1" w:color="000000" w:val="single"/>
            </w:tcBorders>
            <w:hideMark/>
          </w:tcPr>
          <w:p w:rsidRDefault="000508CA" w:rsidR="000508CA">
            <w:pPr>
              <w:pStyle w:val="Bezproreda"/>
              <w:rPr>
                <w:sz w:val="20"/>
                <w:szCs w:val="20"/>
              </w:rPr>
            </w:pPr>
            <w:r>
              <w:rPr>
                <w:sz w:val="20"/>
                <w:szCs w:val="20"/>
              </w:rPr>
              <w:t xml:space="preserve">     7.540,05</w:t>
            </w:r>
          </w:p>
        </w:tc>
        <w:tc>
          <w:tcPr>
            <w:tcW w:type="dxa" w:w="1400"/>
            <w:tcBorders>
              <w:top w:space="0" w:sz="4" w:color="auto" w:val="single"/>
              <w:left w:space="0" w:sz="4" w:themeColor="text1" w:color="000000" w:val="single"/>
              <w:bottom w:space="0" w:sz="4" w:color="auto" w:val="single"/>
              <w:right w:space="0" w:sz="4" w:themeColor="text1" w:color="000000" w:val="single"/>
            </w:tcBorders>
          </w:tcPr>
          <w:p w:rsidRDefault="000508CA" w:rsidR="000508CA">
            <w:pPr>
              <w:pStyle w:val="Bezproreda"/>
              <w:rPr>
                <w:sz w:val="20"/>
                <w:szCs w:val="20"/>
              </w:rPr>
            </w:pPr>
          </w:p>
        </w:tc>
      </w:tr>
      <w:tr w:rsidTr="000508CA" w:rsidR="000508CA">
        <w:tc>
          <w:tcPr>
            <w:tcW w:type="dxa" w:w="2235"/>
            <w:tcBorders>
              <w:top w:val="nil"/>
              <w:left w:space="0" w:sz="4" w:color="auto" w:val="single"/>
              <w:bottom w:space="0" w:sz="4" w:color="auto" w:val="single"/>
              <w:right w:space="0" w:sz="4" w:color="auto" w:val="single"/>
            </w:tcBorders>
          </w:tcPr>
          <w:p w:rsidRDefault="000508CA" w:rsidR="000508CA">
            <w:pPr>
              <w:pStyle w:val="Bezproreda"/>
              <w:rPr>
                <w:sz w:val="20"/>
                <w:szCs w:val="20"/>
              </w:rPr>
            </w:pPr>
          </w:p>
        </w:tc>
        <w:tc>
          <w:tcPr>
            <w:tcW w:type="dxa" w:w="2777"/>
            <w:tcBorders>
              <w:top w:space="0" w:sz="4" w:color="auto" w:val="single"/>
              <w:left w:space="0" w:sz="4" w:color="auto" w:val="single"/>
              <w:bottom w:space="0" w:sz="4" w:themeColor="text1" w:color="000000" w:val="single"/>
              <w:right w:space="0" w:sz="4" w:themeColor="text1" w:color="000000" w:val="single"/>
            </w:tcBorders>
            <w:hideMark/>
          </w:tcPr>
          <w:p w:rsidRDefault="000508CA" w:rsidR="000508CA">
            <w:pPr>
              <w:pStyle w:val="Bezproreda"/>
              <w:rPr>
                <w:sz w:val="18"/>
                <w:szCs w:val="18"/>
              </w:rPr>
            </w:pPr>
            <w:r>
              <w:rPr>
                <w:sz w:val="18"/>
                <w:szCs w:val="18"/>
              </w:rPr>
              <w:t xml:space="preserve">   Utvrđene </w:t>
            </w:r>
            <w:proofErr w:type="spellStart"/>
            <w:r>
              <w:rPr>
                <w:sz w:val="18"/>
                <w:szCs w:val="18"/>
              </w:rPr>
              <w:t>traž</w:t>
            </w:r>
            <w:proofErr w:type="spellEnd"/>
            <w:r>
              <w:rPr>
                <w:sz w:val="18"/>
                <w:szCs w:val="18"/>
              </w:rPr>
              <w:t xml:space="preserve">. V viši </w:t>
            </w:r>
            <w:proofErr w:type="spellStart"/>
            <w:r>
              <w:rPr>
                <w:sz w:val="18"/>
                <w:szCs w:val="18"/>
              </w:rPr>
              <w:t>isp</w:t>
            </w:r>
            <w:proofErr w:type="spellEnd"/>
            <w:r>
              <w:rPr>
                <w:sz w:val="18"/>
                <w:szCs w:val="18"/>
              </w:rPr>
              <w:t>. red</w:t>
            </w:r>
          </w:p>
        </w:tc>
        <w:tc>
          <w:tcPr>
            <w:tcW w:type="dxa" w:w="1617"/>
            <w:tcBorders>
              <w:top w:space="0" w:sz="4" w:themeColor="text1" w:color="000000" w:val="single"/>
              <w:left w:space="0" w:sz="4" w:themeColor="text1" w:color="000000" w:val="single"/>
              <w:bottom w:space="0" w:sz="4" w:themeColor="text1" w:color="000000" w:val="single"/>
              <w:right w:space="0" w:sz="4" w:themeColor="text1" w:color="000000" w:val="single"/>
            </w:tcBorders>
            <w:hideMark/>
          </w:tcPr>
          <w:p w:rsidRDefault="000508CA" w:rsidR="000508CA">
            <w:pPr>
              <w:pStyle w:val="Bezproreda"/>
              <w:rPr>
                <w:sz w:val="20"/>
                <w:szCs w:val="20"/>
              </w:rPr>
            </w:pPr>
            <w:r>
              <w:rPr>
                <w:sz w:val="20"/>
                <w:szCs w:val="20"/>
              </w:rPr>
              <w:t xml:space="preserve">  2.351.783,54</w:t>
            </w:r>
          </w:p>
        </w:tc>
        <w:tc>
          <w:tcPr>
            <w:tcW w:type="dxa" w:w="1276"/>
            <w:tcBorders>
              <w:top w:space="0" w:sz="4" w:themeColor="text1" w:color="000000" w:val="single"/>
              <w:left w:space="0" w:sz="4" w:themeColor="text1" w:color="000000" w:val="single"/>
              <w:bottom w:space="0" w:sz="4" w:themeColor="text1" w:color="000000" w:val="single"/>
              <w:right w:space="0" w:sz="4" w:themeColor="text1" w:color="000000" w:val="single"/>
            </w:tcBorders>
            <w:hideMark/>
          </w:tcPr>
          <w:p w:rsidRDefault="000508CA" w:rsidR="000508CA">
            <w:pPr>
              <w:pStyle w:val="Bezproreda"/>
              <w:rPr>
                <w:sz w:val="20"/>
                <w:szCs w:val="20"/>
              </w:rPr>
            </w:pPr>
            <w:r>
              <w:rPr>
                <w:sz w:val="20"/>
                <w:szCs w:val="20"/>
              </w:rPr>
              <w:t>495.463,41</w:t>
            </w:r>
          </w:p>
        </w:tc>
        <w:tc>
          <w:tcPr>
            <w:tcW w:type="dxa" w:w="1400"/>
            <w:tcBorders>
              <w:top w:space="0" w:sz="4" w:themeColor="text1" w:color="000000" w:val="single"/>
              <w:left w:space="0" w:sz="4" w:themeColor="text1" w:color="000000" w:val="single"/>
              <w:bottom w:space="0" w:sz="4" w:themeColor="text1" w:color="000000" w:val="single"/>
              <w:right w:space="0" w:sz="4" w:themeColor="text1" w:color="000000" w:val="single"/>
            </w:tcBorders>
            <w:hideMark/>
          </w:tcPr>
          <w:p w:rsidRDefault="000508CA" w:rsidR="000508CA">
            <w:pPr>
              <w:pStyle w:val="Bezproreda"/>
              <w:rPr>
                <w:sz w:val="20"/>
                <w:szCs w:val="20"/>
              </w:rPr>
            </w:pPr>
            <w:r>
              <w:rPr>
                <w:sz w:val="20"/>
                <w:szCs w:val="20"/>
              </w:rPr>
              <w:t>1.856.320,13</w:t>
            </w:r>
          </w:p>
        </w:tc>
      </w:tr>
    </w:tbl>
    <w:p w:rsidRDefault="000508CA" w:rsidP="000508CA" w:rsidR="000508CA">
      <w:pPr>
        <w:pStyle w:val="Bezproreda"/>
      </w:pPr>
    </w:p>
    <w:p w:rsidRDefault="000508CA" w:rsidP="000508CA" w:rsidR="000508CA">
      <w:pPr>
        <w:pStyle w:val="Bezproreda"/>
      </w:pPr>
    </w:p>
    <w:p w:rsidRDefault="000508CA" w:rsidP="000508CA" w:rsidR="000508CA">
      <w:pPr>
        <w:pStyle w:val="Bezproreda"/>
      </w:pPr>
      <w:r>
        <w:t xml:space="preserve"> </w:t>
      </w:r>
    </w:p>
    <w:p w:rsidRDefault="000508CA" w:rsidP="000508CA" w:rsidR="000508CA">
      <w:pPr>
        <w:pStyle w:val="Bezproreda"/>
      </w:pPr>
      <w:r>
        <w:t>V  PRIJEDLOG ODLUKA</w:t>
      </w:r>
    </w:p>
    <w:p w:rsidRDefault="000508CA" w:rsidP="000508CA" w:rsidR="000508CA">
      <w:pPr>
        <w:pStyle w:val="Bezproreda"/>
      </w:pPr>
    </w:p>
    <w:p w:rsidRDefault="000508CA" w:rsidP="000508CA" w:rsidR="000508CA">
      <w:pPr>
        <w:pStyle w:val="Bezproreda"/>
      </w:pPr>
      <w:r>
        <w:t>Nastavno na podneseno izvješće i izvršene radnje,</w:t>
      </w:r>
    </w:p>
    <w:p w:rsidRDefault="000508CA" w:rsidP="000508CA" w:rsidR="000508CA">
      <w:pPr>
        <w:pStyle w:val="Bezproreda"/>
      </w:pPr>
    </w:p>
    <w:p w:rsidRDefault="000508CA" w:rsidP="000508CA" w:rsidR="000508CA">
      <w:pPr>
        <w:pStyle w:val="Bezproreda"/>
      </w:pPr>
      <w:r>
        <w:t xml:space="preserve">                                                   PREDLAŽE SE:</w:t>
      </w:r>
    </w:p>
    <w:p w:rsidRDefault="006345EE" w:rsidP="000508CA" w:rsidR="006345EE">
      <w:pPr>
        <w:pStyle w:val="Bezproreda"/>
      </w:pPr>
    </w:p>
    <w:p w:rsidRDefault="000508CA" w:rsidP="000508CA" w:rsidR="000508CA">
      <w:pPr>
        <w:pStyle w:val="Bezproreda"/>
      </w:pPr>
      <w:r>
        <w:t>* Da se prihvati izvješće i odobre poduzete radnje</w:t>
      </w:r>
    </w:p>
    <w:p w:rsidRDefault="006345EE" w:rsidP="000508CA" w:rsidR="006345EE">
      <w:pPr>
        <w:pStyle w:val="Bezproreda"/>
      </w:pPr>
    </w:p>
    <w:p w:rsidRDefault="000508CA" w:rsidP="000508CA" w:rsidR="000508CA">
      <w:pPr>
        <w:pStyle w:val="Bezproreda"/>
      </w:pPr>
      <w:r>
        <w:lastRenderedPageBreak/>
        <w:t xml:space="preserve">* Da se  pokretnine u vlasništvu stečajnog dužnika u odnosu na iskazani interes  BDO d.o.o. Zagreb unovče neposrednom pogodbom, po cijeni koju dogovori stečajni upravitelj po vlastitoj procjeni,  sa zainteresiranim kupcem na način da isti otkupi cjelokupan namještaj i opremu koja se nalazi na lokaciji Zagreb, Trg J. F. </w:t>
      </w:r>
      <w:proofErr w:type="spellStart"/>
      <w:r>
        <w:t>Kennedya</w:t>
      </w:r>
      <w:proofErr w:type="spellEnd"/>
      <w:r>
        <w:t xml:space="preserve"> 6b, a </w:t>
      </w:r>
      <w:proofErr w:type="spellStart"/>
      <w:r>
        <w:t>podredno</w:t>
      </w:r>
      <w:proofErr w:type="spellEnd"/>
      <w:r>
        <w:t xml:space="preserve"> ukoliko se ne</w:t>
      </w:r>
      <w:r w:rsidR="00460413">
        <w:t xml:space="preserve"> </w:t>
      </w:r>
      <w:r>
        <w:t>r</w:t>
      </w:r>
      <w:r w:rsidR="00460413">
        <w:t>e</w:t>
      </w:r>
      <w:r>
        <w:t xml:space="preserve">alizira prodaja, da se pokretnine ( namještaj i oprema) unovče  ( kao i ostali namještaj i oprema koji nije u posjedu BDO d.o.o.), objavom prodaje  na </w:t>
      </w:r>
      <w:proofErr w:type="spellStart"/>
      <w:r>
        <w:t>internet</w:t>
      </w:r>
      <w:proofErr w:type="spellEnd"/>
      <w:r>
        <w:t xml:space="preserve"> stranicama sudačke mreže prikupljanjem najpovoljnijih ponuda bez isticanja početne cijene, prihvaćanjem najpovoljnije ponude bez ograničenja u odnosu na ponuđenu cijenu, uz uvjet (ili prednost kupca) da se namještaj po pojedinim lokacijama prodaje kao cjelina</w:t>
      </w:r>
      <w:r w:rsidR="006345EE">
        <w:t>.</w:t>
      </w:r>
    </w:p>
    <w:p w:rsidRDefault="006345EE" w:rsidP="000508CA" w:rsidR="006345EE">
      <w:pPr>
        <w:pStyle w:val="Bezproreda"/>
      </w:pPr>
    </w:p>
    <w:p w:rsidRDefault="00BC045A" w:rsidP="000508CA" w:rsidR="000508CA">
      <w:pPr>
        <w:pStyle w:val="Bezproreda"/>
      </w:pPr>
      <w:proofErr w:type="spellStart"/>
      <w:r>
        <w:t>Podredno</w:t>
      </w:r>
      <w:proofErr w:type="spellEnd"/>
      <w:r>
        <w:t xml:space="preserve"> se predlaže, </w:t>
      </w:r>
      <w:r w:rsidR="000508CA">
        <w:t xml:space="preserve"> ukoliko Skupština vjerovnika</w:t>
      </w:r>
      <w:r>
        <w:t xml:space="preserve"> </w:t>
      </w:r>
      <w:r w:rsidR="000508CA">
        <w:t xml:space="preserve"> smatra potrebnim, odrediti početnu i najnižu prihvatljivu vrijednost za opisane pokretnine</w:t>
      </w:r>
      <w:r w:rsidR="006345EE">
        <w:t>.</w:t>
      </w:r>
    </w:p>
    <w:p w:rsidRDefault="006345EE" w:rsidP="000508CA" w:rsidR="006345EE">
      <w:pPr>
        <w:pStyle w:val="Bezproreda"/>
      </w:pPr>
    </w:p>
    <w:p w:rsidRDefault="000508CA" w:rsidP="000508CA" w:rsidR="000508CA">
      <w:pPr>
        <w:pStyle w:val="Bezproreda"/>
      </w:pPr>
      <w:r>
        <w:t xml:space="preserve">Da se da suglasnost stečajnom upravitelju da nakon tri bezuspješna oglašavanja prodaje namještaja i opreme, neunovčeni dio imovine otpiše i zbrine  na deponij </w:t>
      </w:r>
    </w:p>
    <w:p w:rsidRDefault="006345EE" w:rsidP="000508CA" w:rsidR="006345EE">
      <w:pPr>
        <w:pStyle w:val="Bezproreda"/>
      </w:pPr>
    </w:p>
    <w:p w:rsidRDefault="000508CA" w:rsidP="000508CA" w:rsidR="000508CA">
      <w:pPr>
        <w:pStyle w:val="Bezproreda"/>
      </w:pPr>
      <w:r>
        <w:t>* Da se nekretnina u vlasništvu stečajnog dužnika unovči sukladno odredbi članka 229.st.2. Stečajnog zakona, po početnoj vrijednosti utvrđenoj po sudskom vještaku,   objavom prodaje na Internet stranicama sudačke mreže, objavom u očevidniku Financijske agencije, prikupljanjem najpovoljnijih pisanih ponuda i to pri prvoj objavi prihvaćanjem ponuda ne manjih od ¾ početne vrijednosti, kod druge objave prihvaćanjem ponuda iznad ½ početne vrijednosti, treće objave prihvaćanjem ponuda iznad ¼ početne vrijednosti, četvrte objave prihvaćanjem ponude iznad 1/5 početne vrijednosti, kod pete i narednih objava, prihvaćanjem najpovoljnije ponude bez ograničenja u odnosu  na početnu vrijednost</w:t>
      </w:r>
    </w:p>
    <w:p w:rsidRDefault="006345EE" w:rsidP="000508CA" w:rsidR="006345EE">
      <w:pPr>
        <w:pStyle w:val="Bezproreda"/>
      </w:pPr>
    </w:p>
    <w:p w:rsidRDefault="000508CA" w:rsidP="000508CA" w:rsidR="000508CA">
      <w:pPr>
        <w:pStyle w:val="Bezproreda"/>
      </w:pPr>
      <w:r>
        <w:t>* Da se stečajnom upravitelju odobri sklapanje ugovora o zakupu na rok duži od 6 mjeseci</w:t>
      </w:r>
    </w:p>
    <w:p w:rsidRDefault="006345EE" w:rsidP="000508CA" w:rsidR="006345EE">
      <w:pPr>
        <w:pStyle w:val="Bezproreda"/>
      </w:pPr>
    </w:p>
    <w:p w:rsidRDefault="000508CA" w:rsidP="000508CA" w:rsidR="006345EE">
      <w:pPr>
        <w:pStyle w:val="Bezproreda"/>
      </w:pPr>
      <w:r>
        <w:t xml:space="preserve">* Da se stečajnom upravitelju   odobri pokretanje i preuzimanje parnica značajne vrijednosti  uz davanje punomoći odvjetniku  i ( ako se ne osnuje odbor vjerovnika) eventualno sklapanje nagodbi  ukoliko bude potrebno, odnosno da Skupština vjerovnika odluči da li se daje stečajnom upravitelju suglasnost za otpis dijela potraživanja u postupcima </w:t>
      </w:r>
      <w:r w:rsidR="00576A74">
        <w:t xml:space="preserve">eventualne </w:t>
      </w:r>
      <w:r>
        <w:t xml:space="preserve">nagodbene naplate potraživanja i to određivanjem postotka dopuštenog otpisa u odnosu na  zatezne kamate, redovne kamate i glavnicu </w:t>
      </w:r>
    </w:p>
    <w:p w:rsidRDefault="000508CA" w:rsidP="000508CA" w:rsidR="000508CA">
      <w:pPr>
        <w:pStyle w:val="Bezproreda"/>
      </w:pPr>
      <w:r>
        <w:t xml:space="preserve">  </w:t>
      </w:r>
    </w:p>
    <w:p w:rsidRDefault="000508CA" w:rsidP="000508CA" w:rsidR="000508CA">
      <w:pPr>
        <w:pStyle w:val="Bezproreda"/>
      </w:pPr>
    </w:p>
    <w:p w:rsidRDefault="000508CA" w:rsidP="000508CA" w:rsidR="000508CA">
      <w:pPr>
        <w:pStyle w:val="Bezproreda"/>
      </w:pPr>
      <w:r>
        <w:t xml:space="preserve">                                                                                Stečajni upravitelj:</w:t>
      </w:r>
    </w:p>
    <w:p w:rsidRDefault="006345EE" w:rsidP="000508CA" w:rsidR="006345EE">
      <w:pPr>
        <w:pStyle w:val="Bezproreda"/>
      </w:pPr>
    </w:p>
    <w:p w:rsidRDefault="000508CA" w:rsidP="000508CA" w:rsidR="000508CA">
      <w:pPr>
        <w:pStyle w:val="Bezproreda"/>
      </w:pPr>
      <w:r>
        <w:t xml:space="preserve">                                                                                Zdravko </w:t>
      </w:r>
      <w:proofErr w:type="spellStart"/>
      <w:r>
        <w:t>Mitak</w:t>
      </w:r>
      <w:proofErr w:type="spellEnd"/>
      <w:r>
        <w:t xml:space="preserve"> dipl. oec.  </w:t>
      </w:r>
    </w:p>
    <w:p w:rsidRDefault="006345EE" w:rsidP="000508CA" w:rsidR="006345EE">
      <w:pPr>
        <w:pStyle w:val="Bezproreda"/>
      </w:pPr>
    </w:p>
    <w:p w:rsidRDefault="006345EE" w:rsidP="000508CA" w:rsidR="006345EE">
      <w:pPr>
        <w:pStyle w:val="Bezproreda"/>
      </w:pPr>
      <w:r>
        <w:t xml:space="preserve">Prilog: </w:t>
      </w:r>
    </w:p>
    <w:p w:rsidRDefault="006345EE" w:rsidP="000508CA" w:rsidR="006345EE">
      <w:pPr>
        <w:pStyle w:val="Bezproreda"/>
      </w:pPr>
      <w:r>
        <w:t>- Popis predmeta stečajne mase – čl. 221. SZ-a</w:t>
      </w:r>
    </w:p>
    <w:p w:rsidRDefault="006345EE" w:rsidP="000508CA" w:rsidR="006345EE">
      <w:pPr>
        <w:pStyle w:val="Bezproreda"/>
      </w:pPr>
      <w:r>
        <w:t>- Popis vjerovnika – čl. 222. SZ-a</w:t>
      </w:r>
    </w:p>
    <w:p w:rsidRDefault="00460413" w:rsidP="000508CA" w:rsidR="006345EE">
      <w:pPr>
        <w:pStyle w:val="Bezproreda"/>
      </w:pPr>
      <w:r>
        <w:t xml:space="preserve">- </w:t>
      </w:r>
      <w:r w:rsidR="00897C88">
        <w:t>Pregled imovine i obaveza – čl. 223. SZ-a</w:t>
      </w:r>
    </w:p>
    <w:p w:rsidRDefault="00897C88" w:rsidP="000508CA" w:rsidR="00897C88">
      <w:pPr>
        <w:pStyle w:val="Bezproreda"/>
      </w:pPr>
      <w:r>
        <w:t>- Zapisnik sa popisom namještaja i opreme</w:t>
      </w:r>
      <w:bookmarkStart w:name="_GoBack" w:id="2"/>
      <w:bookmarkEnd w:id="2"/>
      <w:r>
        <w:t xml:space="preserve"> u posjedu BDO d.o.o. Zagreb</w:t>
      </w:r>
    </w:p>
    <w:p w:rsidRDefault="00897C88" w:rsidP="000508CA" w:rsidR="00897C88">
      <w:pPr>
        <w:pStyle w:val="Bezproreda"/>
      </w:pPr>
      <w:r>
        <w:t>- Pismo namjere BDO d.o.o. Zagreb</w:t>
      </w:r>
    </w:p>
    <w:p w:rsidRDefault="00B87A02" w:rsidR="00B87A02"/>
    <w:sectPr w:rsidR="00B87A0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508CA"/>
    <w:rsid w:val="000508CA"/>
    <w:rsid w:val="002D6745"/>
    <w:rsid w:val="00460413"/>
    <w:rsid w:val="00566DED"/>
    <w:rsid w:val="00576A74"/>
    <w:rsid w:val="006345EE"/>
    <w:rsid w:val="006C2922"/>
    <w:rsid w:val="006F4492"/>
    <w:rsid w:val="008030A8"/>
    <w:rsid w:val="00897C88"/>
    <w:rsid w:val="00B87A02"/>
    <w:rsid w:val="00BC045A"/>
    <w:rsid w:val="00C5751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508CA"/>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0508CA"/>
    <w:pPr>
      <w:spacing w:lineRule="auto" w:line="240" w:after="0"/>
    </w:pPr>
  </w:style>
  <w:style w:styleId="Reetkatablice" w:type="table">
    <w:name w:val="Table Grid"/>
    <w:basedOn w:val="Obinatablica"/>
    <w:uiPriority w:val="59"/>
    <w:rsid w:val="000508CA"/>
    <w:pPr>
      <w:spacing w:lineRule="auto" w:line="240" w:after="0"/>
      <w:jc w:val="both"/>
    </w:pPr>
    <w:rPr>
      <w:lang w:val="hr-BA"/>
    </w:rPr>
    <w:tblPr>
      <w:tblInd w:type="nil" w:w="0"/>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508CA"/>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0508CA"/>
    <w:pPr>
      <w:spacing w:after="0" w:line="240" w:lineRule="auto"/>
    </w:pPr>
  </w:style>
  <w:style w:styleId="Reetkatablice" w:type="table">
    <w:name w:val="Table Grid"/>
    <w:basedOn w:val="Obinatablica"/>
    <w:uiPriority w:val="59"/>
    <w:rsid w:val="000508CA"/>
    <w:pPr>
      <w:spacing w:after="0" w:line="240" w:lineRule="auto"/>
      <w:jc w:val="both"/>
    </w:pPr>
    <w:rPr>
      <w:lang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374330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Normal.dotm</properties:Template>
  <properties:Company/>
  <properties:Pages>8</properties:Pages>
  <properties:Words>3782</properties:Words>
  <properties:Characters>21562</properties:Characters>
  <properties:Lines>179</properties:Lines>
  <properties:Paragraphs>50</properties:Paragraphs>
  <properties:TotalTime>105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2018-06-29T10:17:00Z</dcterms:created>
  <dc:creator>Zdravko</dc:creator>
  <cp:lastModifiedBy>Zdravko</cp:lastModifiedBy>
  <dcterms:modified xmlns:xsi="http://www.w3.org/2001/XMLSchema-instance" xsi:type="dcterms:W3CDTF">2018-07-02T11:59:00Z</dcterms:modified>
  <cp:revision>5</cp:revision>
</cp:coreProperties>
</file>