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44788" w14:paraId="5244788" w:rsidRDefault="00435CD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1592580</wp:posOffset>
            </wp:positionH>
            <wp:positionV relativeFrom="page">
              <wp:posOffset>749300</wp:posOffset>
            </wp:positionV>
            <wp:extent cy="793115" cx="594360"/>
            <wp:effectExtent b="698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3115" cx="594360"/>
                    </a:xfrm>
                    <a:prstGeom prst="rect">
                      <a:avLst/>
                    </a:prstGeom>
                  </pic:spPr>
                </pic:pic>
              </a:graphicData>
            </a:graphic>
          </wp:anchor>
        </w:drawing>
      </w:r>
    </w:p>
    <w:p w:rsidRDefault="00AE649C" w:rsidP="004F27AE" w:rsidR="00AE649C" w:rsidRPr="00B76F3C">
      <w:pPr>
        <w:pStyle w:val="NormaleSPIS"/>
      </w:pPr>
    </w:p>
    <w:p w:rsidRDefault="00435CD9" w:rsidP="00435CD9" w:rsidR="00435CD9">
      <w:pPr>
        <w:spacing w:after="0"/>
        <w:jc w:val="both"/>
      </w:pPr>
      <w:r>
        <w:t xml:space="preserve">           Republika Hrvatska</w:t>
      </w:r>
    </w:p>
    <w:p w:rsidRDefault="00435CD9" w:rsidP="00435CD9" w:rsidR="00435CD9">
      <w:pPr>
        <w:tabs>
          <w:tab w:pos="3338" w:val="left"/>
        </w:tabs>
        <w:spacing w:after="0"/>
        <w:jc w:val="both"/>
      </w:pPr>
      <w:r>
        <w:t xml:space="preserve">     Trgovački sud u Bjelovaru</w:t>
      </w:r>
      <w:r>
        <w:tab/>
      </w:r>
    </w:p>
    <w:p w:rsidRDefault="00435CD9" w:rsidP="00435CD9" w:rsidR="00435CD9">
      <w:pPr>
        <w:spacing w:after="0"/>
        <w:jc w:val="both"/>
      </w:pPr>
      <w:r>
        <w:t xml:space="preserve">Bjelovar, Šetalište dr. I. </w:t>
      </w:r>
      <w:proofErr w:type="spellStart"/>
      <w:r>
        <w:t>Lebovića</w:t>
      </w:r>
      <w:proofErr w:type="spellEnd"/>
      <w:r>
        <w:t xml:space="preserve"> 42</w:t>
      </w:r>
    </w:p>
    <w:p w:rsidRDefault="00435CD9" w:rsidP="00435CD9" w:rsidR="00435CD9" w:rsidRPr="00435CD9">
      <w:pPr>
        <w:overflowPunct w:val="false"/>
        <w:autoSpaceDE w:val="false"/>
        <w:autoSpaceDN w:val="false"/>
        <w:adjustRightInd w:val="false"/>
        <w:spacing w:after="0"/>
        <w:ind w:firstLine="4678"/>
        <w:jc w:val="right"/>
        <w:rPr>
          <w:rFonts w:cs="Times New Roman" w:eastAsia="Times New Roman"/>
          <w:noProof/>
          <w:szCs w:val="20"/>
          <w:lang w:eastAsia="hr-HR"/>
        </w:rPr>
      </w:pPr>
      <w:r w:rsidRPr="00435CD9">
        <w:rPr>
          <w:rFonts w:cs="Times New Roman" w:eastAsia="Times New Roman"/>
          <w:noProof/>
          <w:szCs w:val="20"/>
          <w:lang w:eastAsia="hr-HR"/>
        </w:rPr>
        <w:t xml:space="preserve">   Poslovni broj: 5 St-800/2017-69</w:t>
      </w:r>
    </w:p>
    <w:p w:rsidRDefault="00435CD9" w:rsidP="00435CD9" w:rsidR="00435CD9" w:rsidRPr="00435CD9">
      <w:pPr>
        <w:overflowPunct w:val="false"/>
        <w:autoSpaceDE w:val="false"/>
        <w:autoSpaceDN w:val="false"/>
        <w:adjustRightInd w:val="false"/>
        <w:spacing w:after="0"/>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jc w:val="center"/>
        <w:rPr>
          <w:rFonts w:cs="Times New Roman" w:eastAsia="Times New Roman"/>
          <w:noProof/>
          <w:szCs w:val="20"/>
          <w:lang w:eastAsia="hr-HR"/>
        </w:rPr>
      </w:pPr>
      <w:r w:rsidRPr="00435CD9">
        <w:rPr>
          <w:rFonts w:cs="Times New Roman" w:eastAsia="Times New Roman"/>
          <w:noProof/>
          <w:szCs w:val="20"/>
          <w:lang w:eastAsia="hr-HR"/>
        </w:rPr>
        <w:t>R E P U B L I K A  H R V A T S K A</w:t>
      </w:r>
    </w:p>
    <w:p w:rsidRDefault="00435CD9" w:rsidP="00435CD9" w:rsidR="00435CD9" w:rsidRPr="00435CD9">
      <w:pPr>
        <w:overflowPunct w:val="false"/>
        <w:autoSpaceDE w:val="false"/>
        <w:autoSpaceDN w:val="false"/>
        <w:adjustRightInd w:val="false"/>
        <w:spacing w:after="0"/>
        <w:jc w:val="center"/>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jc w:val="center"/>
        <w:rPr>
          <w:rFonts w:cs="Times New Roman" w:eastAsia="Times New Roman"/>
          <w:noProof/>
          <w:szCs w:val="20"/>
          <w:lang w:eastAsia="hr-HR"/>
        </w:rPr>
      </w:pPr>
      <w:r w:rsidRPr="00435CD9">
        <w:rPr>
          <w:rFonts w:cs="Times New Roman" w:eastAsia="Times New Roman"/>
          <w:noProof/>
          <w:szCs w:val="20"/>
          <w:lang w:eastAsia="hr-HR"/>
        </w:rPr>
        <w:t>R J E Š E N J E</w:t>
      </w:r>
    </w:p>
    <w:p w:rsidRDefault="00435CD9" w:rsidP="00435CD9" w:rsidR="00435CD9" w:rsidRPr="00435CD9">
      <w:pPr>
        <w:overflowPunct w:val="false"/>
        <w:autoSpaceDE w:val="false"/>
        <w:autoSpaceDN w:val="false"/>
        <w:adjustRightInd w:val="false"/>
        <w:spacing w:after="0"/>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Trgovački sud u Bjelovaru, po sutkinji Mariji Petrina Kubica, u stečajnom postupku nad dužnikom </w:t>
      </w:r>
      <w:r w:rsidRPr="00435CD9">
        <w:rPr>
          <w:rFonts w:cs="Times New Roman" w:eastAsia="Times New Roman"/>
          <w:color w:val="000000"/>
          <w:szCs w:val="20"/>
          <w:lang w:eastAsia="hr-HR"/>
        </w:rPr>
        <w:t xml:space="preserve">INFORMATIVNI CENTAR BJELOVAR d.o.o. Bjelovar, Trg Eugena Kvaternika </w:t>
      </w:r>
      <w:proofErr w:type="spellStart"/>
      <w:r w:rsidRPr="00435CD9">
        <w:rPr>
          <w:rFonts w:cs="Times New Roman" w:eastAsia="Times New Roman"/>
          <w:color w:val="000000"/>
          <w:szCs w:val="20"/>
          <w:lang w:eastAsia="hr-HR"/>
        </w:rPr>
        <w:t>bb</w:t>
      </w:r>
      <w:proofErr w:type="spellEnd"/>
      <w:r w:rsidRPr="00435CD9">
        <w:rPr>
          <w:rFonts w:cs="Times New Roman" w:eastAsia="Times New Roman"/>
          <w:color w:val="000000"/>
          <w:szCs w:val="20"/>
          <w:lang w:eastAsia="hr-HR"/>
        </w:rPr>
        <w:t>, OIB: 14895266944</w:t>
      </w:r>
      <w:r w:rsidRPr="00435CD9">
        <w:rPr>
          <w:rFonts w:cs="Times New Roman" w:eastAsia="Times New Roman"/>
          <w:szCs w:val="20"/>
          <w:lang w:eastAsia="hr-HR"/>
        </w:rPr>
        <w:t>,</w:t>
      </w:r>
      <w:r w:rsidRPr="00435CD9">
        <w:rPr>
          <w:rFonts w:cs="Times New Roman" w:eastAsia="Times New Roman"/>
          <w:noProof/>
          <w:szCs w:val="20"/>
          <w:lang w:eastAsia="hr-HR"/>
        </w:rPr>
        <w:t xml:space="preserve"> nakon ročišta za raspravljanje i glasovanje o izmijenjenom Stečajnom planu koje je održano 13. rujna 2018, 27. rujna 2018.  </w:t>
      </w:r>
    </w:p>
    <w:p w:rsidRDefault="00435CD9" w:rsidP="00435CD9" w:rsidR="00435CD9" w:rsidRPr="00435CD9">
      <w:pPr>
        <w:overflowPunct w:val="false"/>
        <w:autoSpaceDE w:val="false"/>
        <w:autoSpaceDN w:val="false"/>
        <w:adjustRightInd w:val="false"/>
        <w:spacing w:after="0"/>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jc w:val="center"/>
        <w:rPr>
          <w:rFonts w:cs="Times New Roman" w:eastAsia="Times New Roman"/>
          <w:noProof/>
          <w:szCs w:val="20"/>
          <w:lang w:eastAsia="hr-HR"/>
        </w:rPr>
      </w:pPr>
      <w:r w:rsidRPr="00435CD9">
        <w:rPr>
          <w:rFonts w:cs="Times New Roman" w:eastAsia="Times New Roman"/>
          <w:noProof/>
          <w:szCs w:val="20"/>
          <w:lang w:eastAsia="hr-HR"/>
        </w:rPr>
        <w:t>r i j e š i o  j e</w:t>
      </w:r>
    </w:p>
    <w:p w:rsidRDefault="00435CD9" w:rsidP="00435CD9" w:rsidR="00435CD9" w:rsidRPr="00435CD9">
      <w:pPr>
        <w:overflowPunct w:val="false"/>
        <w:autoSpaceDE w:val="false"/>
        <w:autoSpaceDN w:val="false"/>
        <w:adjustRightInd w:val="false"/>
        <w:spacing w:after="0"/>
        <w:jc w:val="both"/>
        <w:rPr>
          <w:rFonts w:cs="Times New Roman" w:eastAsia="Times New Roman"/>
          <w:sz w:val="21"/>
          <w:szCs w:val="21"/>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1. Potvrđuje se izmijenjeni</w:t>
      </w:r>
      <w:r w:rsidRPr="00435CD9">
        <w:rPr>
          <w:rFonts w:cs="Times New Roman" w:eastAsia="Times New Roman"/>
          <w:b/>
          <w:szCs w:val="20"/>
          <w:lang w:eastAsia="hr-HR"/>
        </w:rPr>
        <w:t xml:space="preserve"> </w:t>
      </w:r>
      <w:r w:rsidRPr="00435CD9">
        <w:rPr>
          <w:rFonts w:cs="Times New Roman" w:eastAsia="Times New Roman"/>
          <w:szCs w:val="20"/>
          <w:lang w:eastAsia="hr-HR"/>
        </w:rPr>
        <w:t xml:space="preserve">Stečajni plan koji je podnio stečajni upravitelj Nenad Homar iz Koprivnice, 1. kolovoza 2018., za stečajnog dužnika INFORMATIVNI CENTAR BJELOVAR d.o.o. u stečaju, Bjelovar, Trg Eugena Kumičića </w:t>
      </w:r>
      <w:proofErr w:type="spellStart"/>
      <w:r w:rsidRPr="00435CD9">
        <w:rPr>
          <w:rFonts w:cs="Times New Roman" w:eastAsia="Times New Roman"/>
          <w:szCs w:val="20"/>
          <w:lang w:eastAsia="hr-HR"/>
        </w:rPr>
        <w:t>bb</w:t>
      </w:r>
      <w:proofErr w:type="spellEnd"/>
      <w:r w:rsidRPr="00435CD9">
        <w:rPr>
          <w:rFonts w:cs="Times New Roman" w:eastAsia="Times New Roman"/>
          <w:szCs w:val="20"/>
          <w:lang w:eastAsia="hr-HR"/>
        </w:rPr>
        <w:t>, MBS: 010009981, OIB:  14895266944.</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 xml:space="preserve">Izmijenjeni Stečajni plan bio je javno objavljen na mrežnoj stranici e-Oglasna ploča suda 20. kolovoza 2018., a sadržavao je slijedeću provedbenu osnovu: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„I. Utvrđuje se smanjenje (otpis) obveza stečajnog dužnika prema stečajnim vjerovnicima, za vrijednost koju čini 90% utvrđene tražbine svakog pojedinog vjerovnika, te se nalaže stečajnom upravitelju, da ostatak iznosa utvrđenih tražbina isplati stečajnim vjerovnicima na teret stečajne mase u roku od 180 dana od dana pravomoćnosti ovoga Rješenja, a sve prema vrijednostima iskazanima kako slijedi:</w:t>
      </w:r>
    </w:p>
    <w:p w:rsidRDefault="00435CD9" w:rsidP="00435CD9" w:rsidR="00435CD9" w:rsidRPr="00435CD9">
      <w:pPr>
        <w:overflowPunct w:val="false"/>
        <w:autoSpaceDE w:val="false"/>
        <w:autoSpaceDN w:val="false"/>
        <w:adjustRightInd w:val="false"/>
        <w:spacing w:after="0"/>
        <w:rPr>
          <w:rFonts w:cs="Times New Roman" w:eastAsia="Times New Roman"/>
          <w:i/>
          <w:sz w:val="21"/>
          <w:szCs w:val="21"/>
          <w:lang w:eastAsia="hr-HR"/>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085"/>
        <w:gridCol w:w="1559"/>
        <w:gridCol w:w="1604"/>
        <w:gridCol w:w="1646"/>
        <w:gridCol w:w="1394"/>
      </w:tblGrid>
      <w:tr w:rsidTr="00435CD9" w:rsidR="00435CD9" w:rsidRPr="00435CD9">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center"/>
              <w:rPr>
                <w:rFonts w:cs="Tahoma" w:eastAsia="Calibri" w:hAnsi="Calibri" w:ascii="Calibri"/>
                <w:noProof/>
                <w:sz w:val="17"/>
                <w:szCs w:val="17"/>
                <w:lang w:eastAsia="hr-HR"/>
              </w:rPr>
            </w:pPr>
            <w:r w:rsidRPr="00435CD9">
              <w:rPr>
                <w:rFonts w:cs="Tahoma" w:eastAsia="Calibri" w:hAnsi="Calibri" w:ascii="Calibri"/>
                <w:noProof/>
                <w:sz w:val="17"/>
                <w:szCs w:val="17"/>
                <w:lang w:eastAsia="hr-HR"/>
              </w:rPr>
              <w:t>STEČAJNI VJEROVNIK</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center"/>
              <w:rPr>
                <w:rFonts w:cs="Tahoma" w:eastAsia="Calibri" w:hAnsi="Calibri" w:ascii="Calibri"/>
                <w:noProof/>
                <w:sz w:val="17"/>
                <w:szCs w:val="17"/>
                <w:lang w:eastAsia="hr-HR"/>
              </w:rPr>
            </w:pPr>
            <w:r w:rsidRPr="00435CD9">
              <w:rPr>
                <w:rFonts w:cs="Tahoma" w:eastAsia="Calibri" w:hAnsi="Calibri" w:ascii="Calibri"/>
                <w:noProof/>
                <w:sz w:val="17"/>
                <w:szCs w:val="17"/>
                <w:lang w:eastAsia="hr-HR"/>
              </w:rPr>
              <w:t>OIB</w:t>
            </w:r>
          </w:p>
        </w:tc>
        <w:tc>
          <w:tcPr>
            <w:tcW w:type="dxa" w:w="160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center"/>
              <w:rPr>
                <w:rFonts w:cs="Tahoma" w:eastAsia="Calibri" w:hAnsi="Calibri" w:ascii="Calibri"/>
                <w:noProof/>
                <w:sz w:val="17"/>
                <w:szCs w:val="17"/>
                <w:lang w:eastAsia="hr-HR"/>
              </w:rPr>
            </w:pPr>
            <w:r w:rsidRPr="00435CD9">
              <w:rPr>
                <w:rFonts w:cs="Tahoma" w:eastAsia="Calibri" w:hAnsi="Calibri" w:ascii="Calibri"/>
                <w:noProof/>
                <w:sz w:val="17"/>
                <w:szCs w:val="17"/>
                <w:lang w:eastAsia="hr-HR"/>
              </w:rPr>
              <w:t>UTVRĐENA TRAŽBINA</w:t>
            </w:r>
          </w:p>
        </w:tc>
        <w:tc>
          <w:tcPr>
            <w:tcW w:type="dxa" w:w="1646"/>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center"/>
              <w:rPr>
                <w:rFonts w:cs="Tahoma" w:eastAsia="Calibri" w:hAnsi="Calibri" w:ascii="Calibri"/>
                <w:noProof/>
                <w:sz w:val="17"/>
                <w:szCs w:val="17"/>
                <w:lang w:eastAsia="hr-HR"/>
              </w:rPr>
            </w:pPr>
            <w:r w:rsidRPr="00435CD9">
              <w:rPr>
                <w:rFonts w:cs="Tahoma" w:eastAsia="Calibri" w:hAnsi="Calibri" w:ascii="Calibri"/>
                <w:noProof/>
                <w:sz w:val="17"/>
                <w:szCs w:val="17"/>
                <w:lang w:eastAsia="hr-HR"/>
              </w:rPr>
              <w:t>IZNOS SMANJENJA OBVEZE</w:t>
            </w:r>
          </w:p>
        </w:tc>
        <w:tc>
          <w:tcPr>
            <w:tcW w:type="dxa" w:w="139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center"/>
              <w:rPr>
                <w:rFonts w:cs="Tahoma" w:eastAsia="Calibri" w:hAnsi="Calibri" w:ascii="Calibri"/>
                <w:noProof/>
                <w:sz w:val="17"/>
                <w:szCs w:val="17"/>
                <w:lang w:eastAsia="hr-HR"/>
              </w:rPr>
            </w:pPr>
            <w:r w:rsidRPr="00435CD9">
              <w:rPr>
                <w:rFonts w:cs="Tahoma" w:eastAsia="Calibri" w:hAnsi="Calibri" w:ascii="Calibri"/>
                <w:noProof/>
                <w:sz w:val="17"/>
                <w:szCs w:val="17"/>
                <w:lang w:eastAsia="hr-HR"/>
              </w:rPr>
              <w:t>IZNOS ZA ISPLATU</w:t>
            </w:r>
          </w:p>
        </w:tc>
      </w:tr>
      <w:tr w:rsidTr="00435CD9" w:rsidR="00435CD9" w:rsidRPr="00435CD9">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HRVATSKE VODE, pravna osoba za upravljanje vodama</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28921383001</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20.217,36</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18.195,62</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2.021,73</w:t>
            </w:r>
          </w:p>
        </w:tc>
      </w:tr>
      <w:tr w:rsidTr="00435CD9" w:rsidR="00435CD9" w:rsidRPr="00435CD9">
        <w:trPr>
          <w:trHeight w:val="1116"/>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REPUBLIKA HRVATSKA MINISTARSTVO FINANCIJA, Porezna uprava, Područni ured Bjelovar</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18683136487</w:t>
            </w:r>
          </w:p>
        </w:tc>
        <w:tc>
          <w:tcPr>
            <w:tcW w:type="dxa" w:w="160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284.643,26</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256.178,93</w:t>
            </w:r>
          </w:p>
        </w:tc>
        <w:tc>
          <w:tcPr>
            <w:tcW w:type="dxa" w:w="139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28.464,32</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KOMUNALAC d.o.o.</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27962400486</w:t>
            </w:r>
          </w:p>
        </w:tc>
        <w:tc>
          <w:tcPr>
            <w:tcW w:type="dxa" w:w="160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4.418,35</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3.976,51</w:t>
            </w:r>
          </w:p>
        </w:tc>
        <w:tc>
          <w:tcPr>
            <w:tcW w:type="dxa" w:w="139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441,83</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VODNE USLUGE d.o.o.</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43307218011</w:t>
            </w:r>
          </w:p>
        </w:tc>
        <w:tc>
          <w:tcPr>
            <w:tcW w:type="dxa" w:w="160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106,3</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95,67</w:t>
            </w:r>
          </w:p>
        </w:tc>
        <w:tc>
          <w:tcPr>
            <w:tcW w:type="dxa" w:w="139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10,63</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GRAD BJELOVAR</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18970641692</w:t>
            </w:r>
          </w:p>
        </w:tc>
        <w:tc>
          <w:tcPr>
            <w:tcW w:type="dxa" w:w="160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115.139,40</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103.625,46</w:t>
            </w:r>
          </w:p>
        </w:tc>
        <w:tc>
          <w:tcPr>
            <w:tcW w:type="dxa" w:w="139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11.513,94</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IT Jedan d.o.o.</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75235737688</w:t>
            </w:r>
          </w:p>
        </w:tc>
        <w:tc>
          <w:tcPr>
            <w:tcW w:type="dxa" w:w="160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446,13</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401,51</w:t>
            </w:r>
          </w:p>
        </w:tc>
        <w:tc>
          <w:tcPr>
            <w:tcW w:type="dxa" w:w="139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44,61</w:t>
            </w:r>
          </w:p>
        </w:tc>
      </w:tr>
      <w:tr w:rsidTr="00435CD9" w:rsidR="00435CD9" w:rsidRPr="00435CD9">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ČAZMATRANS PROMET d.o.o.</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96107776452</w:t>
            </w:r>
          </w:p>
        </w:tc>
        <w:tc>
          <w:tcPr>
            <w:tcW w:type="dxa" w:w="160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616,68</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555,01</w:t>
            </w:r>
          </w:p>
        </w:tc>
        <w:tc>
          <w:tcPr>
            <w:tcW w:type="dxa" w:w="139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61,66</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GRAD ZAGREB</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61817894937</w:t>
            </w:r>
          </w:p>
        </w:tc>
        <w:tc>
          <w:tcPr>
            <w:tcW w:type="dxa" w:w="160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79.718,41</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71.746,57</w:t>
            </w:r>
          </w:p>
        </w:tc>
        <w:tc>
          <w:tcPr>
            <w:tcW w:type="dxa" w:w="1394"/>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7.971,84</w:t>
            </w:r>
          </w:p>
        </w:tc>
      </w:tr>
      <w:tr w:rsidTr="00435CD9" w:rsidR="00435CD9" w:rsidRPr="00435CD9">
        <w:trPr>
          <w:trHeight w:val="84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lastRenderedPageBreak/>
              <w:t>HRVATSKA REGULATORNA AGENCIJA ZA MREŽNE DJELATNOSTI</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87950783661</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12.807,00</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11.526,30</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1.280,70</w:t>
            </w:r>
          </w:p>
        </w:tc>
      </w:tr>
      <w:tr w:rsidTr="00435CD9" w:rsidR="00435CD9" w:rsidRPr="00435CD9">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HRVATSKO DRUŠTVO SKLADATELJA</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56668956985</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842.984,90</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758.686,41</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84.298,49</w:t>
            </w:r>
          </w:p>
        </w:tc>
      </w:tr>
      <w:tr w:rsidTr="00435CD9" w:rsidR="00435CD9" w:rsidRPr="00435CD9">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AGENCIJA ZA ELEKTRONIČKE MEDIJE</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35237547014</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14.537,30</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13.083,57</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1.453,73</w:t>
            </w:r>
          </w:p>
        </w:tc>
      </w:tr>
      <w:tr w:rsidTr="00435CD9" w:rsidR="00435CD9" w:rsidRPr="00435CD9">
        <w:trPr>
          <w:trHeight w:val="1168"/>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SUVLASNICI STAMBENE ZGRADE U ZAGREBU, JURJA ŽERJAVIĆA 19, zastupani po: GRADSKO STAMBENO KOMUNALNO PODUZEĆE d.o.o.</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3744272526</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16.927,32</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15.234,58</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1.692,73</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CROATIA OSIGURANJE d.d.</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26187994862</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1.301,39</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1.171,25</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130,13</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ERSTE CARD CLUB d.o.o.</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85941596441</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1.511,15</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1.360,03</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151,11</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ELEKTROMETAL d.d.</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45669853088</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13.698,28</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12.328,45</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1.369,83</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BJELOVARSKI SAJAM d.o.o.</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95270568579</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171.079,58</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153.971,62</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17.107,95</w:t>
            </w:r>
          </w:p>
        </w:tc>
      </w:tr>
      <w:tr w:rsidTr="00435CD9" w:rsidR="00435CD9" w:rsidRPr="00435CD9">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ODVJETNICA RUŽICA PILIČIĆ ŠINKO</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69036652687</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15.500,00</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13.950,00</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1.550,00</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PROENERGY</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63962176928</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6.505,79</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5.855,21</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650,57</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MEDIARITAM d.o.o.</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95283343666</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3.825,00</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3.442,50</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382,50</w:t>
            </w:r>
          </w:p>
        </w:tc>
      </w:tr>
      <w:tr w:rsidTr="00435CD9" w:rsidR="00435CD9" w:rsidRPr="00435CD9">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ZAGREBAČKI HOLDING d.o.o.</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85584865987</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411,51</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370,35</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41,15</w:t>
            </w:r>
          </w:p>
        </w:tc>
      </w:tr>
      <w:tr w:rsidTr="00435CD9" w:rsidR="00435CD9" w:rsidRPr="00435CD9">
        <w:trPr>
          <w:trHeight w:val="564"/>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GRADSKA PLINARA ZAGREB OPSKRBA  d.o.o.</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74364571096</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11.271,51</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10.144,36</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1.127,15</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EVENT MASTER d.o.o.</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47792707577</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28.948,88</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26.053,99</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2.894,90</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DOMAĆI RADIO j.d.o.o. kao sljednik stečajnog vjerovnika</w:t>
            </w:r>
          </w:p>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ROBERT VESELJAK</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 xml:space="preserve"> 31775677082</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4.052.136,61</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3.646.922,95</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405.213,66</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ODAŠILJAČI I VEZE</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88150534338</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570.603,01</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513.542,70</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57.060,30</w:t>
            </w:r>
          </w:p>
        </w:tc>
      </w:tr>
      <w:tr w:rsidTr="00435CD9" w:rsidR="00435CD9" w:rsidRPr="00435CD9">
        <w:trPr>
          <w:trHeight w:val="300"/>
        </w:trPr>
        <w:tc>
          <w:tcPr>
            <w:tcW w:type="dxa" w:w="3085"/>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GLAS SLAVONIJE d.d.</w:t>
            </w:r>
          </w:p>
        </w:tc>
        <w:tc>
          <w:tcPr>
            <w:tcW w:type="dxa" w:w="1559"/>
            <w:tcBorders>
              <w:top w:space="0" w:sz="4" w:color="auto" w:val="single"/>
              <w:left w:space="0" w:sz="4" w:color="auto" w:val="single"/>
              <w:bottom w:space="0" w:sz="4" w:color="auto" w:val="single"/>
              <w:right w:space="0" w:sz="4" w:color="auto" w:val="single"/>
            </w:tcBorders>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87192735882</w:t>
            </w:r>
          </w:p>
        </w:tc>
        <w:tc>
          <w:tcPr>
            <w:tcW w:type="dxa" w:w="160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2.292.557,28</w:t>
            </w:r>
          </w:p>
        </w:tc>
        <w:tc>
          <w:tcPr>
            <w:tcW w:type="dxa" w:w="1646"/>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2.063.301,55</w:t>
            </w:r>
          </w:p>
        </w:tc>
        <w:tc>
          <w:tcPr>
            <w:tcW w:type="dxa" w:w="1394"/>
            <w:tcBorders>
              <w:top w:space="0" w:sz="4" w:color="auto" w:val="single"/>
              <w:left w:space="0" w:sz="4" w:color="auto" w:val="single"/>
              <w:bottom w:space="0" w:sz="4" w:color="auto" w:val="single"/>
              <w:right w:space="0" w:sz="4" w:color="auto" w:val="single"/>
            </w:tcBorders>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0,00</w:t>
            </w:r>
          </w:p>
        </w:tc>
      </w:tr>
      <w:tr w:rsidTr="00435CD9" w:rsidR="00435CD9" w:rsidRPr="00435CD9">
        <w:trPr>
          <w:trHeight w:val="312"/>
        </w:trPr>
        <w:tc>
          <w:tcPr>
            <w:tcW w:type="dxa" w:w="3085"/>
            <w:tcBorders>
              <w:top w:space="0" w:sz="4" w:color="auto" w:val="single"/>
              <w:left w:space="0" w:sz="4" w:color="auto" w:val="single"/>
              <w:bottom w:space="0" w:sz="4" w:color="auto" w:val="single"/>
              <w:right w:space="0" w:sz="4" w:color="auto" w:val="single"/>
            </w:tcBorders>
            <w:shd w:fill="D9D9D9" w:color="auto" w:val="clear"/>
            <w:noWrap/>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 xml:space="preserve">UKUPNO                        </w:t>
            </w:r>
          </w:p>
        </w:tc>
        <w:tc>
          <w:tcPr>
            <w:tcW w:type="dxa" w:w="1559"/>
            <w:tcBorders>
              <w:top w:space="0" w:sz="4" w:color="auto" w:val="single"/>
              <w:left w:space="0" w:sz="4" w:color="auto" w:val="single"/>
              <w:bottom w:space="0" w:sz="4" w:color="auto" w:val="single"/>
              <w:right w:space="0" w:sz="4" w:color="auto" w:val="single"/>
            </w:tcBorders>
            <w:shd w:fill="D9D9D9" w:color="auto" w:val="clear"/>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p>
        </w:tc>
        <w:tc>
          <w:tcPr>
            <w:tcW w:type="dxa" w:w="1604"/>
            <w:tcBorders>
              <w:top w:space="0" w:sz="4" w:color="auto" w:val="single"/>
              <w:left w:space="0" w:sz="4" w:color="auto" w:val="single"/>
              <w:bottom w:space="0" w:sz="4" w:color="auto" w:val="single"/>
              <w:right w:space="0" w:sz="4" w:color="auto" w:val="single"/>
            </w:tcBorders>
            <w:shd w:fill="D9D9D9" w:color="auto" w:val="clear"/>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8.561.912,40</w:t>
            </w:r>
          </w:p>
        </w:tc>
        <w:tc>
          <w:tcPr>
            <w:tcW w:type="dxa" w:w="1646"/>
            <w:tcBorders>
              <w:top w:space="0" w:sz="4" w:color="auto" w:val="single"/>
              <w:left w:space="0" w:sz="4" w:color="auto" w:val="single"/>
              <w:bottom w:space="0" w:sz="4" w:color="auto" w:val="single"/>
              <w:right w:space="0" w:sz="4" w:color="auto" w:val="single"/>
            </w:tcBorders>
            <w:shd w:fill="D9D9D9" w:color="auto" w:val="clear"/>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7.705.721,10</w:t>
            </w:r>
          </w:p>
        </w:tc>
        <w:tc>
          <w:tcPr>
            <w:tcW w:type="dxa" w:w="1394"/>
            <w:tcBorders>
              <w:top w:space="0" w:sz="4" w:color="auto" w:val="single"/>
              <w:left w:space="0" w:sz="4" w:color="auto" w:val="single"/>
              <w:bottom w:space="0" w:sz="4" w:color="auto" w:val="single"/>
              <w:right w:space="0" w:sz="4" w:color="auto" w:val="single"/>
            </w:tcBorders>
            <w:shd w:fill="D9D9D9" w:color="auto" w:val="clear"/>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fldChar w:fldCharType="begin"/>
            </w:r>
            <w:r w:rsidRPr="00435CD9">
              <w:rPr>
                <w:rFonts w:cs="Tahoma" w:eastAsia="Calibri" w:hAnsi="Calibri" w:ascii="Calibri"/>
                <w:noProof/>
                <w:sz w:val="19"/>
                <w:szCs w:val="19"/>
                <w:lang w:eastAsia="hr-HR"/>
              </w:rPr>
              <w:instrText xml:space="preserve"> =SUM(ABOVE) </w:instrText>
            </w:r>
            <w:r w:rsidRPr="00435CD9">
              <w:rPr>
                <w:rFonts w:cs="Tahoma" w:eastAsia="Calibri" w:hAnsi="Calibri" w:ascii="Calibri"/>
                <w:noProof/>
                <w:sz w:val="19"/>
                <w:szCs w:val="19"/>
                <w:lang w:eastAsia="hr-HR"/>
              </w:rPr>
              <w:fldChar w:fldCharType="separate"/>
            </w:r>
            <w:r w:rsidRPr="00435CD9">
              <w:rPr>
                <w:rFonts w:cs="Tahoma" w:eastAsia="Calibri" w:hAnsi="Calibri" w:ascii="Calibri"/>
                <w:noProof/>
                <w:sz w:val="19"/>
                <w:szCs w:val="19"/>
                <w:lang w:eastAsia="hr-HR"/>
              </w:rPr>
              <w:t>626.935,46</w:t>
            </w:r>
            <w:r w:rsidRPr="00435CD9">
              <w:rPr>
                <w:rFonts w:cs="Tahoma" w:eastAsia="Calibri" w:hAnsi="Calibri" w:ascii="Calibri"/>
                <w:noProof/>
                <w:sz w:val="19"/>
                <w:szCs w:val="19"/>
                <w:lang w:eastAsia="hr-HR"/>
              </w:rPr>
              <w:fldChar w:fldCharType="end"/>
            </w:r>
          </w:p>
        </w:tc>
      </w:tr>
      <w:tr w:rsidTr="00435CD9" w:rsidR="00435CD9" w:rsidRPr="00435CD9">
        <w:trPr>
          <w:trHeight w:val="312"/>
        </w:trPr>
        <w:tc>
          <w:tcPr>
            <w:tcW w:type="dxa" w:w="3085"/>
            <w:tcBorders>
              <w:top w:space="0" w:sz="4" w:color="auto" w:val="single"/>
              <w:left w:space="0" w:sz="4" w:color="auto" w:val="single"/>
              <w:bottom w:space="0" w:sz="4" w:color="auto" w:val="single"/>
              <w:right w:space="0" w:sz="4" w:color="auto" w:val="single"/>
            </w:tcBorders>
            <w:shd w:fill="D9D9D9" w:color="auto" w:val="clear"/>
            <w:noWrap/>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GRAD ZAGREB osporeni dio</w:t>
            </w:r>
          </w:p>
        </w:tc>
        <w:tc>
          <w:tcPr>
            <w:tcW w:type="dxa" w:w="1559"/>
            <w:tcBorders>
              <w:top w:space="0" w:sz="4" w:color="auto" w:val="single"/>
              <w:left w:space="0" w:sz="4" w:color="auto" w:val="single"/>
              <w:bottom w:space="0" w:sz="4" w:color="auto" w:val="single"/>
              <w:right w:space="0" w:sz="4" w:color="auto" w:val="single"/>
            </w:tcBorders>
            <w:shd w:fill="D9D9D9" w:color="auto" w:val="clear"/>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p>
        </w:tc>
        <w:tc>
          <w:tcPr>
            <w:tcW w:type="dxa" w:w="1604"/>
            <w:tcBorders>
              <w:top w:space="0" w:sz="4" w:color="auto" w:val="single"/>
              <w:left w:space="0" w:sz="4" w:color="auto" w:val="single"/>
              <w:bottom w:space="0" w:sz="4" w:color="auto" w:val="single"/>
              <w:right w:space="0" w:sz="4" w:color="auto" w:val="single"/>
            </w:tcBorders>
            <w:shd w:fill="D9D9D9" w:color="auto" w:val="clear"/>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imes New Roman" w:eastAsia="Calibri" w:hAnsi="Calibri" w:ascii="Calibri"/>
                <w:iCs/>
                <w:sz w:val="19"/>
                <w:szCs w:val="19"/>
                <w:lang w:eastAsia="hr-HR"/>
              </w:rPr>
              <w:t>47.455,88</w:t>
            </w:r>
          </w:p>
        </w:tc>
        <w:tc>
          <w:tcPr>
            <w:tcW w:type="dxa" w:w="1646"/>
            <w:tcBorders>
              <w:top w:space="0" w:sz="4" w:color="auto" w:val="single"/>
              <w:left w:space="0" w:sz="4" w:color="auto" w:val="single"/>
              <w:bottom w:space="0" w:sz="4" w:color="auto" w:val="single"/>
              <w:right w:space="0" w:sz="4" w:color="auto" w:val="single"/>
            </w:tcBorders>
            <w:shd w:fill="D9D9D9" w:color="auto" w:val="clear"/>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42.710,30</w:t>
            </w:r>
          </w:p>
        </w:tc>
        <w:tc>
          <w:tcPr>
            <w:tcW w:type="dxa" w:w="1394"/>
            <w:tcBorders>
              <w:top w:space="0" w:sz="4" w:color="auto" w:val="single"/>
              <w:left w:space="0" w:sz="4" w:color="auto" w:val="single"/>
              <w:bottom w:space="0" w:sz="4" w:color="auto" w:val="single"/>
              <w:right w:space="0" w:sz="4" w:color="auto" w:val="single"/>
            </w:tcBorders>
            <w:shd w:fill="D9D9D9" w:color="auto" w:val="clear"/>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4.745,58</w:t>
            </w:r>
          </w:p>
        </w:tc>
      </w:tr>
      <w:tr w:rsidTr="00435CD9" w:rsidR="00435CD9" w:rsidRPr="00435CD9">
        <w:trPr>
          <w:trHeight w:val="312"/>
        </w:trPr>
        <w:tc>
          <w:tcPr>
            <w:tcW w:type="dxa" w:w="3085"/>
            <w:tcBorders>
              <w:top w:space="0" w:sz="4" w:color="auto" w:val="single"/>
              <w:left w:space="0" w:sz="4" w:color="auto" w:val="single"/>
              <w:bottom w:space="0" w:sz="4" w:color="auto" w:val="single"/>
              <w:right w:space="0" w:sz="4" w:color="auto" w:val="single"/>
            </w:tcBorders>
            <w:shd w:fill="D9D9D9" w:color="auto" w:val="clear"/>
            <w:noWrap/>
            <w:hideMark/>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 xml:space="preserve">SVEUKUPNO </w:t>
            </w:r>
          </w:p>
        </w:tc>
        <w:tc>
          <w:tcPr>
            <w:tcW w:type="dxa" w:w="1559"/>
            <w:tcBorders>
              <w:top w:space="0" w:sz="4" w:color="auto" w:val="single"/>
              <w:left w:space="0" w:sz="4" w:color="auto" w:val="single"/>
              <w:bottom w:space="0" w:sz="4" w:color="auto" w:val="single"/>
              <w:right w:space="0" w:sz="4" w:color="auto" w:val="single"/>
            </w:tcBorders>
            <w:shd w:fill="D9D9D9" w:color="auto" w:val="clear"/>
          </w:tcPr>
          <w:p w:rsidRDefault="00435CD9" w:rsidP="00435CD9" w:rsidR="00435CD9" w:rsidRPr="00435CD9">
            <w:pPr>
              <w:overflowPunct w:val="false"/>
              <w:autoSpaceDE w:val="false"/>
              <w:autoSpaceDN w:val="false"/>
              <w:adjustRightInd w:val="false"/>
              <w:spacing w:after="0"/>
              <w:rPr>
                <w:rFonts w:cs="Tahoma" w:eastAsia="Calibri" w:hAnsi="Calibri" w:ascii="Calibri"/>
                <w:noProof/>
                <w:sz w:val="19"/>
                <w:szCs w:val="19"/>
                <w:lang w:eastAsia="hr-HR"/>
              </w:rPr>
            </w:pPr>
          </w:p>
        </w:tc>
        <w:tc>
          <w:tcPr>
            <w:tcW w:type="dxa" w:w="1604"/>
            <w:tcBorders>
              <w:top w:space="0" w:sz="4" w:color="auto" w:val="single"/>
              <w:left w:space="0" w:sz="4" w:color="auto" w:val="single"/>
              <w:bottom w:space="0" w:sz="4" w:color="auto" w:val="single"/>
              <w:right w:space="0" w:sz="4" w:color="auto" w:val="single"/>
            </w:tcBorders>
            <w:shd w:fill="D9D9D9" w:color="auto" w:val="clear"/>
            <w:noWrap/>
            <w:hideMark/>
          </w:tcPr>
          <w:p w:rsidRDefault="00435CD9" w:rsidP="00435CD9" w:rsidR="00435CD9" w:rsidRPr="00435CD9">
            <w:pPr>
              <w:overflowPunct w:val="false"/>
              <w:autoSpaceDE w:val="false"/>
              <w:autoSpaceDN w:val="false"/>
              <w:adjustRightInd w:val="false"/>
              <w:spacing w:after="0"/>
              <w:jc w:val="right"/>
              <w:rPr>
                <w:rFonts w:cs="Times New Roman" w:eastAsia="Calibri" w:hAnsi="Calibri" w:ascii="Calibri"/>
                <w:iCs/>
                <w:sz w:val="19"/>
                <w:szCs w:val="19"/>
                <w:lang w:eastAsia="hr-HR"/>
              </w:rPr>
            </w:pPr>
            <w:r w:rsidRPr="00435CD9">
              <w:rPr>
                <w:rFonts w:cs="Times New Roman" w:eastAsia="Calibri" w:hAnsi="Calibri" w:ascii="Calibri"/>
                <w:iCs/>
                <w:sz w:val="19"/>
                <w:szCs w:val="19"/>
                <w:lang w:eastAsia="hr-HR"/>
              </w:rPr>
              <w:t>8.609.368,28</w:t>
            </w:r>
          </w:p>
        </w:tc>
        <w:tc>
          <w:tcPr>
            <w:tcW w:type="dxa" w:w="1646"/>
            <w:tcBorders>
              <w:top w:space="0" w:sz="4" w:color="auto" w:val="single"/>
              <w:left w:space="0" w:sz="4" w:color="auto" w:val="single"/>
              <w:bottom w:space="0" w:sz="4" w:color="auto" w:val="single"/>
              <w:right w:space="0" w:sz="4" w:color="auto" w:val="single"/>
            </w:tcBorders>
            <w:shd w:fill="D9D9D9" w:color="auto" w:val="clear"/>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7.748.431,40</w:t>
            </w:r>
          </w:p>
        </w:tc>
        <w:tc>
          <w:tcPr>
            <w:tcW w:type="dxa" w:w="1394"/>
            <w:tcBorders>
              <w:top w:space="0" w:sz="4" w:color="auto" w:val="single"/>
              <w:left w:space="0" w:sz="4" w:color="auto" w:val="single"/>
              <w:bottom w:space="0" w:sz="4" w:color="auto" w:val="single"/>
              <w:right w:space="0" w:sz="4" w:color="auto" w:val="single"/>
            </w:tcBorders>
            <w:shd w:fill="D9D9D9" w:color="auto" w:val="clear"/>
            <w:noWrap/>
            <w:hideMark/>
          </w:tcPr>
          <w:p w:rsidRDefault="00435CD9" w:rsidP="00435CD9" w:rsidR="00435CD9" w:rsidRPr="00435CD9">
            <w:pPr>
              <w:overflowPunct w:val="false"/>
              <w:autoSpaceDE w:val="false"/>
              <w:autoSpaceDN w:val="false"/>
              <w:adjustRightInd w:val="false"/>
              <w:spacing w:after="0"/>
              <w:jc w:val="right"/>
              <w:rPr>
                <w:rFonts w:cs="Tahoma" w:eastAsia="Calibri" w:hAnsi="Calibri" w:ascii="Calibri"/>
                <w:noProof/>
                <w:sz w:val="19"/>
                <w:szCs w:val="19"/>
                <w:lang w:eastAsia="hr-HR"/>
              </w:rPr>
            </w:pPr>
            <w:r w:rsidRPr="00435CD9">
              <w:rPr>
                <w:rFonts w:cs="Tahoma" w:eastAsia="Calibri" w:hAnsi="Calibri" w:ascii="Calibri"/>
                <w:noProof/>
                <w:sz w:val="19"/>
                <w:szCs w:val="19"/>
                <w:lang w:eastAsia="hr-HR"/>
              </w:rPr>
              <w:t xml:space="preserve">631.681,04 </w:t>
            </w:r>
          </w:p>
        </w:tc>
      </w:tr>
    </w:tbl>
    <w:p w:rsidRDefault="00435CD9" w:rsidP="00435CD9" w:rsidR="00435CD9" w:rsidRPr="00435CD9">
      <w:pPr>
        <w:overflowPunct w:val="false"/>
        <w:autoSpaceDE w:val="false"/>
        <w:autoSpaceDN w:val="false"/>
        <w:adjustRightInd w:val="false"/>
        <w:spacing w:after="0"/>
        <w:jc w:val="both"/>
        <w:rPr>
          <w:rFonts w:cs="Times New Roman" w:eastAsia="Times New Roman"/>
          <w:sz w:val="21"/>
          <w:szCs w:val="21"/>
          <w:lang w:eastAsia="hr-HR"/>
        </w:rPr>
      </w:pPr>
    </w:p>
    <w:p w:rsidRDefault="00435CD9" w:rsidP="00435CD9" w:rsidR="00435CD9" w:rsidRPr="00435CD9">
      <w:pPr>
        <w:overflowPunct w:val="false"/>
        <w:autoSpaceDE w:val="false"/>
        <w:autoSpaceDN w:val="false"/>
        <w:adjustRightInd w:val="false"/>
        <w:spacing w:after="0"/>
        <w:jc w:val="both"/>
        <w:rPr>
          <w:rFonts w:cs="Times New Roman" w:eastAsia="Times New Roman"/>
          <w:i/>
          <w:sz w:val="21"/>
          <w:szCs w:val="21"/>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u w:val="single"/>
          <w:lang w:eastAsia="hr-HR"/>
        </w:rPr>
      </w:pPr>
      <w:r w:rsidRPr="00435CD9">
        <w:rPr>
          <w:rFonts w:cs="Times New Roman" w:eastAsia="Times New Roman"/>
          <w:szCs w:val="20"/>
          <w:lang w:eastAsia="hr-HR"/>
        </w:rPr>
        <w:t>II. Utvrđuje se, da se radi potpunog namirenja tražbine stečajnog vjerovnika Glas Slavonije d.d., OIB 87192735882, ostatak njegove utvrđene tražbine u iznosu od 229.255,72 kn prenosi u nenovčano namirenje, tako što se navedeni ostatak iznosa utvrđene tražbine unosi kao pravo tog vjerovnika u temeljni kapital društva stečajnoga dužnika, radi stjecanja poslovnog udjela u društvu stečajnog dužnika u nominalnom iznosu od 229.200,00 kuna, dok se ostatak tražbine u iznosu od 55,72 kn prenosi u rezerve društva stečajnog dužnika, a sve to, u postupku povećanja temeljnog kapitala društva stečajnog dužnika temeljem odluke o povećanju temeljnog kapitala iz točke X.</w:t>
      </w:r>
    </w:p>
    <w:p w:rsidRDefault="00435CD9" w:rsidP="00435CD9" w:rsidR="00435CD9" w:rsidRPr="00435CD9">
      <w:pPr>
        <w:overflowPunct w:val="false"/>
        <w:autoSpaceDE w:val="false"/>
        <w:autoSpaceDN w:val="false"/>
        <w:adjustRightInd w:val="false"/>
        <w:spacing w:after="0"/>
        <w:jc w:val="both"/>
        <w:rPr>
          <w:rFonts w:cs="Times New Roman" w:eastAsia="Times New Roman"/>
          <w:szCs w:val="20"/>
          <w:u w:val="single"/>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 xml:space="preserve">III. </w:t>
      </w:r>
      <w:proofErr w:type="spellStart"/>
      <w:r w:rsidRPr="00435CD9">
        <w:rPr>
          <w:rFonts w:cs="Times New Roman" w:eastAsia="Times New Roman"/>
          <w:szCs w:val="20"/>
          <w:lang w:eastAsia="hr-HR"/>
        </w:rPr>
        <w:t>Sljednik</w:t>
      </w:r>
      <w:proofErr w:type="spellEnd"/>
      <w:r w:rsidRPr="00435CD9">
        <w:rPr>
          <w:rFonts w:cs="Times New Roman" w:eastAsia="Times New Roman"/>
          <w:szCs w:val="20"/>
          <w:lang w:eastAsia="hr-HR"/>
        </w:rPr>
        <w:t xml:space="preserve"> stečajnog dužnika dužan je, za slučaj da pravomoćnom presudom bude utvrđena tražbina stečajnog vjerovnika Erste &amp; </w:t>
      </w:r>
      <w:proofErr w:type="spellStart"/>
      <w:r w:rsidRPr="00435CD9">
        <w:rPr>
          <w:rFonts w:cs="Times New Roman" w:eastAsia="Times New Roman"/>
          <w:szCs w:val="20"/>
          <w:lang w:eastAsia="hr-HR"/>
        </w:rPr>
        <w:t>Steiermarkische</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bank</w:t>
      </w:r>
      <w:proofErr w:type="spellEnd"/>
      <w:r w:rsidRPr="00435CD9">
        <w:rPr>
          <w:rFonts w:cs="Times New Roman" w:eastAsia="Times New Roman"/>
          <w:szCs w:val="20"/>
          <w:lang w:eastAsia="hr-HR"/>
        </w:rPr>
        <w:t xml:space="preserve"> d.d. isplatiti dio od 10% naknadno utvrđenog iznosa te tražbine tome vjerovniku, a najviše do iznosa od 837.263,91 kn, iz sredstava koja će </w:t>
      </w:r>
      <w:proofErr w:type="spellStart"/>
      <w:r w:rsidRPr="00435CD9">
        <w:rPr>
          <w:rFonts w:cs="Times New Roman" w:eastAsia="Times New Roman"/>
          <w:szCs w:val="20"/>
          <w:lang w:eastAsia="hr-HR"/>
        </w:rPr>
        <w:t>sljednik</w:t>
      </w:r>
      <w:proofErr w:type="spellEnd"/>
      <w:r w:rsidRPr="00435CD9">
        <w:rPr>
          <w:rFonts w:cs="Times New Roman" w:eastAsia="Times New Roman"/>
          <w:szCs w:val="20"/>
          <w:lang w:eastAsia="hr-HR"/>
        </w:rPr>
        <w:t xml:space="preserve"> stečajnog dužnika pribaviti uplatom novčanog uloga </w:t>
      </w:r>
      <w:r w:rsidRPr="00435CD9">
        <w:rPr>
          <w:rFonts w:cs="Times New Roman" w:eastAsia="Times New Roman"/>
          <w:szCs w:val="20"/>
          <w:lang w:eastAsia="hr-HR"/>
        </w:rPr>
        <w:lastRenderedPageBreak/>
        <w:t xml:space="preserve">investitora </w:t>
      </w:r>
      <w:r w:rsidRPr="00435CD9">
        <w:rPr>
          <w:rFonts w:cs="Times New Roman" w:eastAsia="Times New Roman"/>
          <w:bCs/>
          <w:noProof/>
          <w:szCs w:val="20"/>
          <w:lang w:eastAsia="hr-HR"/>
        </w:rPr>
        <w:t xml:space="preserve">ROBERTA VESELJAKA iz </w:t>
      </w:r>
      <w:r w:rsidRPr="00435CD9">
        <w:rPr>
          <w:rFonts w:cs="Times New Roman" w:eastAsia="Times New Roman"/>
          <w:noProof/>
          <w:szCs w:val="20"/>
          <w:lang w:eastAsia="hr-HR"/>
        </w:rPr>
        <w:t>Varaždin</w:t>
      </w:r>
      <w:r w:rsidRPr="00435CD9">
        <w:rPr>
          <w:rFonts w:cs="Times New Roman" w:eastAsia="Times New Roman"/>
          <w:bCs/>
          <w:noProof/>
          <w:szCs w:val="20"/>
          <w:lang w:eastAsia="hr-HR"/>
        </w:rPr>
        <w:t>a</w:t>
      </w:r>
      <w:r w:rsidRPr="00435CD9">
        <w:rPr>
          <w:rFonts w:cs="Times New Roman" w:eastAsia="Times New Roman"/>
          <w:noProof/>
          <w:szCs w:val="20"/>
          <w:lang w:eastAsia="hr-HR"/>
        </w:rPr>
        <w:t>, A. B. Šimića 1</w:t>
      </w:r>
      <w:r w:rsidRPr="00435CD9">
        <w:rPr>
          <w:rFonts w:cs="Times New Roman" w:eastAsia="Times New Roman"/>
          <w:bCs/>
          <w:noProof/>
          <w:szCs w:val="20"/>
          <w:lang w:eastAsia="hr-HR"/>
        </w:rPr>
        <w:t xml:space="preserve">, OIB </w:t>
      </w:r>
      <w:r w:rsidRPr="00435CD9">
        <w:rPr>
          <w:rFonts w:cs="Times New Roman" w:eastAsia="Times New Roman"/>
          <w:noProof/>
          <w:szCs w:val="20"/>
          <w:lang w:eastAsia="hr-HR"/>
        </w:rPr>
        <w:t>67946168060</w:t>
      </w:r>
      <w:r w:rsidRPr="00435CD9">
        <w:rPr>
          <w:rFonts w:cs="Times New Roman" w:eastAsia="Times New Roman"/>
          <w:bCs/>
          <w:noProof/>
          <w:szCs w:val="20"/>
          <w:lang w:eastAsia="hr-HR"/>
        </w:rPr>
        <w:t xml:space="preserve">, </w:t>
      </w:r>
      <w:r w:rsidRPr="00435CD9">
        <w:rPr>
          <w:rFonts w:cs="Times New Roman" w:eastAsia="Times New Roman"/>
          <w:szCs w:val="20"/>
          <w:lang w:eastAsia="hr-HR"/>
        </w:rPr>
        <w:t xml:space="preserve">u povećanje temeljnog kapitala društva do visine od 837.300,00 kn, koji postupak je </w:t>
      </w:r>
      <w:proofErr w:type="spellStart"/>
      <w:r w:rsidRPr="00435CD9">
        <w:rPr>
          <w:rFonts w:cs="Times New Roman" w:eastAsia="Times New Roman"/>
          <w:szCs w:val="20"/>
          <w:lang w:eastAsia="hr-HR"/>
        </w:rPr>
        <w:t>sljednik</w:t>
      </w:r>
      <w:proofErr w:type="spellEnd"/>
      <w:r w:rsidRPr="00435CD9">
        <w:rPr>
          <w:rFonts w:cs="Times New Roman" w:eastAsia="Times New Roman"/>
          <w:szCs w:val="20"/>
          <w:lang w:eastAsia="hr-HR"/>
        </w:rPr>
        <w:t xml:space="preserve"> stečajnog dužnika dužan dovršiti u roku od 60 dana od dana nastupa pravomoćnosti presude kojom je utvrđena tražbina stečajnog vjerovnika Erste &amp; </w:t>
      </w:r>
      <w:proofErr w:type="spellStart"/>
      <w:r w:rsidRPr="00435CD9">
        <w:rPr>
          <w:rFonts w:cs="Times New Roman" w:eastAsia="Times New Roman"/>
          <w:szCs w:val="20"/>
          <w:lang w:eastAsia="hr-HR"/>
        </w:rPr>
        <w:t>Steiermarkische</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bank</w:t>
      </w:r>
      <w:proofErr w:type="spellEnd"/>
      <w:r w:rsidRPr="00435CD9">
        <w:rPr>
          <w:rFonts w:cs="Times New Roman" w:eastAsia="Times New Roman"/>
          <w:szCs w:val="20"/>
          <w:lang w:eastAsia="hr-HR"/>
        </w:rPr>
        <w:t xml:space="preserve"> d.d.  </w:t>
      </w:r>
    </w:p>
    <w:p w:rsidRDefault="00435CD9" w:rsidP="00435CD9" w:rsidR="00435CD9" w:rsidRPr="00435CD9">
      <w:pPr>
        <w:overflowPunct w:val="false"/>
        <w:autoSpaceDE w:val="false"/>
        <w:autoSpaceDN w:val="false"/>
        <w:adjustRightInd w:val="false"/>
        <w:spacing w:after="0"/>
        <w:ind w:firstLine="851" w:left="720"/>
        <w:contextualSpacing/>
        <w:jc w:val="both"/>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 xml:space="preserve">IV. Utvrđuje se, da investitor </w:t>
      </w:r>
      <w:r w:rsidRPr="00435CD9">
        <w:rPr>
          <w:rFonts w:cs="Times New Roman" w:eastAsia="Times New Roman"/>
          <w:bCs/>
          <w:noProof/>
          <w:szCs w:val="20"/>
          <w:lang w:eastAsia="hr-HR"/>
        </w:rPr>
        <w:t xml:space="preserve">ROBERT VESELJAK iz </w:t>
      </w:r>
      <w:r w:rsidRPr="00435CD9">
        <w:rPr>
          <w:rFonts w:cs="Times New Roman" w:eastAsia="Times New Roman"/>
          <w:noProof/>
          <w:szCs w:val="20"/>
          <w:lang w:eastAsia="hr-HR"/>
        </w:rPr>
        <w:t>Varaždin</w:t>
      </w:r>
      <w:r w:rsidRPr="00435CD9">
        <w:rPr>
          <w:rFonts w:cs="Times New Roman" w:eastAsia="Times New Roman"/>
          <w:bCs/>
          <w:noProof/>
          <w:szCs w:val="20"/>
          <w:lang w:eastAsia="hr-HR"/>
        </w:rPr>
        <w:t>a</w:t>
      </w:r>
      <w:r w:rsidRPr="00435CD9">
        <w:rPr>
          <w:rFonts w:cs="Times New Roman" w:eastAsia="Times New Roman"/>
          <w:noProof/>
          <w:szCs w:val="20"/>
          <w:lang w:eastAsia="hr-HR"/>
        </w:rPr>
        <w:t>, A. B. Šimića 1</w:t>
      </w:r>
      <w:r w:rsidRPr="00435CD9">
        <w:rPr>
          <w:rFonts w:cs="Times New Roman" w:eastAsia="Times New Roman"/>
          <w:bCs/>
          <w:noProof/>
          <w:szCs w:val="20"/>
          <w:lang w:eastAsia="hr-HR"/>
        </w:rPr>
        <w:t xml:space="preserve">, OIB </w:t>
      </w:r>
      <w:r w:rsidRPr="00435CD9">
        <w:rPr>
          <w:rFonts w:cs="Times New Roman" w:eastAsia="Times New Roman"/>
          <w:noProof/>
          <w:szCs w:val="20"/>
          <w:lang w:eastAsia="hr-HR"/>
        </w:rPr>
        <w:t>67946168060</w:t>
      </w:r>
      <w:r w:rsidRPr="00435CD9">
        <w:rPr>
          <w:rFonts w:cs="Times New Roman" w:eastAsia="Times New Roman"/>
          <w:bCs/>
          <w:noProof/>
          <w:szCs w:val="20"/>
          <w:lang w:eastAsia="hr-HR"/>
        </w:rPr>
        <w:t xml:space="preserve">, ima obvezu najkasnije 120-tog dana od dana donošenja odluke o povećanju temeljnog kapitala društva stečajnog dužnika na račun stečajnog dužnika uplatiti iznos od 400.000,00 kuna na ime povećanja temeljnog kapitala društva stečajnog dužnika i stjecanja poslovnog udjela u tome društvu u nominalnom iznosu od 400.000,00 kuna, a stečajni upravitelj ima obvezu u  roku od 15 dana od dana pravomoćnosti ovoga Rješenja u svojstvu Skupštine društva stečajnog dužnika donijeti odluku o povećanju temeljnog kapitala društva stečajnog dužnika za iznos od 400.000,00 kuna, novčanim ulogom investitora </w:t>
      </w:r>
      <w:r w:rsidRPr="00435CD9">
        <w:rPr>
          <w:rFonts w:cs="Times New Roman" w:eastAsia="Times New Roman"/>
          <w:szCs w:val="20"/>
          <w:lang w:eastAsia="hr-HR"/>
        </w:rPr>
        <w:t xml:space="preserve"> </w:t>
      </w:r>
      <w:r w:rsidRPr="00435CD9">
        <w:rPr>
          <w:rFonts w:cs="Times New Roman" w:eastAsia="Times New Roman"/>
          <w:bCs/>
          <w:noProof/>
          <w:szCs w:val="20"/>
          <w:lang w:eastAsia="hr-HR"/>
        </w:rPr>
        <w:t xml:space="preserve">ROBERT VESELJAK iz </w:t>
      </w:r>
      <w:r w:rsidRPr="00435CD9">
        <w:rPr>
          <w:rFonts w:cs="Times New Roman" w:eastAsia="Times New Roman"/>
          <w:noProof/>
          <w:szCs w:val="20"/>
          <w:lang w:eastAsia="hr-HR"/>
        </w:rPr>
        <w:t>Varaždin</w:t>
      </w:r>
      <w:r w:rsidRPr="00435CD9">
        <w:rPr>
          <w:rFonts w:cs="Times New Roman" w:eastAsia="Times New Roman"/>
          <w:bCs/>
          <w:noProof/>
          <w:szCs w:val="20"/>
          <w:lang w:eastAsia="hr-HR"/>
        </w:rPr>
        <w:t>a</w:t>
      </w:r>
      <w:r w:rsidRPr="00435CD9">
        <w:rPr>
          <w:rFonts w:cs="Times New Roman" w:eastAsia="Times New Roman"/>
          <w:noProof/>
          <w:szCs w:val="20"/>
          <w:lang w:eastAsia="hr-HR"/>
        </w:rPr>
        <w:t>, A. B. Šimića 1</w:t>
      </w:r>
      <w:r w:rsidRPr="00435CD9">
        <w:rPr>
          <w:rFonts w:cs="Times New Roman" w:eastAsia="Times New Roman"/>
          <w:bCs/>
          <w:noProof/>
          <w:szCs w:val="20"/>
          <w:lang w:eastAsia="hr-HR"/>
        </w:rPr>
        <w:t xml:space="preserve">, OIB </w:t>
      </w:r>
      <w:r w:rsidRPr="00435CD9">
        <w:rPr>
          <w:rFonts w:cs="Times New Roman" w:eastAsia="Times New Roman"/>
          <w:noProof/>
          <w:szCs w:val="20"/>
          <w:lang w:eastAsia="hr-HR"/>
        </w:rPr>
        <w:t>67946168060</w:t>
      </w:r>
      <w:r w:rsidRPr="00435CD9">
        <w:rPr>
          <w:rFonts w:cs="Times New Roman" w:eastAsia="Times New Roman"/>
          <w:bCs/>
          <w:noProof/>
          <w:szCs w:val="20"/>
          <w:lang w:eastAsia="hr-HR"/>
        </w:rPr>
        <w:t>, koju uplatu taj investitor ima izvršiti u roku od 120 dana od dana donošenja te odluke, a iz kojih sredstava će se izvršiti potpuna isplata dijela tražbina stečajnim vjerovnicima drugog višeg isplatnog reda u iznosima kako su navedeni u toč. I. ovoga Rješenja.</w:t>
      </w:r>
    </w:p>
    <w:p w:rsidRDefault="00435CD9" w:rsidP="00435CD9" w:rsidR="00435CD9" w:rsidRPr="00435CD9">
      <w:pPr>
        <w:overflowPunct w:val="false"/>
        <w:autoSpaceDE w:val="false"/>
        <w:autoSpaceDN w:val="false"/>
        <w:adjustRightInd w:val="false"/>
        <w:spacing w:after="0"/>
        <w:ind w:left="720"/>
        <w:contextualSpacing/>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 xml:space="preserve">V. Utvrđuje se da investitor </w:t>
      </w:r>
      <w:r w:rsidRPr="00435CD9">
        <w:rPr>
          <w:rFonts w:cs="Times New Roman" w:eastAsia="Times New Roman"/>
          <w:bCs/>
          <w:noProof/>
          <w:szCs w:val="20"/>
          <w:lang w:eastAsia="hr-HR"/>
        </w:rPr>
        <w:t xml:space="preserve">ROBERT VESELJAK iz </w:t>
      </w:r>
      <w:r w:rsidRPr="00435CD9">
        <w:rPr>
          <w:rFonts w:cs="Times New Roman" w:eastAsia="Times New Roman"/>
          <w:noProof/>
          <w:szCs w:val="20"/>
          <w:lang w:eastAsia="hr-HR"/>
        </w:rPr>
        <w:t>Varaždin</w:t>
      </w:r>
      <w:r w:rsidRPr="00435CD9">
        <w:rPr>
          <w:rFonts w:cs="Times New Roman" w:eastAsia="Times New Roman"/>
          <w:bCs/>
          <w:noProof/>
          <w:szCs w:val="20"/>
          <w:lang w:eastAsia="hr-HR"/>
        </w:rPr>
        <w:t>a</w:t>
      </w:r>
      <w:r w:rsidRPr="00435CD9">
        <w:rPr>
          <w:rFonts w:cs="Times New Roman" w:eastAsia="Times New Roman"/>
          <w:noProof/>
          <w:szCs w:val="20"/>
          <w:lang w:eastAsia="hr-HR"/>
        </w:rPr>
        <w:t>, A. B. Šimića 1</w:t>
      </w:r>
      <w:r w:rsidRPr="00435CD9">
        <w:rPr>
          <w:rFonts w:cs="Times New Roman" w:eastAsia="Times New Roman"/>
          <w:bCs/>
          <w:noProof/>
          <w:szCs w:val="20"/>
          <w:lang w:eastAsia="hr-HR"/>
        </w:rPr>
        <w:t xml:space="preserve">, OIB </w:t>
      </w:r>
      <w:r w:rsidRPr="00435CD9">
        <w:rPr>
          <w:rFonts w:cs="Times New Roman" w:eastAsia="Times New Roman"/>
          <w:noProof/>
          <w:szCs w:val="20"/>
          <w:lang w:eastAsia="hr-HR"/>
        </w:rPr>
        <w:t>67946168060</w:t>
      </w:r>
      <w:r w:rsidRPr="00435CD9">
        <w:rPr>
          <w:rFonts w:cs="Times New Roman" w:eastAsia="Times New Roman"/>
          <w:bCs/>
          <w:noProof/>
          <w:szCs w:val="20"/>
          <w:lang w:eastAsia="hr-HR"/>
        </w:rPr>
        <w:t>,</w:t>
      </w:r>
      <w:r w:rsidRPr="00435CD9">
        <w:rPr>
          <w:rFonts w:cs="Times New Roman" w:eastAsia="Times New Roman"/>
          <w:szCs w:val="20"/>
          <w:lang w:eastAsia="hr-HR"/>
        </w:rPr>
        <w:t xml:space="preserve">  najkasnije 60-tog dana od dana pravomoćnosti presude kojom je utvrđeno postojanje tražbine stečajnog vjerovnika Erste &amp; </w:t>
      </w:r>
      <w:proofErr w:type="spellStart"/>
      <w:r w:rsidRPr="00435CD9">
        <w:rPr>
          <w:rFonts w:cs="Times New Roman" w:eastAsia="Times New Roman"/>
          <w:szCs w:val="20"/>
          <w:lang w:eastAsia="hr-HR"/>
        </w:rPr>
        <w:t>Steiermarkische</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bank</w:t>
      </w:r>
      <w:proofErr w:type="spellEnd"/>
      <w:r w:rsidRPr="00435CD9">
        <w:rPr>
          <w:rFonts w:cs="Times New Roman" w:eastAsia="Times New Roman"/>
          <w:szCs w:val="20"/>
          <w:lang w:eastAsia="hr-HR"/>
        </w:rPr>
        <w:t xml:space="preserve"> d.d. najviše do iznosa od 8.372.639,18 kn, ima obvezu izvršenja uplate uloga u temeljni kapital društva </w:t>
      </w:r>
      <w:proofErr w:type="spellStart"/>
      <w:r w:rsidRPr="00435CD9">
        <w:rPr>
          <w:rFonts w:cs="Times New Roman" w:eastAsia="Times New Roman"/>
          <w:szCs w:val="20"/>
          <w:lang w:eastAsia="hr-HR"/>
        </w:rPr>
        <w:t>sljednika</w:t>
      </w:r>
      <w:proofErr w:type="spellEnd"/>
      <w:r w:rsidRPr="00435CD9">
        <w:rPr>
          <w:rFonts w:cs="Times New Roman" w:eastAsia="Times New Roman"/>
          <w:szCs w:val="20"/>
          <w:lang w:eastAsia="hr-HR"/>
        </w:rPr>
        <w:t xml:space="preserve"> stečajnog dužnika u novcu, do iznosa od 837.300,00 kn.</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VI. Utvrđuje se, da se stečajni vjerovnici drugog višeg isplatnog reda s utvrđenim tražbinama danom primitka isplate novčanog namirenja u pojedinačnim iznosima iz točke I. smatraju potpuno namirenima, a stečajni dužnik je oslobođen obveza prema tim stečajnim vjerovnicima.</w:t>
      </w:r>
    </w:p>
    <w:p w:rsidRDefault="00435CD9" w:rsidP="00435CD9" w:rsidR="00435CD9" w:rsidRPr="00435CD9">
      <w:pPr>
        <w:overflowPunct w:val="false"/>
        <w:autoSpaceDE w:val="false"/>
        <w:autoSpaceDN w:val="false"/>
        <w:adjustRightInd w:val="false"/>
        <w:spacing w:after="0"/>
        <w:ind w:firstLine="851" w:left="720"/>
        <w:contextualSpacing/>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VII. Utvrđuje se, da se s danom upisa povećanja temeljnog kapitala društva stečajnog dužnika unosom prava - ostatka tražbina prema stečajnom dužniku u skladu s točkom X. u sudski registar stečajni vjerovnik GLAS SLAVONIJE d.d. smatra potpuno namirenim, a stečajni dužnik je oslobođen obveze prema tom stečajnom vjerovniku.</w:t>
      </w:r>
    </w:p>
    <w:p w:rsidRDefault="00435CD9" w:rsidP="00435CD9" w:rsidR="00435CD9" w:rsidRPr="00435CD9">
      <w:pPr>
        <w:overflowPunct w:val="false"/>
        <w:autoSpaceDE w:val="false"/>
        <w:autoSpaceDN w:val="false"/>
        <w:adjustRightInd w:val="false"/>
        <w:spacing w:after="0"/>
        <w:ind w:firstLine="851" w:left="720"/>
        <w:contextualSpacing/>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VIII. Stečajni upravitelj će u roku od 15 dana od dana pravomoćnosti rješenja o potvrdi Stečajnog plana donijeti odluku o spajanju poslovnih udjela postojećih članova društva, temeljem koje će ti članovi imati u društvu svaki po jedan poslovni udjel, i to član društva „</w:t>
      </w:r>
      <w:proofErr w:type="spellStart"/>
      <w:r w:rsidRPr="00435CD9">
        <w:rPr>
          <w:rFonts w:cs="Times New Roman" w:eastAsia="Times New Roman"/>
          <w:szCs w:val="20"/>
          <w:lang w:eastAsia="hr-HR"/>
        </w:rPr>
        <w:t>nasljednička</w:t>
      </w:r>
      <w:proofErr w:type="spellEnd"/>
      <w:r w:rsidRPr="00435CD9">
        <w:rPr>
          <w:rFonts w:cs="Times New Roman" w:eastAsia="Times New Roman"/>
          <w:szCs w:val="20"/>
          <w:lang w:eastAsia="hr-HR"/>
        </w:rPr>
        <w:t xml:space="preserve"> zajednica iza </w:t>
      </w:r>
      <w:proofErr w:type="spellStart"/>
      <w:r w:rsidRPr="00435CD9">
        <w:rPr>
          <w:rFonts w:cs="Times New Roman" w:eastAsia="Times New Roman"/>
          <w:szCs w:val="20"/>
          <w:lang w:eastAsia="hr-HR"/>
        </w:rPr>
        <w:t>pok</w:t>
      </w:r>
      <w:proofErr w:type="spellEnd"/>
      <w:r w:rsidRPr="00435CD9">
        <w:rPr>
          <w:rFonts w:cs="Times New Roman" w:eastAsia="Times New Roman"/>
          <w:szCs w:val="20"/>
          <w:lang w:eastAsia="hr-HR"/>
        </w:rPr>
        <w:t xml:space="preserve">. Ivana Butkovića“ u nominalnom iznosu od 1.008.109,25 kuna, član društva Erste &amp; </w:t>
      </w:r>
      <w:proofErr w:type="spellStart"/>
      <w:r w:rsidRPr="00435CD9">
        <w:rPr>
          <w:rFonts w:cs="Times New Roman" w:eastAsia="Times New Roman"/>
          <w:szCs w:val="20"/>
          <w:lang w:eastAsia="hr-HR"/>
        </w:rPr>
        <w:t>Steiermarkische</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bank</w:t>
      </w:r>
      <w:proofErr w:type="spellEnd"/>
      <w:r w:rsidRPr="00435CD9">
        <w:rPr>
          <w:rFonts w:cs="Times New Roman" w:eastAsia="Times New Roman"/>
          <w:szCs w:val="20"/>
          <w:lang w:eastAsia="hr-HR"/>
        </w:rPr>
        <w:t xml:space="preserve"> d.d. u nominalnom iznosu od 23.242,75 kuna i član društva </w:t>
      </w:r>
      <w:proofErr w:type="spellStart"/>
      <w:r w:rsidRPr="00435CD9">
        <w:rPr>
          <w:rFonts w:cs="Times New Roman" w:eastAsia="Times New Roman"/>
          <w:szCs w:val="20"/>
          <w:lang w:eastAsia="hr-HR"/>
        </w:rPr>
        <w:t>Moslavka</w:t>
      </w:r>
      <w:proofErr w:type="spellEnd"/>
      <w:r w:rsidRPr="00435CD9">
        <w:rPr>
          <w:rFonts w:cs="Times New Roman" w:eastAsia="Times New Roman"/>
          <w:szCs w:val="20"/>
          <w:lang w:eastAsia="hr-HR"/>
        </w:rPr>
        <w:t xml:space="preserve"> d.o.o. Bjelovar u nominalnom iznosu od 12.276,00 kuna.</w:t>
      </w:r>
    </w:p>
    <w:p w:rsidRDefault="00435CD9" w:rsidP="00435CD9" w:rsidR="00435CD9" w:rsidRPr="00435CD9">
      <w:pPr>
        <w:overflowPunct w:val="false"/>
        <w:autoSpaceDE w:val="false"/>
        <w:autoSpaceDN w:val="false"/>
        <w:adjustRightInd w:val="false"/>
        <w:spacing w:after="0"/>
        <w:jc w:val="both"/>
        <w:rPr>
          <w:rFonts w:cs="Times New Roman" w:eastAsia="Times New Roman"/>
          <w:szCs w:val="20"/>
          <w:lang w:eastAsia="hr-HR"/>
        </w:rPr>
      </w:pPr>
      <w:r w:rsidRPr="00435CD9">
        <w:rPr>
          <w:rFonts w:cs="Times New Roman" w:eastAsia="Times New Roman"/>
          <w:szCs w:val="20"/>
          <w:lang w:eastAsia="hr-HR"/>
        </w:rPr>
        <w:t xml:space="preserve">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 xml:space="preserve">IX. Stečajni upravitelj će, u svojstvu Skupštine društva stečajnog dužnika, radi provođenja sanacije stečajnog dužnika, u roku od 60 dana od dana pravomoćnosti rješenja o potvrdi Stečajnog plana, donijeti Odluku o smanjenju temeljnog kapitala društva pojednostavljenim smanjenjem, radi pokrića gubitaka stečajnog dužnika, sa </w:t>
      </w:r>
      <w:r w:rsidRPr="00435CD9">
        <w:rPr>
          <w:rFonts w:cs="Tahoma" w:eastAsia="Times New Roman"/>
          <w:bCs/>
          <w:iCs/>
          <w:szCs w:val="20"/>
          <w:lang w:eastAsia="hr-HR"/>
        </w:rPr>
        <w:t xml:space="preserve">1.115.628,00  kuna za 1.090.628,00 kuna na novi iznos temeljnoga kapitala u iznosu od 25.000,00 kuna, i to smanjenjem nominalnih iznosa poslovnih udjela članova društva razmjerno njihovom udjelu u temeljnom kapitalu društva stečajnog dužnika. Temeljem navedene Odluke, iznos smanjenja </w:t>
      </w:r>
      <w:r w:rsidRPr="00435CD9">
        <w:rPr>
          <w:rFonts w:cs="Tahoma" w:eastAsia="Times New Roman"/>
          <w:bCs/>
          <w:iCs/>
          <w:szCs w:val="20"/>
          <w:lang w:eastAsia="hr-HR"/>
        </w:rPr>
        <w:lastRenderedPageBreak/>
        <w:t>temeljnog kapitala društva stečajnog dužnika u iznosu od 1.090.628,00 kuna iskoristit će se za pokriće prenesenih gubitaka stečajnog dužnika u istom iznosu.</w:t>
      </w:r>
    </w:p>
    <w:p w:rsidRDefault="00435CD9" w:rsidP="00435CD9" w:rsidR="00435CD9" w:rsidRPr="00435CD9">
      <w:pPr>
        <w:overflowPunct w:val="false"/>
        <w:autoSpaceDE w:val="false"/>
        <w:autoSpaceDN w:val="false"/>
        <w:adjustRightInd w:val="false"/>
        <w:spacing w:after="0"/>
        <w:ind w:left="720"/>
        <w:contextualSpacing/>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 xml:space="preserve">X. Stečajni upravitelj će, u svojstvu skupštine društva stečajnog dužnika, radi provođenja nenovčanog namirenja stečajnih vjerovnika drugog višeg isplatnog reda Glas Slavonije d.d. donijeti Odluku o povećanju temeljnog kapitala unosom prava – tražbina u temeljni kapital društva, tako da će se temeljni kapital društva povećati s nominalnog iznosa od </w:t>
      </w:r>
      <w:r w:rsidRPr="00435CD9">
        <w:rPr>
          <w:rFonts w:cs="Tahoma" w:eastAsia="Times New Roman"/>
          <w:bCs/>
          <w:iCs/>
          <w:szCs w:val="20"/>
          <w:lang w:eastAsia="hr-HR"/>
        </w:rPr>
        <w:t xml:space="preserve">25.000,00 kuna za </w:t>
      </w:r>
      <w:r w:rsidRPr="00435CD9">
        <w:rPr>
          <w:rFonts w:cs="Times New Roman" w:eastAsia="Times New Roman"/>
          <w:szCs w:val="20"/>
          <w:lang w:eastAsia="hr-HR"/>
        </w:rPr>
        <w:t xml:space="preserve">229.200,00 </w:t>
      </w:r>
      <w:r w:rsidRPr="00435CD9">
        <w:rPr>
          <w:rFonts w:cs="Tahoma" w:eastAsia="Times New Roman"/>
          <w:bCs/>
          <w:iCs/>
          <w:szCs w:val="20"/>
          <w:lang w:eastAsia="hr-HR"/>
        </w:rPr>
        <w:t>kuna na novi nominalni iznos temeljnoga kapitala od  254.200,00 kuna, te će stečajni vjerovnik Glas Slavonije d.d. steći u društvu jedan poslovni udjel u nominalnom iznosu od 229.200,00 kuna.</w:t>
      </w:r>
    </w:p>
    <w:p w:rsidRDefault="00435CD9" w:rsidP="00435CD9" w:rsidR="00435CD9" w:rsidRPr="00435CD9">
      <w:pPr>
        <w:overflowPunct w:val="false"/>
        <w:autoSpaceDE w:val="false"/>
        <w:autoSpaceDN w:val="false"/>
        <w:adjustRightInd w:val="false"/>
        <w:spacing w:after="0"/>
        <w:ind w:firstLine="851" w:left="720"/>
        <w:contextualSpacing/>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XI. Utvrđuje se, da se vjerovnicima nižih isplatnih redova neće ništa isplatiti, jer nisu pozvani da prijave svoje tražbine.</w:t>
      </w:r>
    </w:p>
    <w:p w:rsidRDefault="00435CD9" w:rsidP="00435CD9" w:rsidR="00435CD9" w:rsidRPr="00435CD9">
      <w:pPr>
        <w:overflowPunct w:val="false"/>
        <w:autoSpaceDE w:val="false"/>
        <w:autoSpaceDN w:val="false"/>
        <w:adjustRightInd w:val="false"/>
        <w:spacing w:after="0"/>
        <w:ind w:firstLine="851" w:left="720"/>
        <w:contextualSpacing/>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XII. Utvrđuje se, da sveukupna imovina stečajnog dužnika ostaje stečajnome dužniku, radi nastavka poslovanja na osnovama utvrđenima Pripremnom i Provedbenom osnovom izmijenjenog Stečajnoga plana.</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XIII. Stečajni upravitelj dužan je namiriti nesporne dospjele obveze stečajne mase najkasnije do dana zaključenja stečajnog postupka, a za sporne obveze dužan je pružiti odgovarajuće osiguranje.“</w:t>
      </w:r>
    </w:p>
    <w:p w:rsidRDefault="00435CD9" w:rsidP="00435CD9" w:rsidR="00435CD9" w:rsidRPr="00435CD9">
      <w:pPr>
        <w:overflowPunct w:val="false"/>
        <w:autoSpaceDE w:val="false"/>
        <w:autoSpaceDN w:val="false"/>
        <w:adjustRightInd w:val="false"/>
        <w:spacing w:after="0"/>
        <w:jc w:val="both"/>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2. Ovo rješenje o potvrdi izmijenjenog Stečajnog plana djeluje prema svim sudionicima od njegove pravomoćnosti. Pravni učinci ovog rješenja protežu se na sve stečajne vjerovnike te rješenje nadomješta sve nedostajuće izjave i očitovanja vjerovnika koji su glasovali protiv Stečajnog plana ili glasovanju nisu pristupili.</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 xml:space="preserve">3. Određuje se nadzor stečajnog upravitelja Nenada </w:t>
      </w:r>
      <w:proofErr w:type="spellStart"/>
      <w:r w:rsidRPr="00435CD9">
        <w:rPr>
          <w:rFonts w:cs="Times New Roman" w:eastAsia="Times New Roman"/>
          <w:szCs w:val="20"/>
          <w:lang w:eastAsia="hr-HR"/>
        </w:rPr>
        <w:t>Homara</w:t>
      </w:r>
      <w:proofErr w:type="spellEnd"/>
      <w:r w:rsidRPr="00435CD9">
        <w:rPr>
          <w:rFonts w:cs="Times New Roman" w:eastAsia="Times New Roman"/>
          <w:szCs w:val="20"/>
          <w:lang w:eastAsia="hr-HR"/>
        </w:rPr>
        <w:t xml:space="preserve"> iz Koprivnice, Dravska 1, </w:t>
      </w:r>
      <w:r w:rsidRPr="00435CD9">
        <w:rPr>
          <w:rFonts w:cs="Times New Roman" w:eastAsia="Times New Roman"/>
          <w:noProof/>
          <w:szCs w:val="20"/>
          <w:lang w:eastAsia="hr-HR"/>
        </w:rPr>
        <w:t xml:space="preserve">OIB: 11719729882, </w:t>
      </w:r>
      <w:r w:rsidRPr="00435CD9">
        <w:rPr>
          <w:rFonts w:cs="Times New Roman" w:eastAsia="Times New Roman"/>
          <w:szCs w:val="20"/>
          <w:lang w:eastAsia="hr-HR"/>
        </w:rPr>
        <w:t xml:space="preserve">nad provedbom Stečajnog plana, u dijelu koji se odnosi na namirenje tražbina stečajnih vjerovnika.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Tijekom trajanja nadzora stečajni upravitelj dužan je sud jednom godišnje izvijestiti o ispunjenju Stečajnog plana te daljnjim izgledima za njegovo ispunjenje.</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Utvrdi li stečajni upravitelj da se tražbine čije se ispunjenje nadzire ne ispunjavaju ili se ne mogu ispuniti, dužan je o tome bez odgode podnijeti prijavu sudu i izvijestiti sve vjerovnike kojima prema ovom rješenju pripadaju zahtjevi protiv dužnika.</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 xml:space="preserve">Sud će donijeti rješenje o ukidanju nadzora ako su tražbine čije se ispunjenje nadzire ispunjene ili je njihovo ispunjenje osigurano.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 xml:space="preserve">Troškove nadzora dužan je naknaditi dužnik.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4. Ovo rješenje ima snagu ovršne isprave.</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 xml:space="preserve">5. Ovo rješenje objaviti će se na mrežnoj stranici e-oglasna ploča suda i upisati u sudski registar ovoga suda. </w:t>
      </w:r>
    </w:p>
    <w:p w:rsidRDefault="00435CD9" w:rsidP="00435CD9" w:rsidR="00435CD9" w:rsidRPr="00435CD9">
      <w:pPr>
        <w:overflowPunct w:val="false"/>
        <w:autoSpaceDE w:val="false"/>
        <w:autoSpaceDN w:val="false"/>
        <w:adjustRightInd w:val="false"/>
        <w:spacing w:after="0"/>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jc w:val="center"/>
        <w:rPr>
          <w:rFonts w:cs="Times New Roman" w:eastAsia="Times New Roman"/>
          <w:noProof/>
          <w:szCs w:val="20"/>
          <w:lang w:eastAsia="hr-HR"/>
        </w:rPr>
      </w:pPr>
      <w:r w:rsidRPr="00435CD9">
        <w:rPr>
          <w:rFonts w:cs="Times New Roman" w:eastAsia="Times New Roman"/>
          <w:noProof/>
          <w:szCs w:val="20"/>
          <w:lang w:eastAsia="hr-HR"/>
        </w:rPr>
        <w:t>Obrazloženje</w:t>
      </w:r>
    </w:p>
    <w:p w:rsidRDefault="00435CD9" w:rsidP="00435CD9" w:rsidR="00435CD9" w:rsidRPr="00435CD9">
      <w:pPr>
        <w:overflowPunct w:val="false"/>
        <w:autoSpaceDE w:val="false"/>
        <w:autoSpaceDN w:val="false"/>
        <w:adjustRightInd w:val="false"/>
        <w:spacing w:after="0"/>
        <w:jc w:val="center"/>
        <w:rPr>
          <w:rFonts w:cs="Times New Roman" w:eastAsia="Times New Roman"/>
          <w:noProof/>
          <w:szCs w:val="20"/>
          <w:lang w:eastAsia="hr-HR"/>
        </w:rPr>
      </w:pPr>
      <w:bookmarkStart w:name="_GoBack" w:id="0"/>
      <w:bookmarkEnd w:id="0"/>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Tijekom stečajnog postupka stečajni upravitelj Nanad Homar je, sukladno odluci vjerovnika donijetoj na izvještajnom ročištu 27. veljače 2018. izradio Stečajni plan koji je, </w:t>
      </w:r>
      <w:r w:rsidRPr="00435CD9">
        <w:rPr>
          <w:rFonts w:cs="Times New Roman" w:eastAsia="Times New Roman"/>
          <w:noProof/>
          <w:szCs w:val="20"/>
          <w:lang w:eastAsia="hr-HR"/>
        </w:rPr>
        <w:lastRenderedPageBreak/>
        <w:t xml:space="preserve">zajedno sa prilozima (list 418-462) predao sudu 28. svibnja 2018. Stečajni plan sa prilozima bio je izložen u pisarnici suda te objavljen na e-oglasnoj ploči suda 30. svibnja 2018.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Sud je zakazao ročište za raspravljanje o Stečajnom planu za 29. lipnja 2018., na kojem su vjerovnici Robert Veseljak, </w:t>
      </w:r>
      <w:r w:rsidRPr="00435CD9">
        <w:rPr>
          <w:rFonts w:cs="Times New Roman" w:eastAsia="Times New Roman"/>
          <w:szCs w:val="20"/>
          <w:lang w:eastAsia="hr-HR"/>
        </w:rPr>
        <w:t xml:space="preserve">Erste &amp; </w:t>
      </w:r>
      <w:proofErr w:type="spellStart"/>
      <w:r w:rsidRPr="00435CD9">
        <w:rPr>
          <w:rFonts w:cs="Times New Roman" w:eastAsia="Times New Roman"/>
          <w:szCs w:val="20"/>
          <w:lang w:eastAsia="hr-HR"/>
        </w:rPr>
        <w:t>Steiermarkische</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bank</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d.d</w:t>
      </w:r>
      <w:proofErr w:type="spellEnd"/>
      <w:r w:rsidRPr="00435CD9">
        <w:rPr>
          <w:rFonts w:cs="Times New Roman" w:eastAsia="Times New Roman"/>
          <w:noProof/>
          <w:szCs w:val="20"/>
          <w:lang w:eastAsia="hr-HR"/>
        </w:rPr>
        <w:t xml:space="preserve"> i Glas Slavonije iznijeli svoje mišljenje o predloženom planu, dok su vjerovnici Republika Hrvatska i Bjelovarski sajam d.d. zatražili rok radi očitovanja o mogućnosti da se njihove tražbine namire tako da se izvrši unos u temeljni kapital dužnika.</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Stečajni upravitelj podnio je sudu 1. kolovoza 2018. izmijenjeni Stečajni plan, koji se sastoji od pripremne i provedbene osnove (list 508-536), a uz plan su priložene isprave (poslovni plan prihoda dužnika, prijedlog teksta Odluke o pojednostavljenom smanjenju temeljnog kapitala radi pokrića gubitaka, prijedlog teksta Odluke o povećanju temeljnog kapitala u novcu, Izjavu invesitiora (Roberta Veseljaka) kao treće osobe, u smislu odredbe čl.316. st.3. SZa, izjavu stečajnog vjerovnika Glas Slavonije d.d. Osijek, u smislu odredbe čl.316. st.2. SZ-a te prijedlog teksta Izjave stečajnog vjerovnika Glas Slavonije d.d. Osijek o preuzimanju poslovnog udjela.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Izmijenjeni Stečajni plan sa prilozima bio je izložen u pisarnici suda te objavljen na e-oglasnoj ploči suda 20. kolovoza 2018.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Sud je zakazao ročište za raspravljanje i glasovanje o izmijenjenom Stečajnom planu za 13. rujna 2018. Na ročištu je stečajni upravitelj usmeno iznio predloženi izmijenjeni Stečajni plan. Nitko od nazočnih vjeronika nije imao pitanja i prigovora.</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Sukladno čl.325. Stečajnog zakona </w:t>
      </w:r>
      <w:r w:rsidRPr="00435CD9">
        <w:rPr>
          <w:rFonts w:cs="Times New Roman" w:eastAsia="Times New Roman"/>
          <w:noProof/>
          <w:szCs w:val="20"/>
          <w:lang w:eastAsia="hr-HR" w:val="en-GB"/>
        </w:rPr>
        <w:t>("Narodne novine" broj 71/15 i 104/17, dalje: SZ)</w:t>
      </w:r>
      <w:r w:rsidRPr="00435CD9">
        <w:rPr>
          <w:rFonts w:cs="Times New Roman" w:eastAsia="Times New Roman"/>
          <w:noProof/>
          <w:szCs w:val="20"/>
          <w:lang w:eastAsia="hr-HR"/>
        </w:rPr>
        <w:t xml:space="preserve"> sud je na ročištu 13. rujna 2018. utvrdio popis vjerovnika i prava glasa koja im pripadaju. Vjerovnici su u izmijenjenom Stečajnom planu razvrstani u tri skupine: Skupina 1 – </w:t>
      </w:r>
      <w:r w:rsidRPr="00435CD9">
        <w:rPr>
          <w:rFonts w:cs="Times New Roman" w:eastAsia="Times New Roman"/>
          <w:szCs w:val="20"/>
          <w:lang w:eastAsia="hr-HR"/>
        </w:rPr>
        <w:t xml:space="preserve">Erste &amp; </w:t>
      </w:r>
      <w:proofErr w:type="spellStart"/>
      <w:r w:rsidRPr="00435CD9">
        <w:rPr>
          <w:rFonts w:cs="Times New Roman" w:eastAsia="Times New Roman"/>
          <w:szCs w:val="20"/>
          <w:lang w:eastAsia="hr-HR"/>
        </w:rPr>
        <w:t>Steiermarkische</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bank</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d.d</w:t>
      </w:r>
      <w:proofErr w:type="spellEnd"/>
      <w:r w:rsidRPr="00435CD9">
        <w:rPr>
          <w:rFonts w:cs="Times New Roman" w:eastAsia="Times New Roman"/>
          <w:noProof/>
          <w:szCs w:val="20"/>
          <w:lang w:eastAsia="hr-HR"/>
        </w:rPr>
        <w:t xml:space="preserve">, Skupina 2 - Glas Slavonije i Skupina 3 – svi ostali vjerovnici.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Temeljem odredbe čl.106. st.2. u vezi sa čl.323. st.1. SZ-a vjerovnicima </w:t>
      </w:r>
      <w:r w:rsidRPr="00435CD9">
        <w:rPr>
          <w:rFonts w:cs="Times New Roman" w:eastAsia="Times New Roman"/>
          <w:szCs w:val="20"/>
          <w:lang w:eastAsia="hr-HR"/>
        </w:rPr>
        <w:t xml:space="preserve">Erste &amp; </w:t>
      </w:r>
      <w:proofErr w:type="spellStart"/>
      <w:r w:rsidRPr="00435CD9">
        <w:rPr>
          <w:rFonts w:cs="Times New Roman" w:eastAsia="Times New Roman"/>
          <w:szCs w:val="20"/>
          <w:lang w:eastAsia="hr-HR"/>
        </w:rPr>
        <w:t>Steiermarkische</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bank</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d.d</w:t>
      </w:r>
      <w:proofErr w:type="spellEnd"/>
      <w:r w:rsidRPr="00435CD9">
        <w:rPr>
          <w:rFonts w:cs="Times New Roman" w:eastAsia="Times New Roman"/>
          <w:noProof/>
          <w:szCs w:val="20"/>
          <w:lang w:eastAsia="hr-HR"/>
        </w:rPr>
        <w:t xml:space="preserve"> (za iznos od 8.372.639,18 kn) i Gradu Zagrebu (za iznos od 47.455,88 kn) je priznato pravo glasa, budući da postojanje svoje tražbine dokazuju ovršnim ispravama, a javnom ili javno ovjerovljenom ispravom nije dokazan prestanak postojanja tražbine.</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Svaka skupina vjerovnika, u skladu s čl.329. SZ-a odvojeno je glasovala o Stečajnom planu.</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Vjerovnik Skupine 1 - </w:t>
      </w:r>
      <w:r w:rsidRPr="00435CD9">
        <w:rPr>
          <w:rFonts w:cs="Times New Roman" w:eastAsia="Times New Roman"/>
          <w:szCs w:val="20"/>
          <w:lang w:eastAsia="hr-HR"/>
        </w:rPr>
        <w:t xml:space="preserve">Erste &amp; </w:t>
      </w:r>
      <w:proofErr w:type="spellStart"/>
      <w:r w:rsidRPr="00435CD9">
        <w:rPr>
          <w:rFonts w:cs="Times New Roman" w:eastAsia="Times New Roman"/>
          <w:szCs w:val="20"/>
          <w:lang w:eastAsia="hr-HR"/>
        </w:rPr>
        <w:t>Steiermarkische</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bank</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d.d</w:t>
      </w:r>
      <w:proofErr w:type="spellEnd"/>
      <w:r w:rsidRPr="00435CD9">
        <w:rPr>
          <w:rFonts w:cs="Times New Roman" w:eastAsia="Times New Roman"/>
          <w:noProof/>
          <w:szCs w:val="20"/>
          <w:lang w:eastAsia="hr-HR"/>
        </w:rPr>
        <w:t xml:space="preserve"> glasovao je protiv Stečajnog plana.</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Vjerovnik Skupine 2 - Glas Slavonije d.d. glasovao je za Stečajni plan.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Vjerovnici Skupine 3 - Komunalac d.o.o. Bjelovar, Vodne usluge d.o.o. Bjelovar, Grad Bjelovar, Čazmatrans promet d.o.o. Čazma, Hrvatska regulatorna agencija za mrežne djelatnosti, Elektrometal d.d. u stečaju, Bjelovar, Bjelovarski sajam d.o.o. Bjelovar i Domaći radio j.d.o.o. Bjelovar glasovali su za Stečajni plan. Vjerovnici iste skupine – Hrvatske vode, Zagreb, Republika Hrvatska, Ministarstvo financija, Hrvatsko društvo skladatelja, Zagreb, Agencija za elektroničke medije, Zagreb i Event master d.o.o. Zagreb glasovali su protiv Stečajnog plana. Zbroj tražbina vjerovnika Skupine 3 koji su glasovali za Stečajni plan iznosi 4.370.002,20 kn, dok zboj tražbina vjerovnika koji su glasovali protiv plana iznosi 1.191.331,70 kn.</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lastRenderedPageBreak/>
        <w:t xml:space="preserve">Prema članku 330. st.1. SZ-a smatrat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Imajući u vidu rezultat glasovanja na ročištu 13. rujna 2018. razvidno je da u Skupini 1 nije postignuta potrebna većina, dok je u Skupini 2 i 3 potrebna većina postignuta.</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Člankom 331. SZ-a propisana je zabrana opstrukcije. Prema st.1. SZ-a smatrat će se  da je glasačka skupina prihvatila stečajni plan, iako potrebna većina nije postignuta, ako vjerovnici te skupine stečajnim planom nisu u lošijem položaju od onoga da stečajnog plana nema, ako primjereno sudjeluju u gospodarskim koristima koje bi sudionicima trebale pripasti na temelju stečajnog plana i ako je većina glasačkih skupina stečajni plan prihvatila s potrebnom većinom. Prema st.2. istog članka smatrat će se da primjereno sudjelovanje vjerovnika neke skupine u gospodarskim koristima u smislu st.1. postoji ako prema stečajnom planu ni jedan drugi vjerovnik ne bi trebao primiti imovinsku korist koja bi prelazila puni iznos njegove tražbine, ako imovinsku korist ne bi primio ni vjerovnik koji bi u slučaju da stečajnog plana nema bio u isplatnom redu iza vjerovnika skupine, ni dužnik ili osoba koja u njemu ima udjela, ako se niti jedan od vjerovnika koji bi u slučaju da stečajnog plana nema bio u istom isplatnom redu s vjerovnicima te skupine, ne stavlja u bolji položaj od onoga u kojem se nalaze ti vjerovnici.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Po ocjeni suda vjerovnik </w:t>
      </w:r>
      <w:r w:rsidRPr="00435CD9">
        <w:rPr>
          <w:rFonts w:cs="Times New Roman" w:eastAsia="Times New Roman"/>
          <w:szCs w:val="20"/>
          <w:lang w:eastAsia="hr-HR"/>
        </w:rPr>
        <w:t xml:space="preserve">Erste &amp; </w:t>
      </w:r>
      <w:proofErr w:type="spellStart"/>
      <w:r w:rsidRPr="00435CD9">
        <w:rPr>
          <w:rFonts w:cs="Times New Roman" w:eastAsia="Times New Roman"/>
          <w:szCs w:val="20"/>
          <w:lang w:eastAsia="hr-HR"/>
        </w:rPr>
        <w:t>Steiermarkische</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bank</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d.d</w:t>
      </w:r>
      <w:proofErr w:type="spellEnd"/>
      <w:r w:rsidRPr="00435CD9">
        <w:rPr>
          <w:rFonts w:cs="Times New Roman" w:eastAsia="Times New Roman"/>
          <w:noProof/>
          <w:szCs w:val="20"/>
          <w:lang w:eastAsia="hr-HR"/>
        </w:rPr>
        <w:t>, koji je u Skupini 1, glasovao protiv prihvaćanja izmijenjenog Stečajnog plana, nije u lošijem položaju od onog u kojem bi bio da Stečajnog plana nema.</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Stečajnim planom predviđeno je da će, u slučaju da pravomoćnom presudom bude utvrđena tražbina vjerovnika </w:t>
      </w:r>
      <w:r w:rsidRPr="00435CD9">
        <w:rPr>
          <w:rFonts w:cs="Times New Roman" w:eastAsia="Times New Roman"/>
          <w:szCs w:val="20"/>
          <w:lang w:eastAsia="hr-HR"/>
        </w:rPr>
        <w:t xml:space="preserve">Erste &amp; </w:t>
      </w:r>
      <w:proofErr w:type="spellStart"/>
      <w:r w:rsidRPr="00435CD9">
        <w:rPr>
          <w:rFonts w:cs="Times New Roman" w:eastAsia="Times New Roman"/>
          <w:szCs w:val="20"/>
          <w:lang w:eastAsia="hr-HR"/>
        </w:rPr>
        <w:t>Steiermarkische</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bank</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d.d</w:t>
      </w:r>
      <w:proofErr w:type="spellEnd"/>
      <w:r w:rsidRPr="00435CD9">
        <w:rPr>
          <w:rFonts w:cs="Times New Roman" w:eastAsia="Times New Roman"/>
          <w:noProof/>
          <w:szCs w:val="20"/>
          <w:lang w:eastAsia="hr-HR"/>
        </w:rPr>
        <w:t>, vjerovnik biti namiren u iznosu najviše do 837.269,39 kn i to iz sredstava novčanog uloga investitora Roberta  Veseljaka iz Varaždina, A. B. Šimića 1, OIB: 67946168060, u povećanje temeljnog kapitala društva stečajnog dužnika, koje povećanje temeljnog kapitala će se provesti i uplata novčanog uloga će se izvršiti u roku od 60 dana od dana pravomoćnosti presude kojom je kao neosnovano otklonjeno osporavanje tražbine vjerovnika Erste &amp; Steriermarkische bank d.d., time da će ulog iznositi najviše do 837.300,00 kuna.</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b/>
          <w:noProof/>
          <w:szCs w:val="20"/>
          <w:lang w:eastAsia="hr-HR"/>
        </w:rPr>
      </w:pPr>
      <w:r w:rsidRPr="00435CD9">
        <w:rPr>
          <w:rFonts w:cs="Times New Roman" w:eastAsia="Times New Roman"/>
          <w:noProof/>
          <w:szCs w:val="20"/>
          <w:lang w:eastAsia="hr-HR"/>
        </w:rPr>
        <w:t>Da Stečajnog plana nema, prodavala bi se imovina dužnika i iz postignute cijene namirivali bi se najprije troškovi stečajnog postupka i ostale obveze stečajne mase (čl.154. SZ-a), pa tek nakon toga, ukoliko bi ostala neka sredstva, stečajni vjerovnici, razmjerno utvrđenim tražbinama.</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U izmijenjenom Stečajnom planu, toč.19. Pripremne osnove (list 521), dana je usporedba pravnog položaja vjerovnika uz primjenu sanacijskog modela prema stečajnom planu u odnosu na redovni zakonski model stečajnog postupka. Iz usporedbe proizlazi da u slučaju primjene likvidacijskog modela stečajnog postupka, koji podrazumijeva unovčenje imovine i ravnomjerno skupno namirenje vjerovnika, vjerovnici ne bi bili namireni u vrijednosti višoj od 2,1% utvrđenih tražbina, a u slučaju da osporene tražbine budu naknadno utvrđene, vjerojatnost namirenja tražbina bi bila ispod 1% utvrđenih tražbina.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Iz izvješća stečajnog upravitelja o gospodarsko-financijskom stanju dužnika te pregleda imovine odnosno popisa predmeta stečajne mase proizlazi da dužnikovu stečajnu masu čine pokretnine (uredski namještaj i oprema), koje je stalni sudski vještak Krešimir </w:t>
      </w:r>
      <w:r w:rsidRPr="00435CD9">
        <w:rPr>
          <w:rFonts w:cs="Times New Roman" w:eastAsia="Times New Roman"/>
          <w:noProof/>
          <w:szCs w:val="20"/>
          <w:lang w:eastAsia="hr-HR"/>
        </w:rPr>
        <w:lastRenderedPageBreak/>
        <w:t xml:space="preserve">Antulov, ing. strojarstva iz Bjelovara, procijenio u iznosu od ukupno 75.000,00 kn te potraživanja koja su, prema navodu stečajnog upravitelja u izvješću, dijelom nenaplativa ili teško naplativa.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Imajući u vidu procjenu vještaka i stanje na tržištu, na kojem se rabljene pokretnine često ne mogu uopće unovčiti ili se unovče za nisku cijenu, sud smatra da se unovčenjem  imovine (pokretnina) dužnika ne bi ostvario prihod veći od 60.000,00 kn. U odnosu na  potraživanja dužnikovih dužnika stečajni upravitelj je u izvješću od 4. rujna 2018. naveo da je od otvaranja stečajnog postupka naplatio 117.717,84 kn te da je preostalo naplatiti još 11.757,76 kn, dok se iznos od 165.452,65 kn može smatrati teško unovčivim.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Unovčenjem pokretnina i daljnjom naplatom potraživanja stečajni upravitelj bi ostvario određeni prihod, kojim bi bio dužan prvo namiriti troškove stečajnog postupka i nakon toga ostale obveze stečajne mase, a tek, ukoliko bi nešto sredstava preostalo, vršila bi se djelomična dioba vjerovnicima. S obzirom na troškove odnosno obveze stečajne mase koje je stečajni upravitelj naveo u izvješću od 4. rujna 2018. (836.432,82 kn – troškovi + 312.707,69 kn – bruto plaće zaposlenika) sud procjenjuje da nakon namirenja troškova i ostalih obveza stečajne mase ne bi preostao iznos koji bi bio dostatan za namirenje 10% tražbina vjerovnika (koliko bi prema Stečajnom planu vjerovnici dobili).</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b/>
          <w:noProof/>
          <w:szCs w:val="20"/>
          <w:lang w:eastAsia="hr-HR"/>
        </w:rPr>
      </w:pPr>
      <w:r w:rsidRPr="00435CD9">
        <w:rPr>
          <w:rFonts w:cs="Times New Roman" w:eastAsia="Times New Roman"/>
          <w:noProof/>
          <w:szCs w:val="20"/>
          <w:lang w:eastAsia="hr-HR"/>
        </w:rPr>
        <w:t xml:space="preserve">Nadalje sud smatra da vjerovnik </w:t>
      </w:r>
      <w:r w:rsidRPr="00435CD9">
        <w:rPr>
          <w:rFonts w:cs="Times New Roman" w:eastAsia="Times New Roman"/>
          <w:szCs w:val="20"/>
          <w:lang w:eastAsia="hr-HR"/>
        </w:rPr>
        <w:t xml:space="preserve">Erste &amp; </w:t>
      </w:r>
      <w:proofErr w:type="spellStart"/>
      <w:r w:rsidRPr="00435CD9">
        <w:rPr>
          <w:rFonts w:cs="Times New Roman" w:eastAsia="Times New Roman"/>
          <w:szCs w:val="20"/>
          <w:lang w:eastAsia="hr-HR"/>
        </w:rPr>
        <w:t>Steiermarkische</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bank</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d.d</w:t>
      </w:r>
      <w:proofErr w:type="spellEnd"/>
      <w:r w:rsidRPr="00435CD9">
        <w:rPr>
          <w:rFonts w:cs="Times New Roman" w:eastAsia="Times New Roman"/>
          <w:noProof/>
          <w:szCs w:val="20"/>
          <w:lang w:eastAsia="hr-HR"/>
        </w:rPr>
        <w:t>, u smislu odredbe čl.331. SZ-a, primjereno sudjeluje u gospodarskim koristima koje bi sudionicima trebale pripasti na temelju izmijenjenog Stečajnog plana jer prema Stečajnom planu ni jedan drugi vjerovnik ne bi trebao primiti imovinsku korist koja bi prelazila puni iznos njegove tražbine, jer imovinsku korist ne bi primio ni vjerovnik koji bi u slučaju da stečajnog plana nema bio u isplatnom redu iza vjerovnika skupine 1, ni dužnik ili osoba koja u njemu ima udjela, a niti jedan od vjerovnika koji bi u slučaju da stečajnog plana nema bio u istom isplatnom redu s vjerovnicima  skupine 1, ne stavlja se u bolji položaj od onoga u kojem se nalaze ti vjerovnici</w:t>
      </w:r>
      <w:r w:rsidRPr="00435CD9">
        <w:rPr>
          <w:rFonts w:cs="Times New Roman" w:eastAsia="Times New Roman"/>
          <w:b/>
          <w:noProof/>
          <w:szCs w:val="20"/>
          <w:lang w:eastAsia="hr-HR"/>
        </w:rPr>
        <w:t xml:space="preserve">.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Kako je većina glasačkih skupina (dvije od tri) prihvatila izmijenjeni Stečajni plan potrebnom većinom, ispunjen je i taj uvjet iz čl.331. st.1. SZ-a.</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Slijedom navedenog sud smatra da je i Skupina 1 prihvatila izmijenjeni Stečajni plan, čime je postignuta potrebna većina iz čl.330. st.1. SZ-a i smatra se da su vjerovnici prihvatili izmijenjeni stečajni plan.</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Što se tiče pristanka dužnika na Stečajni plan, propisanog odredbom čl.333. SZ-a, članovi društva - nasljednička zajednica iza pok. Ivana Butkovića i Moslavka d.o.o. Bjelovar nisu stavili prigovor na Stečajni plan, dok se </w:t>
      </w:r>
      <w:r w:rsidRPr="00435CD9">
        <w:rPr>
          <w:rFonts w:cs="Times New Roman" w:eastAsia="Times New Roman"/>
          <w:szCs w:val="20"/>
          <w:lang w:eastAsia="hr-HR"/>
        </w:rPr>
        <w:t xml:space="preserve">Erste &amp; </w:t>
      </w:r>
      <w:proofErr w:type="spellStart"/>
      <w:r w:rsidRPr="00435CD9">
        <w:rPr>
          <w:rFonts w:cs="Times New Roman" w:eastAsia="Times New Roman"/>
          <w:szCs w:val="20"/>
          <w:lang w:eastAsia="hr-HR"/>
        </w:rPr>
        <w:t>Steiermarkische</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bank</w:t>
      </w:r>
      <w:proofErr w:type="spellEnd"/>
      <w:r w:rsidRPr="00435CD9">
        <w:rPr>
          <w:rFonts w:cs="Times New Roman" w:eastAsia="Times New Roman"/>
          <w:szCs w:val="20"/>
          <w:lang w:eastAsia="hr-HR"/>
        </w:rPr>
        <w:t xml:space="preserve"> d.d.</w:t>
      </w:r>
      <w:r w:rsidRPr="00435CD9">
        <w:rPr>
          <w:rFonts w:cs="Times New Roman" w:eastAsia="Times New Roman"/>
          <w:noProof/>
          <w:szCs w:val="20"/>
          <w:lang w:eastAsia="hr-HR"/>
        </w:rPr>
        <w:t xml:space="preserve"> kao član društva protivio Stečajnom planu, pa se smatra da mu je prigovorio.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Sud prigovor člana društva odnosno nositelja udjela dužnika </w:t>
      </w:r>
      <w:r w:rsidRPr="00435CD9">
        <w:rPr>
          <w:rFonts w:cs="Times New Roman" w:eastAsia="Times New Roman"/>
          <w:szCs w:val="20"/>
          <w:lang w:eastAsia="hr-HR"/>
        </w:rPr>
        <w:t xml:space="preserve">Erste &amp; </w:t>
      </w:r>
      <w:proofErr w:type="spellStart"/>
      <w:r w:rsidRPr="00435CD9">
        <w:rPr>
          <w:rFonts w:cs="Times New Roman" w:eastAsia="Times New Roman"/>
          <w:szCs w:val="20"/>
          <w:lang w:eastAsia="hr-HR"/>
        </w:rPr>
        <w:t>Steiermarkische</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bank</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d.d</w:t>
      </w:r>
      <w:proofErr w:type="spellEnd"/>
      <w:r w:rsidRPr="00435CD9">
        <w:rPr>
          <w:rFonts w:cs="Times New Roman" w:eastAsia="Times New Roman"/>
          <w:noProof/>
          <w:szCs w:val="20"/>
          <w:lang w:eastAsia="hr-HR"/>
        </w:rPr>
        <w:t xml:space="preserve"> nije uzeo u obzir jer dužnik Stečajnim planom nije u težem položaju od onoga da Stečajnog plana nema, a niti jedan vjeronik ne dobiva gospodarsku korist koja prelazi puni iznos njegove tražbine (čl.333. st.2. SZ-a).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Kako su izmijenjeni Stečajni plan, koji je podnio stečajni upravitelj, stečajni vjerovnici prihvatili, a na njega su pristanak dali članovi društva - nasljednička zajednica iza pok. Ivana Butkovića i Moslavka d.o.o. Bjelovar, dok prigovor člana društva </w:t>
      </w:r>
      <w:r w:rsidRPr="00435CD9">
        <w:rPr>
          <w:rFonts w:cs="Times New Roman" w:eastAsia="Times New Roman"/>
          <w:szCs w:val="20"/>
          <w:lang w:eastAsia="hr-HR"/>
        </w:rPr>
        <w:t xml:space="preserve">Erste &amp; </w:t>
      </w:r>
      <w:proofErr w:type="spellStart"/>
      <w:r w:rsidRPr="00435CD9">
        <w:rPr>
          <w:rFonts w:cs="Times New Roman" w:eastAsia="Times New Roman"/>
          <w:szCs w:val="20"/>
          <w:lang w:eastAsia="hr-HR"/>
        </w:rPr>
        <w:t>Steiermarkische</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bank</w:t>
      </w:r>
      <w:proofErr w:type="spellEnd"/>
      <w:r w:rsidRPr="00435CD9">
        <w:rPr>
          <w:rFonts w:cs="Times New Roman" w:eastAsia="Times New Roman"/>
          <w:szCs w:val="20"/>
          <w:lang w:eastAsia="hr-HR"/>
        </w:rPr>
        <w:t xml:space="preserve"> </w:t>
      </w:r>
      <w:proofErr w:type="spellStart"/>
      <w:r w:rsidRPr="00435CD9">
        <w:rPr>
          <w:rFonts w:cs="Times New Roman" w:eastAsia="Times New Roman"/>
          <w:szCs w:val="20"/>
          <w:lang w:eastAsia="hr-HR"/>
        </w:rPr>
        <w:t>d.d</w:t>
      </w:r>
      <w:proofErr w:type="spellEnd"/>
      <w:r w:rsidRPr="00435CD9">
        <w:rPr>
          <w:rFonts w:cs="Times New Roman" w:eastAsia="Times New Roman"/>
          <w:noProof/>
          <w:szCs w:val="20"/>
          <w:lang w:eastAsia="hr-HR"/>
        </w:rPr>
        <w:t xml:space="preserve"> sud nije uzeo u obzir, temeljem odredbe čl.334. SZ-a Stečajni plan je potvrđen.</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lastRenderedPageBreak/>
        <w:t xml:space="preserve">Izreka rješenja (toč.1.) sadržava provedbenu osnovu prihvaćenog Stečajnog plana, koji je bio objavljen na e-oglasnoj ploči suda 20. kolovoza 2018. (čl.334. st.3. SZ-a).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Sukladno odredbi čl.343. st.1. SZ-a određeno je da pravomoćno rješenje o potvrdi stečajnog plana ima snagu ovršne isprave.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r w:rsidRPr="00435CD9">
        <w:rPr>
          <w:rFonts w:cs="Times New Roman" w:eastAsia="Times New Roman"/>
          <w:noProof/>
          <w:szCs w:val="20"/>
          <w:lang w:eastAsia="hr-HR"/>
        </w:rPr>
        <w:t xml:space="preserve">Točka 3. izreke rješenja temelji se odredbi čl.346.-348. i čl.354.-355. SZ-a. </w:t>
      </w: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ind w:firstLine="851"/>
        <w:jc w:val="both"/>
        <w:rPr>
          <w:rFonts w:cs="Times New Roman" w:eastAsia="Times New Roman"/>
          <w:szCs w:val="20"/>
          <w:lang w:eastAsia="hr-HR"/>
        </w:rPr>
      </w:pPr>
      <w:r w:rsidRPr="00435CD9">
        <w:rPr>
          <w:rFonts w:cs="Times New Roman" w:eastAsia="Times New Roman"/>
          <w:szCs w:val="20"/>
          <w:lang w:eastAsia="hr-HR"/>
        </w:rPr>
        <w:t xml:space="preserve">Objava rješenja na mrežnoj stranici e-oglasna ploča suda i upis u sudski registar ovoga suda određeno je temeljem čl.338. st.2. SZ-a. </w:t>
      </w:r>
    </w:p>
    <w:p w:rsidRDefault="00435CD9" w:rsidP="00435CD9" w:rsidR="00435CD9" w:rsidRPr="00435CD9">
      <w:pPr>
        <w:overflowPunct w:val="false"/>
        <w:autoSpaceDE w:val="false"/>
        <w:autoSpaceDN w:val="false"/>
        <w:adjustRightInd w:val="false"/>
        <w:spacing w:after="0"/>
        <w:jc w:val="both"/>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jc w:val="center"/>
        <w:rPr>
          <w:rFonts w:cs="Times New Roman" w:eastAsia="Times New Roman"/>
          <w:szCs w:val="20"/>
          <w:lang w:eastAsia="hr-HR"/>
        </w:rPr>
      </w:pPr>
      <w:r w:rsidRPr="00435CD9">
        <w:rPr>
          <w:rFonts w:cs="Times New Roman" w:eastAsia="Times New Roman"/>
          <w:szCs w:val="20"/>
          <w:lang w:eastAsia="hr-HR"/>
        </w:rPr>
        <w:t>U Bjelovaru 27. rujna 2018.</w:t>
      </w:r>
    </w:p>
    <w:p w:rsidRDefault="00435CD9" w:rsidP="00435CD9" w:rsidR="00435CD9" w:rsidRPr="00435CD9">
      <w:pPr>
        <w:overflowPunct w:val="false"/>
        <w:autoSpaceDE w:val="false"/>
        <w:autoSpaceDN w:val="false"/>
        <w:adjustRightInd w:val="false"/>
        <w:spacing w:after="0"/>
        <w:jc w:val="both"/>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ind w:left="5245"/>
        <w:jc w:val="both"/>
        <w:rPr>
          <w:rFonts w:cs="Times New Roman" w:eastAsia="Times New Roman"/>
          <w:szCs w:val="20"/>
          <w:lang w:eastAsia="hr-HR"/>
        </w:rPr>
      </w:pPr>
      <w:r w:rsidRPr="00435CD9">
        <w:rPr>
          <w:rFonts w:cs="Times New Roman" w:eastAsia="Times New Roman"/>
          <w:szCs w:val="20"/>
          <w:lang w:eastAsia="hr-HR"/>
        </w:rPr>
        <w:t xml:space="preserve">               Sutkinja </w:t>
      </w:r>
    </w:p>
    <w:p w:rsidRDefault="00435CD9" w:rsidP="00435CD9" w:rsidR="00435CD9" w:rsidRPr="00435CD9">
      <w:pPr>
        <w:overflowPunct w:val="false"/>
        <w:autoSpaceDE w:val="false"/>
        <w:autoSpaceDN w:val="false"/>
        <w:adjustRightInd w:val="false"/>
        <w:spacing w:after="0"/>
        <w:ind w:left="5245"/>
        <w:jc w:val="both"/>
        <w:rPr>
          <w:rFonts w:cs="Times New Roman" w:eastAsia="Times New Roman"/>
          <w:szCs w:val="20"/>
          <w:lang w:eastAsia="hr-HR"/>
        </w:rPr>
      </w:pPr>
      <w:r w:rsidRPr="00435CD9">
        <w:rPr>
          <w:rFonts w:cs="Times New Roman" w:eastAsia="Times New Roman"/>
          <w:szCs w:val="20"/>
          <w:lang w:eastAsia="hr-HR"/>
        </w:rPr>
        <w:t xml:space="preserve">      Marija Petrina Kubica v.r.</w:t>
      </w:r>
    </w:p>
    <w:p w:rsidRDefault="00435CD9" w:rsidP="00435CD9" w:rsidR="00435CD9" w:rsidRPr="00435CD9">
      <w:pPr>
        <w:overflowPunct w:val="false"/>
        <w:autoSpaceDE w:val="false"/>
        <w:autoSpaceDN w:val="false"/>
        <w:adjustRightInd w:val="false"/>
        <w:spacing w:after="0"/>
        <w:ind w:left="5245"/>
        <w:jc w:val="both"/>
        <w:rPr>
          <w:rFonts w:cs="Times New Roman" w:eastAsia="Times New Roman"/>
          <w:szCs w:val="20"/>
          <w:lang w:eastAsia="hr-HR"/>
        </w:rPr>
      </w:pPr>
    </w:p>
    <w:p w:rsidRDefault="00435CD9" w:rsidP="00435CD9" w:rsidR="00435CD9" w:rsidRPr="00435CD9">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435CD9">
        <w:rPr>
          <w:rFonts w:cs="Times New Roman" w:eastAsia="Times New Roman"/>
          <w:noProof/>
          <w:szCs w:val="20"/>
          <w:lang w:eastAsia="hr-HR"/>
        </w:rPr>
        <w:t>Za točnost otpravka - ovlašteni službenik</w:t>
      </w:r>
    </w:p>
    <w:p w:rsidRDefault="00435CD9" w:rsidP="00435CD9" w:rsidR="00435CD9" w:rsidRPr="00435CD9">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435CD9">
        <w:rPr>
          <w:rFonts w:cs="Times New Roman" w:eastAsia="Times New Roman"/>
          <w:noProof/>
          <w:szCs w:val="20"/>
          <w:lang w:eastAsia="hr-HR"/>
        </w:rPr>
        <w:t xml:space="preserve">                  Željka Vitez</w:t>
      </w:r>
    </w:p>
    <w:p w:rsidRDefault="00435CD9" w:rsidP="00435CD9" w:rsidR="00435CD9" w:rsidRPr="00435CD9">
      <w:pPr>
        <w:overflowPunct w:val="false"/>
        <w:autoSpaceDE w:val="false"/>
        <w:autoSpaceDN w:val="false"/>
        <w:adjustRightInd w:val="false"/>
        <w:spacing w:after="0"/>
        <w:ind w:left="4962"/>
        <w:jc w:val="both"/>
        <w:rPr>
          <w:rFonts w:cs="Times New Roman" w:eastAsia="Times New Roman"/>
          <w:szCs w:val="20"/>
          <w:lang w:eastAsia="hr-HR"/>
        </w:rPr>
      </w:pPr>
    </w:p>
    <w:p w:rsidRDefault="00435CD9" w:rsidP="00435CD9" w:rsidR="00435CD9" w:rsidRPr="00435CD9">
      <w:pPr>
        <w:overflowPunct w:val="false"/>
        <w:autoSpaceDE w:val="false"/>
        <w:autoSpaceDN w:val="false"/>
        <w:adjustRightInd w:val="false"/>
        <w:spacing w:after="0"/>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jc w:val="both"/>
        <w:rPr>
          <w:rFonts w:cs="Times New Roman" w:eastAsia="Times New Roman"/>
          <w:noProof/>
          <w:szCs w:val="20"/>
          <w:lang w:eastAsia="hr-HR"/>
        </w:rPr>
      </w:pPr>
    </w:p>
    <w:p w:rsidRDefault="00435CD9" w:rsidP="00435CD9" w:rsidR="00435CD9" w:rsidRPr="00435CD9">
      <w:pPr>
        <w:overflowPunct w:val="false"/>
        <w:autoSpaceDE w:val="false"/>
        <w:autoSpaceDN w:val="false"/>
        <w:adjustRightInd w:val="false"/>
        <w:spacing w:after="0"/>
        <w:jc w:val="both"/>
        <w:rPr>
          <w:rFonts w:cs="Times New Roman" w:eastAsia="Times New Roman"/>
          <w:szCs w:val="20"/>
          <w:lang w:eastAsia="hr-HR"/>
        </w:rPr>
      </w:pPr>
      <w:r w:rsidRPr="00435CD9">
        <w:rPr>
          <w:rFonts w:cs="Times New Roman" w:eastAsia="Times New Roman"/>
          <w:szCs w:val="20"/>
          <w:lang w:eastAsia="hr-HR"/>
        </w:rPr>
        <w:t>Uputa o pravnom lijeku: Protiv rješenja pravo žalbe imaju vjerovnici i dužnik (čl.339. SZ.).</w:t>
      </w:r>
    </w:p>
    <w:p w:rsidRDefault="00435CD9" w:rsidP="00435CD9" w:rsidR="00435CD9" w:rsidRPr="00435CD9">
      <w:pPr>
        <w:overflowPunct w:val="false"/>
        <w:autoSpaceDE w:val="false"/>
        <w:autoSpaceDN w:val="false"/>
        <w:adjustRightInd w:val="false"/>
        <w:spacing w:after="0"/>
        <w:jc w:val="both"/>
        <w:rPr>
          <w:rFonts w:cs="Times New Roman" w:eastAsia="Times New Roman"/>
          <w:noProof/>
          <w:lang w:eastAsia="hr-HR"/>
        </w:rPr>
      </w:pPr>
    </w:p>
    <w:p w:rsidRDefault="00435CD9" w:rsidP="00435CD9" w:rsidR="00435CD9" w:rsidRPr="00435CD9">
      <w:pPr>
        <w:overflowPunct w:val="false"/>
        <w:autoSpaceDE w:val="false"/>
        <w:autoSpaceDN w:val="false"/>
        <w:adjustRightInd w:val="false"/>
        <w:spacing w:after="0"/>
        <w:jc w:val="both"/>
        <w:rPr>
          <w:rFonts w:cs="Times New Roman" w:eastAsia="Times New Roman"/>
          <w:noProof/>
          <w:lang w:eastAsia="hr-HR"/>
        </w:rPr>
      </w:pPr>
    </w:p>
    <w:p w:rsidRDefault="00435CD9" w:rsidP="00435CD9" w:rsidR="00435CD9" w:rsidRPr="00435CD9">
      <w:pPr>
        <w:overflowPunct w:val="false"/>
        <w:autoSpaceDE w:val="false"/>
        <w:autoSpaceDN w:val="false"/>
        <w:adjustRightInd w:val="false"/>
        <w:spacing w:after="0"/>
        <w:jc w:val="both"/>
        <w:rPr>
          <w:rFonts w:cs="Times New Roman" w:eastAsia="Times New Roman"/>
          <w:noProof/>
          <w:lang w:eastAsia="hr-HR"/>
        </w:rPr>
      </w:pPr>
    </w:p>
    <w:p w:rsidRDefault="00435CD9" w:rsidP="00435CD9" w:rsidR="00435CD9" w:rsidRPr="00435CD9">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435CD9" w:rsidR="00AE649C" w:rsidRPr="00B76F3C">
      <w:headerReference w:type="default" r:id="rId11"/>
      <w:pgSz w:code="9" w:h="16839" w:w="11907"/>
      <w:pgMar w:gutter="0" w:footer="1134" w:header="1134" w:left="1417" w:bottom="1276"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01064"/>
      <w:docPartObj>
        <w:docPartGallery w:val="Page Numbers (Top of Page)"/>
        <w:docPartUnique/>
      </w:docPartObj>
    </w:sdtPr>
    <w:sdtContent>
      <w:p w:rsidRDefault="00435CD9" w:rsidP="00435CD9" w:rsidR="00435CD9">
        <w:pPr>
          <w:pStyle w:val="Zaglavlje"/>
          <w:spacing w:after="0"/>
          <w:jc w:val="center"/>
        </w:pPr>
        <w:r>
          <w:fldChar w:fldCharType="begin"/>
        </w:r>
        <w:r>
          <w:instrText>PAGE   \* MERGEFORMAT</w:instrText>
        </w:r>
        <w:r>
          <w:fldChar w:fldCharType="separate"/>
        </w:r>
        <w:r>
          <w:t>8</w:t>
        </w:r>
        <w:r>
          <w:fldChar w:fldCharType="end"/>
        </w:r>
      </w:p>
    </w:sdtContent>
  </w:sdt>
  <w:p w:rsidRDefault="00435CD9" w:rsidP="00435CD9" w:rsidR="008333A9">
    <w:pPr>
      <w:overflowPunct w:val="false"/>
      <w:autoSpaceDE w:val="false"/>
      <w:autoSpaceDN w:val="false"/>
      <w:adjustRightInd w:val="false"/>
      <w:spacing w:after="0"/>
      <w:ind w:firstLine="4678"/>
      <w:jc w:val="right"/>
      <w:rPr>
        <w:rFonts w:cs="Times New Roman" w:eastAsia="Times New Roman"/>
        <w:noProof/>
        <w:szCs w:val="20"/>
        <w:lang w:eastAsia="hr-HR"/>
      </w:rPr>
    </w:pPr>
    <w:r w:rsidRPr="00435CD9">
      <w:rPr>
        <w:rFonts w:cs="Times New Roman" w:eastAsia="Times New Roman"/>
        <w:noProof/>
        <w:szCs w:val="20"/>
        <w:lang w:eastAsia="hr-HR"/>
      </w:rPr>
      <w:t>Poslovni broj: 5 St-800/2017-69</w:t>
    </w:r>
  </w:p>
  <w:p w:rsidRDefault="00435CD9" w:rsidP="00435CD9" w:rsidR="00435CD9" w:rsidRPr="00435CD9">
    <w:pPr>
      <w:overflowPunct w:val="false"/>
      <w:autoSpaceDE w:val="false"/>
      <w:autoSpaceDN w:val="false"/>
      <w:adjustRightInd w:val="false"/>
      <w:spacing w:after="0"/>
      <w:ind w:firstLine="4678"/>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5CD9"/>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2400541">
      <w:bodyDiv w:val="true"/>
      <w:marLeft w:val="0"/>
      <w:marRight w:val="0"/>
      <w:marTop w:val="0"/>
      <w:marBottom w:val="0"/>
      <w:divBdr>
        <w:top w:space="0" w:sz="0" w:color="auto" w:val="none"/>
        <w:left w:space="0" w:sz="0" w:color="auto" w:val="none"/>
        <w:bottom w:space="0" w:sz="0" w:color="auto" w:val="none"/>
        <w:right w:space="0" w:sz="0" w:color="auto" w:val="none"/>
      </w:divBdr>
    </w:div>
    <w:div w:id="14933302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St-800/2017-69</izvorni_sadrzaj>
    <derivirana_varijabla naziv="DomainObject.Oznaka_1">St-800/2017-69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izvorni_sadrzaj>
    <derivirana_varijabla naziv="DomainObject.Predmet.Broj_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St-800/2017</izvorni_sadrzaj>
    <derivirana_varijabla naziv="DomainObject.Predmet.OznakaBroj_1">St-800/2017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INFORMATIVNI CENTAR BJELOVAR d.o.o.</izvorni_sadrzaj>
    <derivirana_varijabla naziv="DomainObject.Predmet.StrankaFormated_1">  INFORMATIVNI CENTAR BJELOVAR d.o.o.</derivirana_varijabla>
  </DomainObject.Predmet.StrankaFormated>
  <DomainObject.Predmet.StrankaFormatedOIB>
    <izvorni_sadrzaj>  INFORMATIVNI CENTAR BJELOVAR d.o.o., OIB 14895266944</izvorni_sadrzaj>
    <derivirana_varijabla naziv="DomainObject.Predmet.StrankaFormatedOIB_1">  INFORMATIVNI CENTAR BJELOVAR d.o.o., OIB 14895266944</derivirana_varijabla>
  </DomainObject.Predmet.StrankaFormatedOIB>
  <DomainObject.Predmet.StrankaFormatedWithAdress>
    <izvorni_sadrzaj> INFORMATIVNI CENTAR BJELOVAR d.o.o., Trg Eugena Kvaternika/bb, 43000 Bjelovar</izvorni_sadrzaj>
    <derivirana_varijabla naziv="DomainObject.Predmet.StrankaFormatedWithAdress_1"> INFORMATIVNI CENTAR BJELOVAR d.o.o., Trg Eugena Kvaternika/bb, 43000 Bjelovar</derivirana_varijabla>
  </DomainObject.Predmet.StrankaFormatedWithAdress>
  <DomainObject.Predmet.StrankaFormatedWithAdressOIB>
    <izvorni_sadrzaj> INFORMATIVNI CENTAR BJELOVAR d.o.o., OIB 14895266944, Trg Eugena Kvaternika/bb, 43000 Bjelovar</izvorni_sadrzaj>
    <derivirana_varijabla naziv="DomainObject.Predmet.StrankaFormatedWithAdressOIB_1"> INFORMATIVNI CENTAR BJELOVAR d.o.o., OIB 14895266944, Trg Eugena Kvaternika/bb, 43000 Bjelovar</derivirana_varijabla>
  </DomainObject.Predmet.StrankaFormatedWithAdressOIB>
  <DomainObject.Predmet.StrankaWithAdress>
    <izvorni_sadrzaj>INFORMATIVNI CENTAR BJELOVAR d.o.o. Trg Eugena Kvaternika/bb,43000 Bjelovar</izvorni_sadrzaj>
    <derivirana_varijabla naziv="DomainObject.Predmet.StrankaWithAdress_1">INFORMATIVNI CENTAR BJELOVAR d.o.o. Trg Eugena Kvaternika/bb,43000 Bjelovar</derivirana_varijabla>
  </DomainObject.Predmet.StrankaWithAdress>
  <DomainObject.Predmet.StrankaWithAdressOIB>
    <izvorni_sadrzaj>INFORMATIVNI CENTAR BJELOVAR d.o.o., OIB 14895266944, Trg Eugena Kvaternika/bb,43000 Bjelovar</izvorni_sadrzaj>
    <derivirana_varijabla naziv="DomainObject.Predmet.StrankaWithAdressOIB_1">INFORMATIVNI CENTAR BJELOVAR d.o.o., OIB 14895266944, Trg Eugena Kvaternika/bb,43000 Bjelovar</derivirana_varijabla>
  </DomainObject.Predmet.StrankaWithAdressOIB>
  <DomainObject.Predmet.StrankaNazivFormated>
    <izvorni_sadrzaj>INFORMATIVNI CENTAR BJELOVAR d.o.o.</izvorni_sadrzaj>
    <derivirana_varijabla naziv="DomainObject.Predmet.StrankaNazivFormated_1">INFORMATIVNI CENTAR BJELOVAR d.o.o.</derivirana_varijabla>
  </DomainObject.Predmet.StrankaNazivFormated>
  <DomainObject.Predmet.StrankaNazivFormatedOIB>
    <izvorni_sadrzaj>INFORMATIVNI CENTAR BJELOVAR d.o.o., OIB 14895266944</izvorni_sadrzaj>
    <derivirana_varijabla naziv="DomainObject.Predmet.StrankaNazivFormatedOIB_1">INFORMATIVNI CENTAR BJELOVAR d.o.o., OIB 14895266944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INFORMATIVNI CENTAR BJELOVAR d.o.o.</item>
    </izvorni_sadrzaj>
    <derivirana_varijabla naziv="DomainObject.Predmet.StrankaListFormated_1">
      <item>INFORMATIVNI CENTAR BJELOVAR d.o.o.</item>
    </derivirana_varijabla>
  </DomainObject.Predmet.StrankaListFormated>
  <DomainObject.Predmet.StrankaListFormatedOIB>
    <izvorni_sadrzaj>
      <item>INFORMATIVNI CENTAR BJELOVAR d.o.o., OIB 14895266944</item>
    </izvorni_sadrzaj>
    <derivirana_varijabla naziv="DomainObject.Predmet.StrankaListFormatedOIB_1">
      <item>INFORMATIVNI CENTAR BJELOVAR d.o.o., OIB 14895266944</item>
    </derivirana_varijabla>
  </DomainObject.Predmet.StrankaListFormatedOIB>
  <DomainObject.Predmet.StrankaListFormatedWithAdress>
    <izvorni_sadrzaj>
      <item>INFORMATIVNI CENTAR BJELOVAR d.o.o., Trg Eugena Kvaternika/bb, 43000 Bjelovar</item>
    </izvorni_sadrzaj>
    <derivirana_varijabla naziv="DomainObject.Predmet.StrankaListFormatedWithAdress_1">
      <item>INFORMATIVNI CENTAR BJELOVAR d.o.o., Trg Eugena Kvaternika/bb, 43000 Bjelovar</item>
    </derivirana_varijabla>
  </DomainObject.Predmet.StrankaListFormatedWithAdress>
  <DomainObject.Predmet.StrankaListFormatedWithAdressOIB>
    <izvorni_sadrzaj>
      <item>INFORMATIVNI CENTAR BJELOVAR d.o.o., OIB 14895266944, Trg Eugena Kvaternika/bb, 43000 Bjelovar</item>
    </izvorni_sadrzaj>
    <derivirana_varijabla naziv="DomainObject.Predmet.StrankaListFormatedWithAdressOIB_1">
      <item>INFORMATIVNI CENTAR BJELOVAR d.o.o., OIB 14895266944, Trg Eugena Kvaternika/bb, 43000 Bjelovar</item>
    </derivirana_varijabla>
  </DomainObject.Predmet.StrankaListFormatedWithAdressOIB>
  <DomainObject.Predmet.StrankaListNazivFormated>
    <izvorni_sadrzaj>
      <item>INFORMATIVNI CENTAR BJELOVAR d.o.o.</item>
    </izvorni_sadrzaj>
    <derivirana_varijabla naziv="DomainObject.Predmet.StrankaListNazivFormated_1">
      <item>INFORMATIVNI CENTAR BJELOVAR d.o.o.</item>
    </derivirana_varijabla>
  </DomainObject.Predmet.StrankaListNazivFormated>
  <DomainObject.Predmet.StrankaListNazivFormatedOIB>
    <izvorni_sadrzaj>
      <item>INFORMATIVNI CENTAR BJELOVAR d.o.o., OIB 14895266944</item>
    </izvorni_sadrzaj>
    <derivirana_varijabla naziv="DomainObject.Predmet.StrankaListNazivFormatedOIB_1">
      <item>INFORMATIVNI CENTAR BJELOVAR d.o.o., OIB 14895266944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ROBERT VESELJAK</item>
      <item>Nenad Homar</item>
      <item>Financijska agencija Bjelovar</item>
      <item>Bojana Mađerac</item>
      <item>Županijsko državno odvjetništvo u Bjelovaru</item>
    </izvorni_sadrzaj>
    <derivirana_varijabla naziv="DomainObject.Predmet.OstaliListFormated_1">
      <item>ROBERT VESELJAK</item>
      <item>Nenad Homar</item>
      <item>Financijska agencija Bjelovar</item>
      <item>Bojana Mađerac</item>
      <item>Županijsko državno odvjetništvo u Bjelovaru</item>
    </derivirana_varijabla>
  </DomainObject.Predmet.OstaliListFormated>
  <DomainObject.Predmet.OstaliListFormatedOIB>
    <izvorni_sadrzaj>
      <item>ROBERT VESELJAK, OIB 67946168060</item>
      <item>Nenad Homar, OIB 11719729882</item>
      <item>Financijska agencija Bjelovar, OIB 85821130368</item>
      <item>Bojana Mađerac</item>
      <item>Županijsko državno odvjetništvo u Bjelovaru, OIB 86821435474</item>
    </izvorni_sadrzaj>
    <derivirana_varijabla naziv="DomainObject.Predmet.OstaliListFormatedOIB_1">
      <item>ROBERT VESELJAK, OIB 67946168060</item>
      <item>Nenad Homar, OIB 11719729882</item>
      <item>Financijska agencija Bjelovar, OIB 85821130368</item>
      <item>Bojana Mađerac</item>
      <item>Županijsko državno odvjetništvo u Bjelovaru, OIB 86821435474</item>
    </derivirana_varijabla>
  </DomainObject.Predmet.OstaliListFormatedOIB>
  <DomainObject.Predmet.OstaliListFormatedWithAdress>
    <izvorni_sadrzaj>
      <item>ROBERT VESELJAK, Antuna Branka Šimića 1, 42000 Varaždin</item>
      <item>Nenad Homar, Dravska 1, 48000 Koprivnica</item>
      <item>Financijska agencija Bjelovar</item>
      <item>Bojana Mađerac</item>
      <item>Županijsko državno odvjetništvo u Bjelovaru</item>
    </izvorni_sadrzaj>
    <derivirana_varijabla naziv="DomainObject.Predmet.OstaliListFormatedWithAdress_1">
      <item>ROBERT VESELJAK, Antuna Branka Šimića 1, 42000 Varaždin</item>
      <item>Nenad Homar, Dravska 1, 48000 Koprivnica</item>
      <item>Financijska agencija Bjelovar</item>
      <item>Bojana Mađerac</item>
      <item>Županijsko državno odvjetništvo u Bjelovaru</item>
    </derivirana_varijabla>
  </DomainObject.Predmet.OstaliListFormatedWithAdress>
  <DomainObject.Predmet.OstaliListFormatedWithAdressOIB>
    <izvorni_sadrzaj>
      <item>ROBERT VESELJAK, OIB 67946168060, Antuna Branka Šimića 1, 42000 Varaždin</item>
      <item>Nenad Homar, OIB 11719729882, Dravska 1, 48000 Koprivnica</item>
      <item>Financijska agencija Bjelovar, OIB 85821130368</item>
      <item>Bojana Mađerac</item>
      <item>Županijsko državno odvjetništvo u Bjelovaru, OIB 86821435474</item>
    </izvorni_sadrzaj>
    <derivirana_varijabla naziv="DomainObject.Predmet.OstaliListFormatedWithAdressOIB_1">
      <item>ROBERT VESELJAK, OIB 67946168060, Antuna Branka Šimića 1, 42000 Varaždin</item>
      <item>Nenad Homar, OIB 11719729882, Dravska 1, 48000 Koprivnica</item>
      <item>Financijska agencija Bjelovar, OIB 85821130368</item>
      <item>Bojana Mađerac</item>
      <item>Županijsko državno odvjetništvo u Bjelovaru, OIB 86821435474</item>
    </derivirana_varijabla>
  </DomainObject.Predmet.OstaliListFormatedWithAdressOIB>
  <DomainObject.Predmet.OstaliListNazivFormated>
    <izvorni_sadrzaj>
      <item>ROBERT VESELJAK</item>
      <item>Nenad Homar</item>
      <item>Financijska agencija Bjelovar</item>
      <item>Bojana Mađerac</item>
      <item>Županijsko državno odvjetništvo u Bjelovaru</item>
    </izvorni_sadrzaj>
    <derivirana_varijabla naziv="DomainObject.Predmet.OstaliListNazivFormated_1">
      <item>ROBERT VESELJAK</item>
      <item>Nenad Homar</item>
      <item>Financijska agencija Bjelovar</item>
      <item>Bojana Mađerac</item>
      <item>Županijsko državno odvjetništvo u Bjelovaru</item>
    </derivirana_varijabla>
  </DomainObject.Predmet.OstaliListNazivFormated>
  <DomainObject.Predmet.OstaliListNazivFormatedOIB>
    <izvorni_sadrzaj>
      <item>ROBERT VESELJAK, OIB 67946168060</item>
      <item>Nenad Homar, OIB 11719729882</item>
      <item>Financijska agencija Bjelovar, OIB 85821130368</item>
      <item>Bojana Mađerac</item>
      <item>Županijsko državno odvjetništvo u Bjelovaru, OIB 86821435474</item>
    </izvorni_sadrzaj>
    <derivirana_varijabla naziv="DomainObject.Predmet.OstaliListNazivFormatedOIB_1">
      <item>ROBERT VESELJAK, OIB 67946168060</item>
      <item>Nenad Homar, OIB 11719729882</item>
      <item>Financijska agencija Bjelovar, OIB 85821130368</item>
      <item>Bojana Mađerac</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St-800/2017-69</izvorni_sadrzaj>
    <derivirana_varijabla naziv="DomainObject.PoslovniBrojDokumenta_1">St-800/2017-69</derivirana_varijabla>
  </DomainObject.PoslovniBrojDokumenta>
  <DomainObject.Predmet.StrankaIDrugi>
    <izvorni_sadrzaj>INFORMATIVNI CENTAR BJELOVAR d.o.o.</izvorni_sadrzaj>
    <derivirana_varijabla naziv="DomainObject.Predmet.StrankaIDrugi_1">INFORMATIVNI CENTAR BJELOVAR d.o.o.</derivirana_varijabla>
  </DomainObject.Predmet.StrankaIDrugi>
  <DomainObject.Predmet.ProtustrankaIDrugi>
    <izvorni_sadrzaj/>
    <derivirana_varijabla naziv="DomainObject.Predmet.ProtustrankaIDrugi_1"/>
  </DomainObject.Predmet.ProtustrankaIDrugi>
  <DomainObject.Predmet.StrankaIDrugiAdressOIB>
    <izvorni_sadrzaj>INFORMATIVNI CENTAR BJELOVAR d.o.o., OIB 14895266944, Trg Eugena Kvaternika/bb, 43000 Bjelovar</izvorni_sadrzaj>
    <derivirana_varijabla naziv="DomainObject.Predmet.StrankaIDrugiAdressOIB_1">INFORMATIVNI CENTAR BJELOVAR d.o.o., OIB 14895266944, Trg Eugena Kvaternika/bb,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INFORMATIVNI CENTAR BJELOVAR d.o.o.</item>
      <item>ROBERT VESELJAK</item>
      <item>Nenad Homar</item>
      <item>Financijska agencija Bjelovar</item>
      <item>Bojana Mađerac</item>
      <item>Županijsko državno odvjetništvo u Bjelovaru</item>
    </izvorni_sadrzaj>
    <derivirana_varijabla naziv="DomainObject.Predmet.SudioniciListNaziv_1">
      <item>INFORMATIVNI CENTAR BJELOVAR d.o.o.</item>
      <item>ROBERT VESELJAK</item>
      <item>Nenad Homar</item>
      <item>Financijska agencija Bjelovar</item>
      <item>Bojana Mađerac</item>
      <item>Županijsko državno odvjetništvo u Bjelovaru</item>
    </derivirana_varijabla>
  </DomainObject.Predmet.SudioniciListNaziv>
  <DomainObject.Predmet.SudioniciListAdressOIB>
    <izvorni_sadrzaj>
      <item>INFORMATIVNI CENTAR BJELOVAR d.o.o., OIB 14895266944, Trg Eugena Kvaternika/bb,43000 Bjelovar</item>
      <item>ROBERT VESELJAK, OIB 67946168060, Antuna Branka Šimića 1,42000 Varaždin</item>
      <item>Nenad Homar, OIB 11719729882, Dravska 1,48000 Koprivnica</item>
      <item>Financijska agencija Bjelovar, OIB 85821130368</item>
      <item>Bojana Mađerac</item>
      <item>Županijsko državno odvjetništvo u Bjelovaru, OIB 86821435474</item>
    </izvorni_sadrzaj>
    <derivirana_varijabla naziv="DomainObject.Predmet.SudioniciListAdressOIB_1">
      <item>INFORMATIVNI CENTAR BJELOVAR d.o.o., OIB 14895266944, Trg Eugena Kvaternika/bb,43000 Bjelovar</item>
      <item>ROBERT VESELJAK, OIB 67946168060, Antuna Branka Šimića 1,42000 Varaždin</item>
      <item>Nenad Homar, OIB 11719729882, Dravska 1,48000 Koprivnica</item>
      <item>Financijska agencija Bjelovar, OIB 85821130368</item>
      <item>Bojana Mađerac</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3C36C2-1865-4F92-B653-2ECB781FBC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3140</properties:Words>
  <properties:Characters>18504</properties:Characters>
  <properties:Lines>475</properties:Lines>
  <properties:Paragraphs>212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2018-09-27T07:50:00Z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8</vt:i4>
  </prop:property>
  <prop:property name="Naslov" pid="5" fmtid="{D5CDD505-2E9C-101B-9397-08002B2CF9AE}">
    <vt:lpwstr>St-800/2017-69 / Odluka - Rješenje - potvrda stečajnog plana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