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3b66" w14:paraId="3663b66" w:rsidRDefault="00294D89" w:rsidP="00294D89" w:rsidR="00294D8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94D89" w:rsidP="00294D89" w:rsidR="00294D89">
      <w:pPr>
        <w:spacing w:after="0"/>
        <w:jc w:val="both"/>
      </w:pPr>
      <w:r>
        <w:t xml:space="preserve">       REPUBLIKA HRVATSKA</w:t>
      </w:r>
    </w:p>
    <w:p w:rsidRDefault="00294D89" w:rsidP="00294D89" w:rsidR="00294D8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94D89" w:rsidP="00294D89" w:rsidR="00294D89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294D89" w:rsidP="00294D89" w:rsidR="00294D89">
      <w:pPr>
        <w:spacing w:after="0"/>
        <w:rPr>
          <w:bCs/>
        </w:rPr>
      </w:pPr>
    </w:p>
    <w:p w:rsidRDefault="00294D89" w:rsidP="00294D89" w:rsidR="00294D89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St-91/15-50</w:t>
      </w:r>
    </w:p>
    <w:p w:rsidRDefault="00294D89" w:rsidP="00294D89" w:rsidR="00294D89">
      <w:pPr>
        <w:pStyle w:val="Tijeloteksta"/>
        <w:spacing w:after="0"/>
        <w:rPr>
          <w:b/>
          <w:bCs/>
        </w:rPr>
      </w:pPr>
    </w:p>
    <w:p w:rsidRDefault="00294D89" w:rsidP="00294D89" w:rsidR="00294D89">
      <w:pPr>
        <w:pStyle w:val="Tijeloteksta"/>
        <w:spacing w:after="0"/>
        <w:rPr>
          <w:b/>
          <w:bCs/>
        </w:rPr>
      </w:pPr>
    </w:p>
    <w:p w:rsidRDefault="00294D89" w:rsidP="00294D89" w:rsidR="00294D89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TVORNICA STOČNE HRANE d.o.o. "u stečaju" Koprivnica, Kolodvorska 14, MBS: 010029626, OIB: 76325867397, na temelju rješenja o prodaji broj St-91/15-29 od 30. svibnja 2016. godine, dana 29. ožujka 2017. godine donio je slijedeći</w:t>
      </w:r>
    </w:p>
    <w:p w:rsidRDefault="00294D89" w:rsidP="00294D89" w:rsidR="00294D89" w:rsidRPr="00294D89">
      <w:pPr>
        <w:pStyle w:val="Naslov1"/>
        <w:spacing w:after="0"/>
        <w:jc w:val="center"/>
        <w:rPr>
          <w:sz w:val="24"/>
          <w:szCs w:val="24"/>
        </w:rPr>
      </w:pPr>
      <w:r w:rsidRPr="00294D89">
        <w:rPr>
          <w:sz w:val="24"/>
          <w:szCs w:val="24"/>
        </w:rPr>
        <w:t>ZAKLJUČAK O PRODAJI</w:t>
      </w:r>
    </w:p>
    <w:p w:rsidRDefault="00294D89" w:rsidP="00294D89" w:rsidR="00294D89">
      <w:pPr>
        <w:spacing w:after="0"/>
        <w:jc w:val="center"/>
        <w:rPr>
          <w:b/>
          <w:bCs/>
        </w:rPr>
      </w:pPr>
      <w:r>
        <w:rPr>
          <w:b/>
          <w:bCs/>
        </w:rPr>
        <w:t>5. JAVNA DRAŽBA</w:t>
      </w:r>
    </w:p>
    <w:p w:rsidRDefault="00294D89" w:rsidP="00294D89" w:rsidR="00294D89">
      <w:pPr>
        <w:spacing w:after="0"/>
        <w:jc w:val="center"/>
        <w:rPr>
          <w:b/>
          <w:bCs/>
        </w:rPr>
      </w:pPr>
    </w:p>
    <w:p w:rsidRDefault="00294D89" w:rsidP="00294D89" w:rsidR="00294D89">
      <w:pPr>
        <w:spacing w:after="0"/>
        <w:jc w:val="center"/>
        <w:rPr>
          <w:b/>
          <w:bCs/>
        </w:rPr>
      </w:pPr>
    </w:p>
    <w:p w:rsidRDefault="00294D89" w:rsidP="00294D89" w:rsidR="00294D89">
      <w:pPr>
        <w:pStyle w:val="Tijeloteksta"/>
        <w:spacing w:after="0"/>
        <w:ind w:firstLine="708"/>
        <w:jc w:val="both"/>
      </w:pPr>
      <w:r>
        <w:rPr>
          <w:b/>
        </w:rPr>
        <w:t>I.a)</w:t>
      </w:r>
      <w:r>
        <w:t xml:space="preserve"> Određuje se prodaja nekretnina i pokretnina u vlasništvu stečajnog dužnika TVORNICA STOČNE HRANE d.o.o. "u stečaju" Koprivnica, u stečajnom postupku, uz odgovarajuću primjenu pravila o ovrsi na nekretninama i pokretninama: </w:t>
      </w:r>
    </w:p>
    <w:p w:rsidRDefault="00294D89" w:rsidP="00294D89" w:rsidR="00294D89">
      <w:pPr>
        <w:spacing w:after="0"/>
        <w:jc w:val="both"/>
      </w:pPr>
    </w:p>
    <w:p w:rsidRDefault="00294D89" w:rsidP="00294D89" w:rsidR="00294D89">
      <w:pPr>
        <w:pStyle w:val="Tijeloteksta"/>
        <w:numPr>
          <w:ilvl w:val="0"/>
          <w:numId w:val="47"/>
        </w:numPr>
        <w:spacing w:after="0"/>
        <w:jc w:val="both"/>
      </w:pPr>
      <w:r>
        <w:t>čkbr. 3138 zgrada u Kolodvorskoj ulici površine 1186 m2,  upisana u zk.ul. 13552 k.o. Koprivnica, u 1/1 dijela,</w:t>
      </w:r>
    </w:p>
    <w:p w:rsidRDefault="00294D89" w:rsidP="00294D89" w:rsidR="00294D89">
      <w:pPr>
        <w:pStyle w:val="Tijeloteksta"/>
        <w:numPr>
          <w:ilvl w:val="0"/>
          <w:numId w:val="47"/>
        </w:numPr>
        <w:spacing w:after="0"/>
        <w:jc w:val="both"/>
      </w:pPr>
      <w:r>
        <w:t>čkbr. 1795 dvor u Kolodvorskoj ulici površine 379 m2, upisana u zk.ul. 1653 k.o. Koprivnica, u 1/1 dijela</w:t>
      </w:r>
    </w:p>
    <w:p w:rsidRDefault="00294D89" w:rsidP="00294D89" w:rsidR="00294D89">
      <w:pPr>
        <w:pStyle w:val="Tijeloteksta"/>
        <w:numPr>
          <w:ilvl w:val="0"/>
          <w:numId w:val="47"/>
        </w:numPr>
        <w:spacing w:after="0"/>
        <w:jc w:val="both"/>
      </w:pPr>
      <w:r>
        <w:t>čkbr. 1794 dvor u Kolodvorskoj ulici površine 372 m2, upisan u zk.ul. 1654 k.o. Koprivnica, u 1/1 dijela</w:t>
      </w:r>
    </w:p>
    <w:p w:rsidRDefault="00294D89" w:rsidP="00294D89" w:rsidR="00294D89">
      <w:pPr>
        <w:pStyle w:val="Tijeloteksta"/>
        <w:spacing w:after="0"/>
      </w:pPr>
    </w:p>
    <w:p w:rsidRDefault="00294D89" w:rsidP="00294D89" w:rsidR="00294D89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nekretnina iznosi 2.910.000,00 kn.</w:t>
      </w:r>
    </w:p>
    <w:p w:rsidRDefault="00294D89" w:rsidP="00294D89" w:rsidR="00294D89">
      <w:pPr>
        <w:pStyle w:val="Tijeloteksta"/>
        <w:spacing w:after="0"/>
        <w:rPr>
          <w:b/>
        </w:rPr>
      </w:pPr>
    </w:p>
    <w:p w:rsidRDefault="00294D89" w:rsidP="00294D89" w:rsidR="00294D89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nekretnine iznosi 1.489.920,00 kn.</w:t>
      </w:r>
    </w:p>
    <w:p w:rsidRDefault="00294D89" w:rsidP="00294D89" w:rsidR="00294D89">
      <w:pPr>
        <w:pStyle w:val="Tijeloteksta"/>
        <w:spacing w:after="0"/>
      </w:pPr>
    </w:p>
    <w:p w:rsidRDefault="00294D89" w:rsidP="00294D89" w:rsidR="00294D89">
      <w:pPr>
        <w:pStyle w:val="Tijeloteksta"/>
        <w:spacing w:after="0"/>
        <w:ind w:firstLine="348" w:left="360"/>
        <w:jc w:val="both"/>
      </w:pPr>
      <w:r>
        <w:t>Na navedenim nekretninama uknjiženi su tereti u korist razlučnih vjerovnika i to Hypo Alpe-Adria-Bank d.d. Zagreb i H-Abduco d.o.o. Zagreb.</w:t>
      </w:r>
    </w:p>
    <w:p w:rsidRDefault="00294D89" w:rsidP="00294D89" w:rsidR="00294D89">
      <w:pPr>
        <w:pStyle w:val="Tijeloteksta"/>
        <w:spacing w:after="0"/>
      </w:pPr>
    </w:p>
    <w:p w:rsidRDefault="00294D89" w:rsidP="00294D89" w:rsidR="00294D89">
      <w:pPr>
        <w:pStyle w:val="Tijeloteksta"/>
        <w:spacing w:after="0"/>
        <w:ind w:firstLine="708"/>
        <w:jc w:val="both"/>
      </w:pPr>
      <w:r>
        <w:rPr>
          <w:b/>
        </w:rPr>
        <w:t xml:space="preserve">I.b) </w:t>
      </w:r>
      <w:r>
        <w:t>Pokretnine koje su ugrađene u navedenu nekretninu i sačinjavaju tehnološku proizvodnu cjelinu - mini linija za pakiranje, oprema i postrojenja, uredska oprema, namještaj i inventar, sve citirano u elaboratu procjene pokretne imovine stalnog sudskog vještaka Iveković Slobodana, koji je sastavni dio ovog zaključka.</w:t>
      </w:r>
    </w:p>
    <w:p w:rsidRDefault="00294D89" w:rsidP="00294D89" w:rsidR="00294D89">
      <w:pPr>
        <w:pStyle w:val="Tijeloteksta"/>
        <w:spacing w:after="0"/>
        <w:ind w:left="360"/>
      </w:pPr>
    </w:p>
    <w:p w:rsidRDefault="00294D89" w:rsidP="00294D89" w:rsidR="00294D89">
      <w:pPr>
        <w:pStyle w:val="Tijeloteksta"/>
        <w:spacing w:after="0"/>
        <w:ind w:left="360"/>
        <w:rPr>
          <w:b/>
        </w:rPr>
      </w:pPr>
      <w:r>
        <w:rPr>
          <w:b/>
        </w:rPr>
        <w:t xml:space="preserve">      Procijenjena vrijednost pokretnina iznosi  1.092.637,26 kn.</w:t>
      </w:r>
    </w:p>
    <w:p w:rsidRDefault="00294D89" w:rsidP="00294D89" w:rsidR="00294D89">
      <w:pPr>
        <w:pStyle w:val="Tijeloteksta"/>
        <w:spacing w:after="0"/>
        <w:ind w:left="360"/>
        <w:rPr>
          <w:b/>
        </w:rPr>
      </w:pPr>
    </w:p>
    <w:p w:rsidRDefault="00294D89" w:rsidP="00294D89" w:rsidR="00294D89">
      <w:pPr>
        <w:pStyle w:val="Tijeloteksta"/>
        <w:spacing w:after="0"/>
        <w:ind w:firstLine="348" w:left="360"/>
        <w:rPr>
          <w:b/>
        </w:rPr>
      </w:pPr>
      <w:r>
        <w:rPr>
          <w:b/>
        </w:rPr>
        <w:t>Početna prodajna cijena za pokretnine iznosi 874.110,00 kn.</w:t>
      </w:r>
    </w:p>
    <w:p w:rsidRDefault="00294D89" w:rsidP="00294D89" w:rsidR="00294D89">
      <w:pPr>
        <w:pStyle w:val="Tijeloteksta"/>
        <w:spacing w:after="0"/>
        <w:ind w:left="360"/>
        <w:rPr>
          <w:b/>
        </w:rPr>
      </w:pPr>
    </w:p>
    <w:p w:rsidRDefault="00294D89" w:rsidP="00294D89" w:rsidR="00294D89">
      <w:pPr>
        <w:pStyle w:val="Tijeloteksta"/>
        <w:spacing w:after="0"/>
        <w:ind w:left="360"/>
      </w:pPr>
      <w:r>
        <w:lastRenderedPageBreak/>
        <w:tab/>
        <w:t>Nekretnine pod točkom I.a) i pokretnine pod točkom I.b) prodaju se kao cjelina.</w:t>
      </w:r>
    </w:p>
    <w:p w:rsidRDefault="00294D89" w:rsidP="00294D89" w:rsidR="00294D89">
      <w:pPr>
        <w:pStyle w:val="Tijeloteksta"/>
        <w:spacing w:after="0"/>
        <w:ind w:left="360"/>
      </w:pPr>
    </w:p>
    <w:p w:rsidRDefault="00294D89" w:rsidP="00294D89" w:rsidR="00294D89">
      <w:pPr>
        <w:spacing w:after="0"/>
        <w:jc w:val="both"/>
      </w:pPr>
      <w:r>
        <w:tab/>
      </w:r>
      <w:r>
        <w:rPr>
          <w:b/>
        </w:rPr>
        <w:t>I.c)</w:t>
      </w:r>
      <w:r>
        <w:t xml:space="preserve"> čkbr. 651/1 oranica u Otavicama površine 863 čhv., čkbr. 651/2 oranica u Otavicama površine 863 čhv., čkbr. 652/1 kuća br. 34 sa štagljem i dvorom površine 260 čhv. i čkbr. 652/2 oranica u Otavicama površine 1 jutro i 102 čhv, sve upisano u zk.ul. 2140 k.o. Delovi u 1/1 dijela.</w:t>
      </w:r>
    </w:p>
    <w:p w:rsidRDefault="00294D89" w:rsidP="00294D89" w:rsidR="00294D89">
      <w:pPr>
        <w:spacing w:after="0"/>
        <w:jc w:val="both"/>
      </w:pPr>
    </w:p>
    <w:p w:rsidRDefault="00294D89" w:rsidP="00294D89" w:rsidR="00294D89">
      <w:pPr>
        <w:spacing w:after="0"/>
        <w:ind w:firstLine="708"/>
        <w:jc w:val="both"/>
        <w:rPr>
          <w:b/>
        </w:rPr>
      </w:pPr>
      <w:r>
        <w:rPr>
          <w:b/>
        </w:rPr>
        <w:t>Procijenjena vrijednost nekretnina iznosi 87.000,00 kn.</w:t>
      </w:r>
    </w:p>
    <w:p w:rsidRDefault="00294D89" w:rsidP="00294D89" w:rsidR="00294D89">
      <w:pPr>
        <w:spacing w:after="0"/>
        <w:ind w:firstLine="708"/>
        <w:jc w:val="both"/>
        <w:rPr>
          <w:b/>
        </w:rPr>
      </w:pPr>
    </w:p>
    <w:p w:rsidRDefault="00294D89" w:rsidP="00294D89" w:rsidR="00294D89">
      <w:pPr>
        <w:spacing w:after="0"/>
        <w:ind w:firstLine="708"/>
        <w:jc w:val="both"/>
      </w:pPr>
      <w:r>
        <w:rPr>
          <w:b/>
        </w:rPr>
        <w:t>Početna prodajna cijena za nekretnine iznosi 44.544,00 kn.</w:t>
      </w:r>
    </w:p>
    <w:p w:rsidRDefault="00294D89" w:rsidP="00294D89" w:rsidR="00294D89">
      <w:pPr>
        <w:spacing w:after="0"/>
        <w:jc w:val="both"/>
      </w:pPr>
    </w:p>
    <w:p w:rsidRDefault="00294D89" w:rsidP="00294D89" w:rsidR="00294D89">
      <w:pPr>
        <w:spacing w:after="0"/>
        <w:ind w:firstLine="708"/>
        <w:jc w:val="both"/>
      </w:pPr>
      <w:r>
        <w:t>Na navedenoj nekretnini je upisan založni vjerovnik Erste &amp; Steiermärkische bank d.d. Rijeka pod Z-1596/11, te B2 KAPITAL d.o.o. Zagreb temeljem Ugovora o prijenosu tražbine solemniziranog po javnom bilježniku Mladenu Matoš iz Zagreba broj OV-8522/16 od 14.6.2016. i to pod Z-8712/2012.</w:t>
      </w:r>
    </w:p>
    <w:p w:rsidRDefault="00294D89" w:rsidP="00294D89" w:rsidR="00294D89">
      <w:pPr>
        <w:spacing w:after="0"/>
      </w:pPr>
    </w:p>
    <w:p w:rsidRDefault="00294D89" w:rsidP="00294D89" w:rsidR="00294D89">
      <w:pPr>
        <w:pStyle w:val="Tijeloteksta"/>
        <w:spacing w:after="0"/>
        <w:ind w:firstLine="708"/>
        <w:jc w:val="both"/>
      </w:pPr>
      <w:r>
        <w:t xml:space="preserve">II/ Nekretnine i pokretnine će se prodavati na usmenoj javnoj dražbi. Peto ročište za prodaju održat će se dana </w:t>
      </w:r>
      <w:r>
        <w:rPr>
          <w:b/>
        </w:rPr>
        <w:t>17. svibnja 2017.</w:t>
      </w:r>
      <w:r>
        <w:t xml:space="preserve"> godine, u zgradi Trgovačkog suda u Varaždinu, soba 226/II, s početkom u </w:t>
      </w:r>
      <w:r>
        <w:rPr>
          <w:b/>
        </w:rPr>
        <w:t>09,00 sati.</w:t>
      </w:r>
      <w:r>
        <w:t xml:space="preserve"> Ročište će se održati i ako na njemu sudjeluje samo jedan ponuditelj.</w:t>
      </w:r>
    </w:p>
    <w:p w:rsidRDefault="00294D89" w:rsidP="00294D89" w:rsidR="00294D89">
      <w:pPr>
        <w:pStyle w:val="Tijeloteksta"/>
        <w:spacing w:after="0"/>
        <w:ind w:left="360"/>
      </w:pPr>
    </w:p>
    <w:p w:rsidRDefault="00294D89" w:rsidP="00294D89" w:rsidR="00294D89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294D89" w:rsidP="00294D89" w:rsidR="00294D89">
      <w:pPr>
        <w:pStyle w:val="Tijeloteksta"/>
        <w:spacing w:after="0"/>
      </w:pPr>
    </w:p>
    <w:p w:rsidRDefault="00294D89" w:rsidP="00294D89" w:rsidR="00294D89">
      <w:pPr>
        <w:pStyle w:val="Tijeloteksta"/>
        <w:spacing w:after="0"/>
        <w:ind w:firstLine="708"/>
      </w:pPr>
      <w:r>
        <w:t>IV/ Uvjeti prodaje:</w:t>
      </w:r>
    </w:p>
    <w:p w:rsidRDefault="00294D89" w:rsidP="00294D89" w:rsidR="00294D89">
      <w:pPr>
        <w:numPr>
          <w:ilvl w:val="0"/>
          <w:numId w:val="48"/>
        </w:numPr>
        <w:spacing w:after="0"/>
        <w:jc w:val="both"/>
      </w:pPr>
      <w:r>
        <w:t>Nekretnine iz točke I.a ovog zaključka prodavati će se po početnoj cijeni i to u iznosu    od 1.489.920,00 kn, pokretnine iz točke I.b ovog zaključka prodavati će se po početnoj cijeni i to u iznosu od 874.110,00 kn, što ukupno iznosi 2.364.030,00 kn, te nekretnine iz točke I.c ovog zaključka prodavati će se po početnoj cijeni i to u iznosu od 44.544,00 kn,</w:t>
      </w:r>
      <w:r>
        <w:rPr>
          <w:b/>
        </w:rPr>
        <w:t xml:space="preserve"> </w:t>
      </w:r>
      <w:r>
        <w:t>te se  ispod te cijene na petom ročištu za javnu dražbu nekretnine ne mogu prodati.</w:t>
      </w:r>
    </w:p>
    <w:p w:rsidRDefault="00294D89" w:rsidP="00294D89" w:rsidR="00294D89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294D89" w:rsidP="00294D89" w:rsidR="00294D89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10% od početne prodajne cijene nekretnina i pokretnina za koje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St-91/15. Kupcu nekretnina jamčevina se uračunava u kupoprodajnu cijenu, a ostalima se vraća odmah nakon zaključenja javne dražbe.</w:t>
      </w:r>
    </w:p>
    <w:p w:rsidRDefault="00294D89" w:rsidP="00294D89" w:rsidR="00294D89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i pokretnina određene grupe koje nisu obuhvaćene njihovim razlučnim pravom.</w:t>
      </w:r>
    </w:p>
    <w:p w:rsidRDefault="00294D89" w:rsidP="00294D89" w:rsidR="00294D89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nekretnina, na račun sudskog depozita navedenog u točki 3. uvjeta prodaje ovog zaključka. Ako kupac u tom roku ne položi kupovninu, smatrat će se da je </w:t>
      </w:r>
      <w:r>
        <w:lastRenderedPageBreak/>
        <w:t xml:space="preserve">odustao od kupnje, a iz položene jamčevine namirit će se troškovi nove prodaje i naknaditi razlika između kupovnine postignute na prijašnjoj i novoj dražbi. Ako bude više ponuditelja, sud će u rješenju o dosudi odrediti  da će se nekretnine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294D89" w:rsidP="00294D89" w:rsidR="00294D89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dosuđenim nekretninama u korist kupca, te brisati prava i terete na nekretninama koji prestaju njihovom prodajom.</w:t>
      </w:r>
    </w:p>
    <w:p w:rsidRDefault="00294D89" w:rsidP="00294D89" w:rsidR="00294D89">
      <w:pPr>
        <w:numPr>
          <w:ilvl w:val="0"/>
          <w:numId w:val="48"/>
        </w:numPr>
        <w:spacing w:after="0"/>
        <w:jc w:val="both"/>
      </w:pPr>
      <w:r>
        <w:t>Nekretnina pod točkom I.a) ovog zaključka nije legalizirana, te se prodaje sukladno postojećem upisu u zemljišne knjige po načelu "viđeno-kupljeno", bez daljnjih prigovora kupca.</w:t>
      </w:r>
    </w:p>
    <w:p w:rsidRDefault="00294D89" w:rsidP="00294D89" w:rsidR="00294D89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nekretnine i pokretnine koje su predmet prodaje uz prethodni dogovor sa stečajnim upraviteljem Stankom Makar, dipl. oec. iz Ludbrega, na broj 091 2010001, svakog radnog dana od 8,00-15,00 sati.</w:t>
      </w:r>
    </w:p>
    <w:p w:rsidRDefault="00294D89" w:rsidP="00294D89" w:rsidR="00294D89">
      <w:pPr>
        <w:pStyle w:val="Tijeloteksta"/>
        <w:tabs>
          <w:tab w:pos="1260" w:val="left"/>
        </w:tabs>
        <w:spacing w:after="0"/>
      </w:pPr>
    </w:p>
    <w:p w:rsidRDefault="00294D89" w:rsidP="00294D89" w:rsidR="00294D89">
      <w:pPr>
        <w:pStyle w:val="Tijeloteksta"/>
        <w:tabs>
          <w:tab w:pos="1260" w:val="left"/>
        </w:tabs>
        <w:spacing w:after="0"/>
        <w:ind w:left="720"/>
      </w:pPr>
    </w:p>
    <w:p w:rsidRDefault="00294D89" w:rsidP="00294D89" w:rsidR="00294D89">
      <w:pPr>
        <w:pStyle w:val="Tijeloteksta"/>
        <w:tabs>
          <w:tab w:pos="1260" w:val="left"/>
        </w:tabs>
        <w:spacing w:after="0"/>
        <w:ind w:left="720"/>
      </w:pPr>
    </w:p>
    <w:p w:rsidRDefault="00294D89" w:rsidP="00294D89" w:rsidR="00294D89">
      <w:pPr>
        <w:tabs>
          <w:tab w:pos="1260" w:val="left"/>
        </w:tabs>
        <w:spacing w:after="0"/>
        <w:jc w:val="center"/>
      </w:pPr>
      <w:r>
        <w:t>U Varaždinu, 29. ožujka 2017. godine</w:t>
      </w:r>
    </w:p>
    <w:p w:rsidRDefault="00294D89" w:rsidP="00294D89" w:rsidR="00294D89">
      <w:pPr>
        <w:tabs>
          <w:tab w:pos="1260" w:val="left"/>
        </w:tabs>
        <w:spacing w:after="0"/>
        <w:jc w:val="center"/>
      </w:pPr>
    </w:p>
    <w:p w:rsidRDefault="00294D89" w:rsidP="00294D89" w:rsidR="00294D89">
      <w:pPr>
        <w:tabs>
          <w:tab w:pos="1260" w:val="left"/>
        </w:tabs>
        <w:spacing w:after="0"/>
        <w:jc w:val="both"/>
      </w:pPr>
    </w:p>
    <w:p w:rsidRDefault="00294D89" w:rsidP="00294D89" w:rsidR="00294D89">
      <w:pPr>
        <w:tabs>
          <w:tab w:pos="1260" w:val="left"/>
        </w:tabs>
        <w:spacing w:after="0"/>
        <w:jc w:val="both"/>
      </w:pPr>
      <w:r>
        <w:tab/>
      </w:r>
    </w:p>
    <w:p w:rsidRDefault="00294D89" w:rsidP="00294D89" w:rsidR="00294D89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94D89" w:rsidP="00294D89" w:rsidR="00294D89">
      <w:pPr>
        <w:tabs>
          <w:tab w:pos="1260" w:val="left"/>
        </w:tabs>
        <w:spacing w:after="0"/>
        <w:jc w:val="both"/>
      </w:pPr>
    </w:p>
    <w:p w:rsidRDefault="00294D89" w:rsidP="00294D89" w:rsidR="00294D89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294D89" w:rsidP="00294D89" w:rsidR="00294D89">
      <w:pPr>
        <w:tabs>
          <w:tab w:pos="1260" w:val="left"/>
        </w:tabs>
        <w:spacing w:after="0"/>
        <w:jc w:val="both"/>
      </w:pPr>
    </w:p>
    <w:p w:rsidRDefault="00294D89" w:rsidP="00294D89" w:rsidR="00294D89">
      <w:pPr>
        <w:tabs>
          <w:tab w:pos="1260" w:val="left"/>
        </w:tabs>
        <w:spacing w:after="0"/>
        <w:jc w:val="both"/>
      </w:pPr>
    </w:p>
    <w:p w:rsidRDefault="00294D89" w:rsidP="00294D89" w:rsidR="00294D89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294D89" w:rsidP="00294D89" w:rsidR="00294D89">
      <w:pPr>
        <w:tabs>
          <w:tab w:pos="1260" w:val="left"/>
        </w:tabs>
        <w:spacing w:after="0"/>
        <w:jc w:val="both"/>
      </w:pPr>
    </w:p>
    <w:p w:rsidRDefault="00294D89" w:rsidP="00294D89" w:rsidR="00294D89">
      <w:pPr>
        <w:tabs>
          <w:tab w:pos="1260" w:val="left"/>
        </w:tabs>
        <w:spacing w:after="0"/>
        <w:jc w:val="both"/>
      </w:pPr>
    </w:p>
    <w:p w:rsidRDefault="00294D89" w:rsidP="00294D89" w:rsidR="00294D89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294D89" w:rsidP="00294D89" w:rsidR="00294D89">
      <w:pPr>
        <w:tabs>
          <w:tab w:pos="1260" w:val="left"/>
        </w:tabs>
        <w:spacing w:after="0"/>
        <w:jc w:val="both"/>
      </w:pPr>
    </w:p>
    <w:p w:rsidRDefault="00294D89" w:rsidP="00294D89" w:rsidR="00294D89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294D89" w:rsidP="00294D89" w:rsidR="00294D89">
      <w:pPr>
        <w:tabs>
          <w:tab w:pos="1260" w:val="left"/>
        </w:tabs>
        <w:spacing w:after="0"/>
        <w:jc w:val="both"/>
      </w:pPr>
    </w:p>
    <w:p w:rsidRDefault="00294D89" w:rsidP="00294D89" w:rsidR="00294D89">
      <w:pPr>
        <w:tabs>
          <w:tab w:pos="1260" w:val="left"/>
        </w:tabs>
        <w:spacing w:after="0"/>
        <w:jc w:val="both"/>
      </w:pPr>
    </w:p>
    <w:p w:rsidRDefault="00294D89" w:rsidP="00294D89" w:rsidR="00294D89">
      <w:pPr>
        <w:tabs>
          <w:tab w:pos="1260" w:val="left"/>
        </w:tabs>
        <w:spacing w:after="0"/>
        <w:jc w:val="both"/>
      </w:pPr>
    </w:p>
    <w:p w:rsidRDefault="00294D89" w:rsidP="00294D89" w:rsidR="00294D89">
      <w:pPr>
        <w:tabs>
          <w:tab w:pos="1260" w:val="left"/>
        </w:tabs>
        <w:spacing w:after="0"/>
        <w:jc w:val="both"/>
      </w:pPr>
    </w:p>
    <w:p w:rsidRDefault="00294D89" w:rsidP="00294D89" w:rsidR="00294D89">
      <w:pPr>
        <w:spacing w:after="0"/>
        <w:jc w:val="both"/>
      </w:pPr>
      <w:r>
        <w:t xml:space="preserve"> DNA: 1. Stečajni upravitelj Stanko Makar, dipl. oec. iz Ludbrega, Petra Zrinskog 3</w:t>
      </w:r>
    </w:p>
    <w:p w:rsidRDefault="00294D89" w:rsidP="00294D89" w:rsidR="00294D89">
      <w:pPr>
        <w:spacing w:after="0"/>
        <w:jc w:val="both"/>
      </w:pPr>
      <w:r>
        <w:t xml:space="preserve">            2. ŽDO Varaždin, građansko-upravni odjel</w:t>
      </w:r>
    </w:p>
    <w:p w:rsidRDefault="00294D89" w:rsidP="00294D89" w:rsidR="00294D89">
      <w:pPr>
        <w:spacing w:after="0"/>
        <w:jc w:val="both"/>
      </w:pPr>
      <w:r>
        <w:t xml:space="preserve">            3. Hypo Alpe-Adria-Bank d.d. Zagreb, Slavonska avenija 6</w:t>
      </w:r>
    </w:p>
    <w:p w:rsidRDefault="00294D89" w:rsidP="00294D89" w:rsidR="00294D89">
      <w:pPr>
        <w:spacing w:after="0"/>
        <w:jc w:val="both"/>
      </w:pPr>
      <w:r>
        <w:t xml:space="preserve">            4. H-ABDUCO d.o.o. Zagreb, Slavonska avenija 6a</w:t>
      </w:r>
    </w:p>
    <w:p w:rsidRDefault="00294D89" w:rsidP="00294D89" w:rsidR="00294D89">
      <w:pPr>
        <w:spacing w:after="0"/>
        <w:jc w:val="both"/>
      </w:pPr>
      <w:r>
        <w:t xml:space="preserve">            5. Erste &amp; Steiermärkische bank d.d., po pun. Daliboru Divić, odvjetniku iz ZOU </w:t>
      </w:r>
    </w:p>
    <w:p w:rsidRDefault="00294D89" w:rsidP="00294D89" w:rsidR="00294D89">
      <w:pPr>
        <w:spacing w:after="0"/>
        <w:jc w:val="both"/>
      </w:pPr>
      <w:r>
        <w:t xml:space="preserve">               Krivačić, Divić i Rajković iz Bjelovara, A. K. Miošića 19</w:t>
      </w:r>
    </w:p>
    <w:p w:rsidRDefault="00294D89" w:rsidP="00294D89" w:rsidR="00294D89">
      <w:pPr>
        <w:spacing w:after="0"/>
        <w:jc w:val="both"/>
      </w:pPr>
      <w:r>
        <w:t xml:space="preserve">            6. B2 KAPITAL d.o.o. Zagreb, Radnička cesta 41</w:t>
      </w:r>
    </w:p>
    <w:p w:rsidRDefault="00294D89" w:rsidP="00294D89" w:rsidR="00294D89">
      <w:pPr>
        <w:spacing w:after="0"/>
        <w:jc w:val="both"/>
      </w:pPr>
      <w:r>
        <w:t xml:space="preserve">            7. e-Oglasna ploča ovoga suda </w:t>
      </w:r>
    </w:p>
    <w:p w:rsidRDefault="00AB4602" w:rsidP="00294D89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CE1" w:rsidP="00537B78" w:rsidR="00543CE1">
      <w:r>
        <w:separator/>
      </w:r>
    </w:p>
  </w:endnote>
  <w:endnote w:id="0" w:type="continuationSeparator">
    <w:p w:rsidRDefault="00543CE1" w:rsidP="00537B78" w:rsidR="00543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CE1" w:rsidP="00537B78" w:rsidR="00543CE1">
      <w:r>
        <w:separator/>
      </w:r>
    </w:p>
  </w:footnote>
  <w:footnote w:id="0" w:type="continuationSeparator">
    <w:p w:rsidRDefault="00543CE1" w:rsidP="00537B78" w:rsidR="00543C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4D89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88C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3CE1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294D89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294D89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54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St-91/2015-50</izvorni_sadrzaj>
    <derivirana_varijabla naziv="DomainObject.Oznaka_1">St-91/2015-50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St-91/2015-50</izvorni_sadrzaj>
    <derivirana_varijabla naziv="DomainObject.PoslovniBrojDokumenta_1">St-91/2015-50</derivirana_varijabla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C00DE-65FF-4A5E-A8D7-0543207A35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1020</properties:Words>
  <properties:Characters>5579</properties:Characters>
  <properties:Lines>142</properties:Lines>
  <properties:Paragraphs>46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2017-03-29T12:31:00Z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St-91/2015-50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