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1c83" w14:paraId="6bc1c83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1B2C76">
        <w:rPr>
          <w:rFonts w:hAnsi="Times New Roman" w:ascii="Times New Roman"/>
        </w:rPr>
        <w:t xml:space="preserve">                          </w:t>
      </w:r>
      <w:r w:rsidR="002775D1" w:rsidRPr="001A1A01">
        <w:rPr>
          <w:rFonts w:hAnsi="Times New Roman" w:ascii="Times New Roman"/>
        </w:rPr>
        <w:t xml:space="preserve"> 3  St-</w:t>
      </w:r>
      <w:r w:rsidR="001B2C76">
        <w:rPr>
          <w:rFonts w:hAnsi="Times New Roman" w:ascii="Times New Roman"/>
        </w:rPr>
        <w:t>2144/2018-27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F97788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C70D1C" w:rsidR="00C70D1C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1B2C76" w:rsidRPr="001B2C76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1B2C76" w:rsidRPr="001B2C76">
        <w:rPr>
          <w:rFonts w:hAnsi="Times New Roman" w:ascii="Times New Roman"/>
        </w:rPr>
        <w:t>Fundurulić</w:t>
      </w:r>
      <w:proofErr w:type="spellEnd"/>
      <w:r w:rsidR="001B2C76" w:rsidRPr="001B2C76">
        <w:rPr>
          <w:rFonts w:hAnsi="Times New Roman" w:ascii="Times New Roman"/>
        </w:rPr>
        <w:t xml:space="preserve"> Perišin, u stečajnom postupku nad Stečajnom masom iza LOTO EXPERT d.o.o. u stečaju, Zagreb, Brazilska 3, OIB: 94489111837, 29. svibnja 2019.,</w:t>
      </w:r>
    </w:p>
    <w:p w:rsidRDefault="001B2C76" w:rsidP="00C70D1C" w:rsidR="001B2C76">
      <w:pPr>
        <w:jc w:val="both"/>
        <w:rPr>
          <w:rFonts w:hAnsi="Times New Roman" w:ascii="Times New Roman"/>
        </w:rPr>
      </w:pPr>
    </w:p>
    <w:p w:rsidRDefault="00733BA9" w:rsidP="00C70D1C" w:rsidR="003E73C0" w:rsidRPr="003E73C0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 w:rsidRPr="003E73C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</w:t>
      </w:r>
      <w:r w:rsidR="003E73C0" w:rsidRPr="003E73C0">
        <w:rPr>
          <w:rFonts w:hAnsi="Times New Roman" w:ascii="Times New Roman"/>
        </w:rPr>
        <w:t>.Pozivaju</w:t>
      </w:r>
      <w:proofErr w:type="spellEnd"/>
      <w:r w:rsidR="003E73C0" w:rsidRPr="003E73C0">
        <w:rPr>
          <w:rFonts w:hAnsi="Times New Roman" w:ascii="Times New Roman"/>
        </w:rPr>
        <w:t xml:space="preserve"> se vjerovnici </w:t>
      </w:r>
      <w:r w:rsidR="00891B28">
        <w:rPr>
          <w:rFonts w:hAnsi="Times New Roman" w:ascii="Times New Roman"/>
        </w:rPr>
        <w:t xml:space="preserve">nižih isplatnih redova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1B2C76" w:rsidRPr="001B2C76">
        <w:rPr>
          <w:rFonts w:hAnsi="Times New Roman" w:ascii="Times New Roman"/>
        </w:rPr>
        <w:t>Ja</w:t>
      </w:r>
      <w:r w:rsidR="001B2C76">
        <w:rPr>
          <w:rFonts w:hAnsi="Times New Roman" w:ascii="Times New Roman"/>
        </w:rPr>
        <w:t xml:space="preserve">nko </w:t>
      </w:r>
      <w:proofErr w:type="spellStart"/>
      <w:r w:rsidR="001B2C76">
        <w:rPr>
          <w:rFonts w:hAnsi="Times New Roman" w:ascii="Times New Roman"/>
        </w:rPr>
        <w:t>Vidiček</w:t>
      </w:r>
      <w:proofErr w:type="spellEnd"/>
      <w:r w:rsidR="001B2C76">
        <w:rPr>
          <w:rFonts w:hAnsi="Times New Roman" w:ascii="Times New Roman"/>
        </w:rPr>
        <w:t>, Zagreb</w:t>
      </w:r>
      <w:r w:rsidR="001B2C76" w:rsidRPr="001B2C76">
        <w:rPr>
          <w:rFonts w:hAnsi="Times New Roman" w:ascii="Times New Roman"/>
        </w:rPr>
        <w:t>, Brazilska 3</w:t>
      </w:r>
      <w:r w:rsidR="001B2C76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7C3A7C" w:rsidP="003E73C0" w:rsidR="003E73C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>.Ročište</w:t>
      </w:r>
      <w:proofErr w:type="spellEnd"/>
      <w:r w:rsidR="003E73C0" w:rsidRPr="003E73C0">
        <w:rPr>
          <w:rFonts w:hAnsi="Times New Roman" w:ascii="Times New Roman"/>
        </w:rPr>
        <w:t xml:space="preserve"> vjerovnika na kojem će se ispitati prijavljene tražbine</w:t>
      </w:r>
      <w:r w:rsidR="008E282E">
        <w:rPr>
          <w:rFonts w:hAnsi="Times New Roman" w:ascii="Times New Roman"/>
        </w:rPr>
        <w:t xml:space="preserve"> –</w:t>
      </w:r>
      <w:r w:rsidR="003E73C0" w:rsidRPr="003E73C0">
        <w:rPr>
          <w:rFonts w:hAnsi="Times New Roman" w:ascii="Times New Roman"/>
        </w:rPr>
        <w:t xml:space="preserve"> </w:t>
      </w:r>
      <w:r w:rsidR="008E282E">
        <w:rPr>
          <w:rFonts w:hAnsi="Times New Roman" w:ascii="Times New Roman"/>
        </w:rPr>
        <w:t xml:space="preserve">posebno </w:t>
      </w:r>
      <w:r w:rsidR="003E73C0" w:rsidRPr="003E73C0">
        <w:rPr>
          <w:rFonts w:hAnsi="Times New Roman" w:ascii="Times New Roman"/>
        </w:rPr>
        <w:t xml:space="preserve">ispitno ročište zakazuje se za </w:t>
      </w:r>
      <w:r w:rsidR="00CC4885">
        <w:rPr>
          <w:rFonts w:hAnsi="Times New Roman" w:ascii="Times New Roman"/>
        </w:rPr>
        <w:t>2</w:t>
      </w:r>
      <w:r w:rsidR="001B2C76">
        <w:rPr>
          <w:rFonts w:hAnsi="Times New Roman" w:ascii="Times New Roman"/>
        </w:rPr>
        <w:t>9</w:t>
      </w:r>
      <w:r w:rsidR="00CC4885">
        <w:rPr>
          <w:rFonts w:hAnsi="Times New Roman" w:ascii="Times New Roman"/>
        </w:rPr>
        <w:t>. kolovoza</w:t>
      </w:r>
      <w:r w:rsidR="008D3CFF">
        <w:rPr>
          <w:rFonts w:hAnsi="Times New Roman" w:ascii="Times New Roman"/>
        </w:rPr>
        <w:t xml:space="preserve"> 201</w:t>
      </w:r>
      <w:r w:rsidR="001B2C76">
        <w:rPr>
          <w:rFonts w:hAnsi="Times New Roman" w:ascii="Times New Roman"/>
        </w:rPr>
        <w:t>9</w:t>
      </w:r>
      <w:r>
        <w:rPr>
          <w:rFonts w:hAnsi="Times New Roman" w:ascii="Times New Roman"/>
        </w:rPr>
        <w:t>. u 1</w:t>
      </w:r>
      <w:r w:rsidR="001B2C76">
        <w:rPr>
          <w:rFonts w:hAnsi="Times New Roman" w:ascii="Times New Roman"/>
        </w:rPr>
        <w:t>0</w:t>
      </w:r>
      <w:r w:rsidR="003E73C0" w:rsidRPr="003E73C0">
        <w:rPr>
          <w:rFonts w:hAnsi="Times New Roman" w:ascii="Times New Roman"/>
        </w:rPr>
        <w:t xml:space="preserve">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E46215" w:rsidP="003E73C0" w:rsidR="00E46215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</w:t>
      </w:r>
      <w:r w:rsidR="00CC4885">
        <w:rPr>
          <w:rFonts w:hAnsi="Times New Roman" w:ascii="Times New Roman"/>
        </w:rPr>
        <w:t>aj</w:t>
      </w:r>
      <w:r w:rsidR="006A650B">
        <w:rPr>
          <w:rFonts w:hAnsi="Times New Roman" w:ascii="Times New Roman"/>
        </w:rPr>
        <w:t>ni upravitelj je podneskom od 28. svibnja 2019</w:t>
      </w:r>
      <w:r w:rsidR="001E2155">
        <w:rPr>
          <w:rFonts w:hAnsi="Times New Roman" w:ascii="Times New Roman"/>
        </w:rPr>
        <w:t>.</w:t>
      </w:r>
      <w:r w:rsidRPr="00F83941">
        <w:rPr>
          <w:rFonts w:hAnsi="Times New Roman" w:ascii="Times New Roman"/>
          <w:color w:val="FF0000"/>
        </w:rPr>
        <w:t xml:space="preserve"> </w:t>
      </w:r>
      <w:r>
        <w:rPr>
          <w:rFonts w:hAnsi="Times New Roman" w:ascii="Times New Roman"/>
        </w:rPr>
        <w:t>obavijestio sud da je isplatio vjerovnike viših isplatnih redova u 100%-om iznosu priznate tražbine pa predlaže da sud pozove vjerovnike nižih isplatnih redova da prijave tražbine.</w:t>
      </w: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</w:p>
    <w:p w:rsidRDefault="00CE06AE" w:rsidP="00187348" w:rsidR="00CE06A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da je nakon namirenja troškova stečajnog postupka i vjerovnika viših isplatnih redova ostalo sredstava, to je temeljem odredbe čl. </w:t>
      </w:r>
      <w:r w:rsidR="00F07C00">
        <w:rPr>
          <w:rFonts w:hAnsi="Times New Roman" w:ascii="Times New Roman"/>
        </w:rPr>
        <w:t>129. i 139., a u svezi čl. 257. i 261. Stečajnog zakona</w:t>
      </w:r>
      <w:r w:rsidR="00F07C00" w:rsidRPr="00F07C00">
        <w:t xml:space="preserve"> </w:t>
      </w:r>
      <w:r w:rsidR="00F07C00" w:rsidRPr="00F07C00">
        <w:rPr>
          <w:rFonts w:hAnsi="Times New Roman" w:ascii="Times New Roman"/>
        </w:rPr>
        <w:t>zakona ("Narodne novine" broj 71/15</w:t>
      </w:r>
      <w:r w:rsidR="00AB7FE0">
        <w:rPr>
          <w:rFonts w:hAnsi="Times New Roman" w:ascii="Times New Roman"/>
        </w:rPr>
        <w:t>, 104/17</w:t>
      </w:r>
      <w:r w:rsidR="00F07C00" w:rsidRPr="00F07C00">
        <w:rPr>
          <w:rFonts w:hAnsi="Times New Roman" w:ascii="Times New Roman"/>
        </w:rPr>
        <w:t>)</w:t>
      </w:r>
      <w:r w:rsidR="00F07C00">
        <w:rPr>
          <w:rFonts w:hAnsi="Times New Roman" w:ascii="Times New Roman"/>
        </w:rPr>
        <w:t>, odlučeno kao u izreci.</w:t>
      </w:r>
    </w:p>
    <w:p w:rsidRDefault="00187348" w:rsidP="00F07C00" w:rsidR="00187348">
      <w:pPr>
        <w:jc w:val="both"/>
        <w:rPr>
          <w:rFonts w:hAnsi="Times New Roman" w:ascii="Times New Roman"/>
        </w:rPr>
      </w:pPr>
    </w:p>
    <w:p w:rsidRDefault="00733BA9" w:rsidP="00F07C00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AB7FE0">
        <w:rPr>
          <w:rFonts w:hAnsi="Times New Roman" w:ascii="Times New Roman"/>
        </w:rPr>
        <w:t>29. svibnja 2019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</w:t>
      </w:r>
      <w:r w:rsidR="001051C3">
        <w:rPr>
          <w:rFonts w:hAnsi="Times New Roman" w:ascii="Times New Roman"/>
        </w:rPr>
        <w:t>n</w:t>
      </w:r>
      <w:r w:rsidR="0066600B">
        <w:rPr>
          <w:rFonts w:hAnsi="Times New Roman" w:ascii="Times New Roman"/>
        </w:rPr>
        <w:t>, v.r.</w:t>
      </w:r>
    </w:p>
    <w:p w:rsidRDefault="0066600B" w:rsidP="00BB6DCD" w:rsidR="0066600B">
      <w:pPr>
        <w:jc w:val="right"/>
        <w:rPr>
          <w:rFonts w:hAnsi="Times New Roman" w:ascii="Times New Roman"/>
        </w:rPr>
      </w:pPr>
    </w:p>
    <w:p w:rsidRDefault="0066600B" w:rsidP="00C339BE" w:rsidR="0066600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6600B" w:rsidP="00BB6DCD" w:rsidR="0066600B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AB7FE0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66600B" w:rsidR="00BA25EA" w:rsidRPr="0066600B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rješenja </w:t>
      </w:r>
      <w:r w:rsidR="00FF4DAD">
        <w:rPr>
          <w:rFonts w:hAnsi="Times New Roman" w:ascii="Times New Roman"/>
        </w:rPr>
        <w:t>nije dopuštena žalba (čl. 290. SZ-a).</w:t>
      </w:r>
    </w:p>
    <w:sectPr w:rsidSect="00AB7FE0" w:rsidR="00BA25EA" w:rsidRPr="0066600B">
      <w:headerReference w:type="default" r:id="rId11"/>
      <w:pgSz w:code="9" w:h="16838" w:w="11906"/>
      <w:pgMar w:gutter="0" w:footer="709" w:header="709" w:left="1418" w:bottom="1418" w:right="1418" w:top="992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00B">
          <w:rPr>
            <w:noProof/>
          </w:rPr>
          <w:t>2</w:t>
        </w:r>
        <w:r>
          <w:fldChar w:fldCharType="end"/>
        </w:r>
      </w:p>
      <w:p w:rsidRDefault="00CB4E4B" w:rsidP="00CB4E4B" w:rsidR="0060670C">
        <w:pPr>
          <w:pStyle w:val="Zaglavlje"/>
          <w:jc w:val="right"/>
        </w:pPr>
        <w:r w:rsidRPr="00CB4E4B">
          <w:rPr>
            <w:rFonts w:hAnsi="Times New Roman" w:ascii="Times New Roman"/>
          </w:rPr>
          <w:t>3  St-443/18-11</w:t>
        </w:r>
      </w:p>
    </w:sdtContent>
  </w:sdt>
  <w:p w:rsidRDefault="00C808D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77484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3046B"/>
    <w:rsid w:val="00144FF4"/>
    <w:rsid w:val="00164E08"/>
    <w:rsid w:val="00175FBE"/>
    <w:rsid w:val="00181C25"/>
    <w:rsid w:val="00185C08"/>
    <w:rsid w:val="00187348"/>
    <w:rsid w:val="0019399D"/>
    <w:rsid w:val="001A1A01"/>
    <w:rsid w:val="001B2C76"/>
    <w:rsid w:val="001B6B85"/>
    <w:rsid w:val="001C1087"/>
    <w:rsid w:val="001C1992"/>
    <w:rsid w:val="001E2155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63A2"/>
    <w:rsid w:val="00445660"/>
    <w:rsid w:val="00456E7D"/>
    <w:rsid w:val="00463DC9"/>
    <w:rsid w:val="004C28B3"/>
    <w:rsid w:val="0050375D"/>
    <w:rsid w:val="005146E1"/>
    <w:rsid w:val="00514B96"/>
    <w:rsid w:val="0052756B"/>
    <w:rsid w:val="00547FD2"/>
    <w:rsid w:val="005A635F"/>
    <w:rsid w:val="005C3DA6"/>
    <w:rsid w:val="005C7798"/>
    <w:rsid w:val="005F06BF"/>
    <w:rsid w:val="005F7E02"/>
    <w:rsid w:val="00601A6F"/>
    <w:rsid w:val="00605692"/>
    <w:rsid w:val="00646ADE"/>
    <w:rsid w:val="0066600B"/>
    <w:rsid w:val="006753BD"/>
    <w:rsid w:val="00685855"/>
    <w:rsid w:val="006862D5"/>
    <w:rsid w:val="006A650B"/>
    <w:rsid w:val="006A7CBC"/>
    <w:rsid w:val="006D50C3"/>
    <w:rsid w:val="007050E4"/>
    <w:rsid w:val="007230A2"/>
    <w:rsid w:val="00733BA9"/>
    <w:rsid w:val="007427AF"/>
    <w:rsid w:val="00771B72"/>
    <w:rsid w:val="00775029"/>
    <w:rsid w:val="007C3A7C"/>
    <w:rsid w:val="007D2766"/>
    <w:rsid w:val="007F50E6"/>
    <w:rsid w:val="008028D1"/>
    <w:rsid w:val="00813D04"/>
    <w:rsid w:val="00827435"/>
    <w:rsid w:val="0083040F"/>
    <w:rsid w:val="00845325"/>
    <w:rsid w:val="00851FD4"/>
    <w:rsid w:val="00852FB9"/>
    <w:rsid w:val="00866493"/>
    <w:rsid w:val="008753F6"/>
    <w:rsid w:val="00891B28"/>
    <w:rsid w:val="008A2687"/>
    <w:rsid w:val="008D284A"/>
    <w:rsid w:val="008D3CFF"/>
    <w:rsid w:val="008E282E"/>
    <w:rsid w:val="008E630B"/>
    <w:rsid w:val="00911086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B7FE0"/>
    <w:rsid w:val="00AC09A6"/>
    <w:rsid w:val="00AE1E7E"/>
    <w:rsid w:val="00B028D4"/>
    <w:rsid w:val="00B02EB8"/>
    <w:rsid w:val="00B10043"/>
    <w:rsid w:val="00B12C85"/>
    <w:rsid w:val="00B531B6"/>
    <w:rsid w:val="00B606F8"/>
    <w:rsid w:val="00B6717B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70D1C"/>
    <w:rsid w:val="00C808D3"/>
    <w:rsid w:val="00C90F88"/>
    <w:rsid w:val="00CB4E4B"/>
    <w:rsid w:val="00CC4885"/>
    <w:rsid w:val="00CE06AE"/>
    <w:rsid w:val="00CF5826"/>
    <w:rsid w:val="00D42E48"/>
    <w:rsid w:val="00D636DC"/>
    <w:rsid w:val="00D755C4"/>
    <w:rsid w:val="00D930C1"/>
    <w:rsid w:val="00D95453"/>
    <w:rsid w:val="00DA042E"/>
    <w:rsid w:val="00DA7D50"/>
    <w:rsid w:val="00DB041C"/>
    <w:rsid w:val="00DB29A3"/>
    <w:rsid w:val="00E15289"/>
    <w:rsid w:val="00E1614E"/>
    <w:rsid w:val="00E35DA4"/>
    <w:rsid w:val="00E46215"/>
    <w:rsid w:val="00E5782A"/>
    <w:rsid w:val="00E64B06"/>
    <w:rsid w:val="00EC642C"/>
    <w:rsid w:val="00EE219B"/>
    <w:rsid w:val="00EE7303"/>
    <w:rsid w:val="00F07C00"/>
    <w:rsid w:val="00F115F0"/>
    <w:rsid w:val="00F2118C"/>
    <w:rsid w:val="00F6249D"/>
    <w:rsid w:val="00F633CE"/>
    <w:rsid w:val="00F75C06"/>
    <w:rsid w:val="00F83941"/>
    <w:rsid w:val="00F97788"/>
    <w:rsid w:val="00FB08D4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0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0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-posebno ispitno ročište</izvorni_sadrzaj>
    <derivirana_varijabla naziv="DomainObject.Primjedba_1">-posebno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LOTO EXPERT d.o.o. u stečaju</izvorni_sadrzaj>
    <derivirana_varijabla naziv="DomainObject.Predmet.ProtustrankaFormated_1">  Stečajna masa iza LOTO EXPERT d.o.o. u stečaju</derivirana_varijabla>
  </DomainObject.Predmet.ProtustrankaFormated>
  <DomainObject.Predmet.ProtustrankaFormatedOIB>
    <izvorni_sadrzaj>  Stečajna masa iza LOTO EXPERT d.o.o. u stečaju, OIB 94489111837</izvorni_sadrzaj>
    <derivirana_varijabla naziv="DomainObject.Predmet.ProtustrankaFormatedOIB_1">  Stečajna masa iza LOTO EXPERT d.o.o. u stečaju, OIB 94489111837</derivirana_varijabla>
  </DomainObject.Predmet.ProtustrankaFormatedOIB>
  <DomainObject.Predmet.ProtustrankaFormatedWithAdress>
    <izvorni_sadrzaj> Stečajna masa iza LOTO EXPERT d.o.o. u stečaju, Brazilska 3, 10000 Zagreb</izvorni_sadrzaj>
    <derivirana_varijabla naziv="DomainObject.Predmet.ProtustrankaFormatedWithAdress_1"> Stečajna masa iza LOTO EXPERT d.o.o. u stečaju, Brazilska 3, 10000 Zagreb</derivirana_varijabla>
  </DomainObject.Predmet.ProtustrankaFormatedWithAdress>
  <DomainObject.Predmet.ProtustrankaFormatedWithAdressOIB>
    <izvorni_sadrzaj> Stečajna masa iza LOTO EXPERT d.o.o. u stečaju, OIB 94489111837, Brazilska 3, 10000 Zagreb</izvorni_sadrzaj>
    <derivirana_varijabla naziv="DomainObject.Predmet.ProtustrankaFormatedWithAdressOIB_1"> Stečajna masa iza LOTO EXPERT d.o.o. u stečaju, OIB 94489111837, Brazilska 3, 10000 Zagreb</derivirana_varijabla>
  </DomainObject.Predmet.ProtustrankaFormatedWithAdressOIB>
  <DomainObject.Predmet.ProtustrankaWithAdress>
    <izvorni_sadrzaj>Stečajna masa iza LOTO EXPERT d.o.o. u stečaju Brazilska 3, 10000 Zagreb</izvorni_sadrzaj>
    <derivirana_varijabla naziv="DomainObject.Predmet.ProtustrankaWithAdress_1">Stečajna masa iza LOTO EXPERT d.o.o. u stečaju Brazilska 3, 10000 Zagreb</derivirana_varijabla>
  </DomainObject.Predmet.ProtustrankaWithAdress>
  <DomainObject.Predmet.ProtustrankaWithAdressOIB>
    <izvorni_sadrzaj>Stečajna masa iza LOTO EXPERT d.o.o. u stečaju, OIB 94489111837, Brazilska 3, 10000 Zagreb</izvorni_sadrzaj>
    <derivirana_varijabla naziv="DomainObject.Predmet.ProtustrankaWithAdressOIB_1">Stečajna masa iza LOTO EXPERT d.o.o. u stečaju, OIB 94489111837, Brazilska 3, 10000 Zagreb</derivirana_varijabla>
  </DomainObject.Predmet.ProtustrankaWithAdressOIB>
  <DomainObject.Predmet.ProtustrankaNazivFormated>
    <izvorni_sadrzaj>Stečajna masa iza LOTO EXPERT d.o.o. u stečaju</izvorni_sadrzaj>
    <derivirana_varijabla naziv="DomainObject.Predmet.ProtustrankaNazivFormated_1">Stečajna masa iza LOTO EXPERT d.o.o. u stečaju</derivirana_varijabla>
  </DomainObject.Predmet.ProtustrankaNazivFormated>
  <DomainObject.Predmet.ProtustrankaNazivFormatedOIB>
    <izvorni_sadrzaj>Stečajna masa iza LOTO EXPERT d.o.o. u stečaju, OIB 94489111837</izvorni_sadrzaj>
    <derivirana_varijabla naziv="DomainObject.Predmet.ProtustrankaNazivFormatedOIB_1">Stečajna masa iza LOTO EXPERT d.o.o. u stečaju, OIB 94489111837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LOTO EXPERT d.o.o. u stečaju</item>
    </izvorni_sadrzaj>
    <derivirana_varijabla naziv="DomainObject.Predmet.ProtuStrankaListFormated_1">
      <item>Stečajna masa iza LOTO EXPERT d.o.o. u stečaju</item>
    </derivirana_varijabla>
  </DomainObject.Predmet.ProtuStrankaListFormated>
  <DomainObject.Predmet.ProtuStrankaListFormatedOIB>
    <izvorni_sadrzaj>
      <item>Stečajna masa iza LOTO EXPERT d.o.o. u stečaju, OIB 94489111837</item>
    </izvorni_sadrzaj>
    <derivirana_varijabla naziv="DomainObject.Predmet.ProtuStrankaListFormatedOIB_1">
      <item>Stečajna masa iza LOTO EXPERT d.o.o. u stečaju, OIB 94489111837</item>
    </derivirana_varijabla>
  </DomainObject.Predmet.ProtuStrankaListFormatedOIB>
  <DomainObject.Predmet.ProtuStrankaListFormatedWithAdress>
    <izvorni_sadrzaj>
      <item>Stečajna masa iza LOTO EXPERT d.o.o. u stečaju, Brazilska 3, 10000 Zagreb</item>
    </izvorni_sadrzaj>
    <derivirana_varijabla naziv="DomainObject.Predmet.ProtuStrankaListFormatedWithAdress_1">
      <item>Stečajna masa iza LOTO EXPERT d.o.o. u stečaju, Brazilska 3, 10000 Zagreb</item>
    </derivirana_varijabla>
  </DomainObject.Predmet.ProtuStrankaListFormatedWithAdress>
  <DomainObject.Predmet.ProtuStrankaListFormatedWithAdressOIB>
    <izvorni_sadrzaj>
      <item>Stečajna masa iza LOTO EXPERT d.o.o. u stečaju, OIB 94489111837, Brazilska 3, 10000 Zagreb</item>
    </izvorni_sadrzaj>
    <derivirana_varijabla naziv="DomainObject.Predmet.ProtuStrankaListFormatedWithAdressOIB_1">
      <item>Stečajna masa iza LOTO EXPERT d.o.o. u stečaju, OIB 94489111837, Brazilska 3, 10000 Zagreb</item>
    </derivirana_varijabla>
  </DomainObject.Predmet.ProtuStrankaListFormatedWithAdressOIB>
  <DomainObject.Predmet.ProtuStrankaListNazivFormated>
    <izvorni_sadrzaj>
      <item>Stečajna masa iza LOTO EXPERT d.o.o. u stečaju</item>
    </izvorni_sadrzaj>
    <derivirana_varijabla naziv="DomainObject.Predmet.ProtuStrankaListNazivFormated_1">
      <item>Stečajna masa iza LOTO EXPERT d.o.o. u stečaju</item>
    </derivirana_varijabla>
  </DomainObject.Predmet.ProtuStrankaListNazivFormated>
  <DomainObject.Predmet.ProtuStrankaListNazivFormatedOIB>
    <izvorni_sadrzaj>
      <item>Stečajna masa iza LOTO EXPERT d.o.o. u stečaju, OIB 94489111837</item>
    </izvorni_sadrzaj>
    <derivirana_varijabla naziv="DomainObject.Predmet.ProtuStrankaListNazivFormatedOIB_1">
      <item>Stečajna masa iza LOTO EXPERT d.o.o. u stečaju, OIB 94489111837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LOTO EXPERT d.o.o. u stečaju</izvorni_sadrzaj>
    <derivirana_varijabla naziv="DomainObject.Predmet.ProtustrankaIDrugi_1">Stečajna masa iza LOTO EXPERT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LOTO EXPERT d.o.o. u stečaju, OIB 94489111837, Brazilska 3, 10000 Zagreb</izvorni_sadrzaj>
    <derivirana_varijabla naziv="DomainObject.Predmet.ProtustrankaIDrugiAdressOIB_1">Stečajna masa iza LOTO EXPERT d.o.o. u stečaju, OIB 94489111837,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LOTO EXPERT d.o.o. u stečaju</item>
      <item>FINA Regionalni centar Zagreb</item>
    </izvorni_sadrzaj>
    <derivirana_varijabla naziv="DomainObject.Predmet.SudioniciListNaziv_1">
      <item>Stečajna masa iza LOTO EXPERT d.o.o. u stečaju</item>
      <item>FINA Regionalni centar Zagreb</item>
    </derivirana_varijabla>
  </DomainObject.Predmet.SudioniciListNaziv>
  <DomainObject.Predmet.SudioniciListAdressOIB>
    <izvorni_sadrzaj>
      <item>Stečajna masa iza LOTO EXPERT d.o.o. u stečaju, OIB 94489111837, Brazilska 3,10000 Zagreb</item>
      <item>FINA Regionalni centar Zagreb, OIB 85821130368, Trg svibanjskih žrtava 1995. 1,10000 Zagreb</item>
    </izvorni_sadrzaj>
    <derivirana_varijabla naziv="DomainObject.Predmet.SudioniciListAdressOIB_1">
      <item>Stečajna masa iza LOTO EXPERT d.o.o. u stečaju, OIB 94489111837, Brazilska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94489111837</item>
      <item>, OIB 85821130368</item>
    </izvorni_sadrzaj>
    <derivirana_varijabla naziv="DomainObject.Predmet.SudioniciListNazivOIB_1">
      <item>, OIB 94489111837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St-2144/2018-23</izvorni_sadrzaj>
    <derivirana_varijabla naziv="DomainObject.PredzadnjaOdlukaIzPredmeta.Oznaka_1">St-2144/2018-23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D29FA-BBC2-4B76-8307-F47617D4C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1651</properties:Characters>
  <properties:Lines>47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2019-05-29T10:22:00Z</dcterms:created>
  <dc:creator>Gordana Grčić</dc:creator>
  <cp:lastModifiedBy>Gordana Cvitković</cp:lastModifiedBy>
  <cp:lastPrinted>2019-05-29T10:54:00Z</cp:lastPrinted>
  <dcterms:modified xmlns:xsi="http://www.w3.org/2001/XMLSchema-instance" xsi:type="dcterms:W3CDTF">2019-05-29T10:55:00Z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(St-2144-2018 rješenje-posebno isp.-niži isplatni redovi.docx)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