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0692" w14:paraId="2270692" w:rsidRDefault="00A003B7" w:rsidP="00A003B7" w:rsidR="00A003B7">
      <w:pPr>
        <w:pStyle w:val="Bezproreda"/>
        <w15:collapsed w:val="false"/>
        <w:rPr>
          <w:rFonts w:cs="Arial"/>
        </w:rPr>
      </w:pPr>
      <w:bookmarkStart w:name="_GoBack" w:id="0"/>
      <w:bookmarkEnd w:id="0"/>
      <w:r>
        <w:t xml:space="preserve">                   </w:t>
      </w:r>
      <w:r>
        <w:rPr>
          <w:rFonts w:cs="Arial"/>
          <w:noProof/>
        </w:rPr>
        <w:drawing>
          <wp:inline distR="0" distL="0" distB="0" distT="0">
            <wp:extent cy="724535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</w:rPr>
        <w:t xml:space="preserve"> </w:t>
      </w:r>
    </w:p>
    <w:p w:rsidRDefault="00A003B7" w:rsidP="00A003B7" w:rsidR="00A003B7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A003B7" w:rsidP="00A003B7" w:rsidR="00A003B7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003B7" w:rsidP="00A003B7" w:rsidR="00A003B7">
      <w:pPr>
        <w:pStyle w:val="Bezproreda"/>
      </w:pPr>
      <w:r>
        <w:t xml:space="preserve">                     </w:t>
      </w:r>
      <w:r>
        <w:rPr>
          <w:lang w:val="pt-BR"/>
        </w:rPr>
        <w:t>B. Radić</w:t>
      </w:r>
      <w:r>
        <w:t xml:space="preserve"> 2                                                                Poslovni broj: 1 St-104/15-13</w:t>
      </w:r>
    </w:p>
    <w:p w:rsidRDefault="00A003B7" w:rsidP="00A003B7" w:rsidR="00A003B7">
      <w:pPr>
        <w:jc w:val="center"/>
      </w:pPr>
    </w:p>
    <w:p w:rsidRDefault="00A003B7" w:rsidP="00FF3E18" w:rsidR="00A003B7">
      <w:pPr>
        <w:pStyle w:val="Bezproreda"/>
        <w:jc w:val="center"/>
      </w:pPr>
      <w:r>
        <w:t>R E P U B L I K A   H R V A T S K A</w:t>
      </w:r>
    </w:p>
    <w:p w:rsidRDefault="00A003B7" w:rsidP="00FF3E18" w:rsidR="00A003B7">
      <w:pPr>
        <w:pStyle w:val="Bezproreda"/>
        <w:jc w:val="center"/>
      </w:pPr>
      <w:r>
        <w:t>R J E Š E NJ E</w:t>
      </w:r>
    </w:p>
    <w:p w:rsidRDefault="00A003B7" w:rsidP="00FF3E18" w:rsidR="00A003B7">
      <w:pPr>
        <w:ind w:firstLine="720"/>
        <w:jc w:val="both"/>
      </w:pPr>
      <w:r>
        <w:t>Trgovački sud u Varaždinu po sucu toga suda Radovanu Raduki, kao stečajnom sucu, u stečajnom predmetu nad stečajnim dužnikom GRADUS d.o.o. u stečaju, Varaždin, 4. studenoga 2015.</w:t>
      </w:r>
    </w:p>
    <w:p w:rsidRDefault="00A003B7" w:rsidP="00FF3E18" w:rsidR="00A003B7" w:rsidRPr="00FF3E18">
      <w:pPr>
        <w:jc w:val="center"/>
      </w:pPr>
      <w:r>
        <w:t>r i j e š i o   j e</w:t>
      </w:r>
    </w:p>
    <w:p w:rsidRDefault="00A003B7" w:rsidP="00A003B7" w:rsidR="00A003B7">
      <w:pPr>
        <w:ind w:left="720"/>
        <w:jc w:val="both"/>
      </w:pPr>
      <w:r>
        <w:t xml:space="preserve"> I. Utvrđene tražbine viših isplatnih redova u kunama:</w:t>
      </w:r>
    </w:p>
    <w:p w:rsidRDefault="00A003B7" w:rsidP="00A003B7" w:rsidR="00A003B7">
      <w:pPr>
        <w:ind w:left="720"/>
        <w:jc w:val="both"/>
      </w:pPr>
    </w:p>
    <w:tbl>
      <w:tblPr>
        <w:tblW w:type="dxa" w:w="8472"/>
        <w:tblLook w:val="04A0" w:noVBand="1" w:noHBand="0" w:lastColumn="0" w:firstColumn="1" w:lastRow="0" w:firstRow="1"/>
      </w:tblPr>
      <w:tblGrid>
        <w:gridCol w:w="924"/>
        <w:gridCol w:w="2516"/>
        <w:gridCol w:w="1545"/>
        <w:gridCol w:w="1514"/>
        <w:gridCol w:w="1545"/>
        <w:gridCol w:w="1244"/>
      </w:tblGrid>
      <w:tr w:rsidTr="00A003B7" w:rsidR="00A003B7">
        <w:tc>
          <w:tcPr>
            <w:tcW w:type="dxa" w:w="817"/>
            <w:tcBorders>
              <w:top w:space="0" w:sz="24" w:color="auto" w:val="thinThickSmallGap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rPr>
                <w:b/>
              </w:rPr>
            </w:pP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Redni broj prijave</w:t>
            </w:r>
          </w:p>
        </w:tc>
        <w:tc>
          <w:tcPr>
            <w:tcW w:type="dxa" w:w="2359"/>
            <w:tcBorders>
              <w:top w:space="0" w:sz="24" w:color="auto" w:val="thinThickSmallGap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jc w:val="center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jc w:val="center"/>
              <w:rPr>
                <w:b/>
              </w:rPr>
            </w:pPr>
          </w:p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Naziv tvrtke odnosno ime, prezime i mjesto prijavitelja tražbine</w:t>
            </w:r>
          </w:p>
        </w:tc>
        <w:tc>
          <w:tcPr>
            <w:tcW w:type="dxa" w:w="1468"/>
            <w:tcBorders>
              <w:top w:space="0" w:sz="24" w:color="auto" w:val="thinThickSmallGap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jc w:val="center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jc w:val="center"/>
              <w:rPr>
                <w:b/>
              </w:rPr>
            </w:pPr>
          </w:p>
          <w:p w:rsidRDefault="00A003B7" w:rsidR="00A003B7">
            <w:pPr>
              <w:spacing w:lineRule="auto" w:line="276"/>
              <w:jc w:val="center"/>
              <w:rPr>
                <w:b/>
              </w:rPr>
            </w:pPr>
            <w:r>
              <w:rPr>
                <w:b/>
              </w:rPr>
              <w:t>Visina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tražbine</w:t>
            </w:r>
          </w:p>
        </w:tc>
        <w:tc>
          <w:tcPr>
            <w:tcW w:type="dxa" w:w="1276"/>
            <w:tcBorders>
              <w:top w:space="0" w:sz="24" w:color="auto" w:val="thinThickSmallGap"/>
              <w:left w:val="nil"/>
              <w:bottom w:val="nil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jc w:val="center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jc w:val="center"/>
              <w:rPr>
                <w:b/>
              </w:rPr>
            </w:pPr>
          </w:p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Visina osporene tražbine</w:t>
            </w:r>
          </w:p>
        </w:tc>
        <w:tc>
          <w:tcPr>
            <w:tcW w:type="dxa" w:w="1418"/>
            <w:tcBorders>
              <w:top w:space="0" w:sz="24" w:color="auto" w:val="thinThickSmallGap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jc w:val="center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jc w:val="center"/>
              <w:rPr>
                <w:b/>
              </w:rPr>
            </w:pPr>
          </w:p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Iznos utvrđene tražbine</w:t>
            </w:r>
          </w:p>
        </w:tc>
        <w:tc>
          <w:tcPr>
            <w:tcW w:type="dxa" w:w="1134"/>
            <w:tcBorders>
              <w:top w:space="0" w:sz="24" w:color="auto" w:val="thinThickSmallGap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rPr>
                <w:b/>
              </w:rPr>
            </w:pPr>
          </w:p>
          <w:p w:rsidRDefault="00A003B7" w:rsidR="00A003B7">
            <w:pPr>
              <w:spacing w:lineRule="auto" w:line="276"/>
              <w:rPr>
                <w:b/>
              </w:rPr>
            </w:pPr>
            <w:r>
              <w:rPr>
                <w:b/>
              </w:rPr>
              <w:t>Utvrđen red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namirenja</w:t>
            </w:r>
          </w:p>
        </w:tc>
      </w:tr>
      <w:tr w:rsidTr="00A003B7" w:rsidR="00A003B7">
        <w:tc>
          <w:tcPr>
            <w:tcW w:type="dxa" w:w="817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235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6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276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134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</w:tr>
      <w:tr w:rsidTr="00A003B7" w:rsidR="00A003B7">
        <w:tc>
          <w:tcPr>
            <w:tcW w:type="dxa" w:w="817"/>
            <w:tcBorders>
              <w:top w:val="nil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  <w:tc>
          <w:tcPr>
            <w:tcW w:type="dxa" w:w="2359"/>
            <w:tcBorders>
              <w:top w:val="nil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  <w:tc>
          <w:tcPr>
            <w:tcW w:type="dxa" w:w="1468"/>
            <w:tcBorders>
              <w:top w:val="nil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  <w:tc>
          <w:tcPr>
            <w:tcW w:type="dxa" w:w="1276"/>
            <w:tcBorders>
              <w:top w:val="nil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lang w:val="en-US"/>
              </w:rPr>
            </w:pPr>
          </w:p>
        </w:tc>
        <w:tc>
          <w:tcPr>
            <w:tcW w:type="dxa" w:w="1134"/>
            <w:tcBorders>
              <w:top w:val="nil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</w:tr>
      <w:tr w:rsidTr="00A003B7" w:rsidR="00A003B7">
        <w:tc>
          <w:tcPr>
            <w:tcW w:type="dxa" w:w="817"/>
            <w:tcBorders>
              <w:top w:space="0" w:sz="12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</w:t>
            </w:r>
          </w:p>
        </w:tc>
        <w:tc>
          <w:tcPr>
            <w:tcW w:type="dxa" w:w="2359"/>
            <w:tcBorders>
              <w:top w:space="0" w:sz="12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  <w:tc>
          <w:tcPr>
            <w:tcW w:type="dxa" w:w="1468"/>
            <w:tcBorders>
              <w:top w:space="0" w:sz="12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3</w:t>
            </w:r>
          </w:p>
        </w:tc>
        <w:tc>
          <w:tcPr>
            <w:tcW w:type="dxa" w:w="1276"/>
            <w:tcBorders>
              <w:top w:space="0" w:sz="12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4</w:t>
            </w:r>
          </w:p>
        </w:tc>
        <w:tc>
          <w:tcPr>
            <w:tcW w:type="dxa" w:w="1418"/>
            <w:tcBorders>
              <w:top w:space="0" w:sz="12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5</w:t>
            </w:r>
          </w:p>
        </w:tc>
        <w:tc>
          <w:tcPr>
            <w:tcW w:type="dxa" w:w="1134"/>
            <w:tcBorders>
              <w:top w:space="0" w:sz="12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center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6</w:t>
            </w:r>
          </w:p>
        </w:tc>
      </w:tr>
      <w:tr w:rsidTr="00A003B7" w:rsidR="00A003B7">
        <w:tc>
          <w:tcPr>
            <w:tcW w:type="dxa" w:w="817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2359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Tražbine radnika:</w:t>
            </w:r>
          </w:p>
          <w:p w:rsidRDefault="00A003B7" w:rsidR="00A003B7">
            <w:pPr>
              <w:spacing w:lineRule="auto" w:line="276"/>
            </w:pPr>
            <w:r>
              <w:t>CAFUK VELIMIR</w:t>
            </w:r>
          </w:p>
          <w:p w:rsidRDefault="00A003B7" w:rsidR="00A003B7">
            <w:pPr>
              <w:spacing w:lineRule="auto" w:line="276"/>
              <w:rPr>
                <w:b/>
              </w:rPr>
            </w:pPr>
            <w:r>
              <w:t>CRLENI MARIJAN</w:t>
            </w:r>
          </w:p>
          <w:p w:rsidRDefault="00A003B7" w:rsidR="00A003B7">
            <w:pPr>
              <w:spacing w:lineRule="auto" w:line="276"/>
              <w:rPr>
                <w:b/>
              </w:rPr>
            </w:pPr>
          </w:p>
          <w:p w:rsidRDefault="00A003B7" w:rsidR="00A003B7">
            <w:pPr>
              <w:spacing w:lineRule="auto" w:line="276"/>
              <w:rPr>
                <w:b/>
              </w:rPr>
            </w:pPr>
            <w:r>
              <w:t>HORVAT DARKO</w:t>
            </w:r>
          </w:p>
          <w:p w:rsidRDefault="00A003B7" w:rsidR="00A003B7">
            <w:pPr>
              <w:spacing w:lineRule="auto" w:line="276"/>
              <w:rPr>
                <w:b/>
              </w:rPr>
            </w:pPr>
          </w:p>
          <w:p w:rsidRDefault="00A003B7" w:rsidR="00A003B7">
            <w:pPr>
              <w:spacing w:lineRule="auto" w:line="276"/>
              <w:rPr>
                <w:b/>
              </w:rPr>
            </w:pPr>
            <w:r>
              <w:t>ROHTEK BRANISLAV</w:t>
            </w:r>
          </w:p>
          <w:p w:rsidRDefault="00A003B7" w:rsidR="00A003B7">
            <w:pPr>
              <w:spacing w:lineRule="auto" w:line="276"/>
              <w:rPr>
                <w:b/>
              </w:rPr>
            </w:pPr>
          </w:p>
          <w:p w:rsidRDefault="00A003B7" w:rsidR="00A003B7">
            <w:pPr>
              <w:spacing w:lineRule="auto" w:line="276"/>
              <w:rPr>
                <w:b/>
              </w:rPr>
            </w:pPr>
            <w:r>
              <w:t>ŠALAMUN DRAŽEN</w:t>
            </w:r>
          </w:p>
          <w:p w:rsidRDefault="00A003B7" w:rsidR="00A003B7">
            <w:pPr>
              <w:spacing w:lineRule="auto" w:line="276"/>
              <w:rPr>
                <w:b/>
              </w:rPr>
            </w:pPr>
          </w:p>
          <w:p w:rsidRDefault="00A003B7" w:rsidR="00A003B7">
            <w:pPr>
              <w:spacing w:lineRule="auto" w:line="276"/>
              <w:rPr>
                <w:b/>
              </w:rPr>
            </w:pPr>
            <w:r>
              <w:t>STECEVIĆ MLADEN</w:t>
            </w:r>
          </w:p>
          <w:p w:rsidRDefault="00A003B7" w:rsidR="00A003B7">
            <w:pPr>
              <w:spacing w:lineRule="auto" w:line="276"/>
            </w:pPr>
            <w:r>
              <w:t>BIŠKUP EDO</w:t>
            </w:r>
          </w:p>
          <w:p w:rsidRDefault="00A003B7" w:rsidR="00A003B7">
            <w:pPr>
              <w:spacing w:lineRule="auto" w:line="276"/>
            </w:pPr>
            <w:r>
              <w:t>KOLARIĆ MIJO</w:t>
            </w:r>
          </w:p>
          <w:p w:rsidRDefault="00A003B7" w:rsidR="00A003B7">
            <w:pPr>
              <w:spacing w:lineRule="auto" w:line="276"/>
            </w:pPr>
            <w:r>
              <w:t>KUKAN STJEPAN</w:t>
            </w:r>
          </w:p>
          <w:p w:rsidRDefault="00A003B7" w:rsidR="00A003B7">
            <w:pPr>
              <w:spacing w:lineRule="auto" w:line="276"/>
            </w:pPr>
            <w:r>
              <w:t>BRODAR SPOMENKA</w:t>
            </w:r>
          </w:p>
          <w:p w:rsidRDefault="00A003B7" w:rsidR="00A003B7">
            <w:pPr>
              <w:spacing w:lineRule="auto" w:line="276"/>
            </w:pPr>
            <w:r>
              <w:t>MLAKAR ANĐELKA</w:t>
            </w:r>
          </w:p>
          <w:p w:rsidRDefault="00A003B7" w:rsidR="00A003B7">
            <w:pPr>
              <w:spacing w:lineRule="auto" w:line="276"/>
            </w:pPr>
            <w:r>
              <w:t>STEPAN ANTUN</w:t>
            </w:r>
          </w:p>
          <w:p w:rsidRDefault="00A003B7" w:rsidR="00A003B7">
            <w:pPr>
              <w:spacing w:lineRule="auto" w:line="276"/>
            </w:pPr>
            <w:r>
              <w:t>HAJEC ANTUN</w:t>
            </w:r>
          </w:p>
          <w:p w:rsidRDefault="00A003B7" w:rsidR="00A003B7">
            <w:pPr>
              <w:spacing w:lineRule="auto" w:line="276"/>
            </w:pPr>
            <w:r>
              <w:t>KOŠĆAK PERICA</w:t>
            </w:r>
          </w:p>
          <w:p w:rsidRDefault="00A003B7" w:rsidR="00A003B7">
            <w:pPr>
              <w:spacing w:lineRule="auto" w:line="276"/>
            </w:pPr>
            <w:r>
              <w:t>LISIČAK MARIJAN</w:t>
            </w:r>
          </w:p>
          <w:p w:rsidRDefault="00A003B7" w:rsidR="00A003B7">
            <w:pPr>
              <w:spacing w:lineRule="auto" w:line="276"/>
            </w:pPr>
            <w:r>
              <w:t>ZUBOVIĆ DRAGUTIN</w:t>
            </w:r>
          </w:p>
          <w:p w:rsidRDefault="00A003B7" w:rsidR="00A003B7">
            <w:pPr>
              <w:spacing w:lineRule="auto" w:line="276"/>
            </w:pPr>
            <w:r>
              <w:t>VINKOVIĆ DRAGUTIN</w:t>
            </w:r>
          </w:p>
          <w:p w:rsidRDefault="00A003B7" w:rsidR="00A003B7">
            <w:pPr>
              <w:spacing w:lineRule="auto" w:line="276"/>
            </w:pPr>
            <w:r>
              <w:t>BOROVEC DALIBOR</w:t>
            </w:r>
          </w:p>
          <w:p w:rsidRDefault="00A003B7" w:rsidR="00A003B7">
            <w:pPr>
              <w:spacing w:lineRule="auto" w:line="276"/>
            </w:pPr>
            <w:r>
              <w:lastRenderedPageBreak/>
              <w:t>POŽGAJ VJEKOSLAV</w:t>
            </w:r>
          </w:p>
          <w:p w:rsidRDefault="00A003B7" w:rsidR="00A003B7">
            <w:pPr>
              <w:spacing w:lineRule="auto" w:line="276"/>
            </w:pPr>
            <w:r>
              <w:t>STAREK MILAN</w:t>
            </w:r>
          </w:p>
          <w:p w:rsidRDefault="00A003B7" w:rsidR="00A003B7">
            <w:pPr>
              <w:spacing w:lineRule="auto" w:line="276"/>
              <w:rPr>
                <w:b/>
              </w:rPr>
            </w:pPr>
            <w:r>
              <w:t>STAREK MARINKO</w:t>
            </w:r>
          </w:p>
          <w:p w:rsidRDefault="00A003B7" w:rsidR="00A003B7">
            <w:pPr>
              <w:spacing w:lineRule="auto" w:line="276"/>
              <w:rPr>
                <w:b/>
              </w:rPr>
            </w:pPr>
            <w:r>
              <w:t>PAČARIĆ IVAN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468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spacing w:lineRule="auto" w:line="276"/>
              <w:jc w:val="right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lastRenderedPageBreak/>
              <w:t>Neto</w:t>
            </w:r>
          </w:p>
          <w:p w:rsidRDefault="00A003B7" w:rsidR="00A003B7">
            <w:pPr>
              <w:spacing w:lineRule="auto" w:line="276"/>
              <w:jc w:val="right"/>
            </w:pPr>
            <w:r>
              <w:t>71.068,53</w:t>
            </w:r>
          </w:p>
          <w:p w:rsidRDefault="00A003B7" w:rsidR="00A003B7">
            <w:pPr>
              <w:spacing w:lineRule="auto" w:line="276"/>
              <w:jc w:val="right"/>
            </w:pPr>
            <w:r>
              <w:t>4.364,01</w:t>
            </w:r>
          </w:p>
          <w:p w:rsidRDefault="00A003B7" w:rsidR="00A003B7">
            <w:pPr>
              <w:spacing w:lineRule="auto" w:line="276"/>
              <w:jc w:val="right"/>
            </w:pPr>
            <w:r>
              <w:lastRenderedPageBreak/>
              <w:t>4.364,00</w:t>
            </w:r>
          </w:p>
          <w:p w:rsidRDefault="00A003B7" w:rsidR="00A003B7">
            <w:pPr>
              <w:spacing w:lineRule="auto" w:line="276"/>
              <w:jc w:val="right"/>
            </w:pPr>
            <w:r>
              <w:t>4.143,57</w:t>
            </w: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  <w:r>
              <w:t>7.696,47</w:t>
            </w:r>
          </w:p>
          <w:p w:rsidRDefault="00A003B7" w:rsidR="00A003B7">
            <w:pPr>
              <w:spacing w:lineRule="auto" w:line="276"/>
              <w:jc w:val="right"/>
            </w:pPr>
            <w:r>
              <w:t>3.150,29</w:t>
            </w:r>
          </w:p>
          <w:p w:rsidRDefault="00A003B7" w:rsidR="00A003B7">
            <w:pPr>
              <w:spacing w:lineRule="auto" w:line="276"/>
              <w:jc w:val="right"/>
            </w:pPr>
            <w:r>
              <w:t>2.206,06</w:t>
            </w:r>
          </w:p>
          <w:p w:rsidRDefault="00A003B7" w:rsidR="00A003B7">
            <w:pPr>
              <w:spacing w:lineRule="auto" w:line="276"/>
              <w:jc w:val="right"/>
            </w:pPr>
            <w:r>
              <w:t>5.257,22</w:t>
            </w:r>
          </w:p>
          <w:p w:rsidRDefault="00A003B7" w:rsidR="00A003B7">
            <w:pPr>
              <w:spacing w:lineRule="auto" w:line="276"/>
              <w:jc w:val="right"/>
            </w:pPr>
            <w:r>
              <w:t>10.514,45</w:t>
            </w:r>
          </w:p>
          <w:p w:rsidRDefault="00A003B7" w:rsidR="00A003B7">
            <w:pPr>
              <w:spacing w:lineRule="auto" w:line="276"/>
              <w:jc w:val="right"/>
            </w:pPr>
            <w:r>
              <w:t>10.886,36</w:t>
            </w:r>
          </w:p>
          <w:p w:rsidRDefault="00A003B7" w:rsidR="00A003B7">
            <w:pPr>
              <w:spacing w:lineRule="auto" w:line="276"/>
              <w:jc w:val="right"/>
            </w:pPr>
            <w:r>
              <w:t>5.009,77</w:t>
            </w:r>
          </w:p>
          <w:p w:rsidRDefault="00A003B7" w:rsidR="00A003B7">
            <w:pPr>
              <w:spacing w:lineRule="auto" w:line="276"/>
              <w:jc w:val="right"/>
            </w:pPr>
            <w:r>
              <w:t>5.924,85</w:t>
            </w:r>
          </w:p>
          <w:p w:rsidRDefault="00A003B7" w:rsidR="00A003B7">
            <w:pPr>
              <w:spacing w:lineRule="auto" w:line="276"/>
              <w:jc w:val="right"/>
            </w:pPr>
            <w:r>
              <w:t>5.369,76</w:t>
            </w:r>
          </w:p>
          <w:p w:rsidRDefault="00A003B7" w:rsidR="00A003B7">
            <w:pPr>
              <w:spacing w:lineRule="auto" w:line="276"/>
              <w:jc w:val="right"/>
            </w:pPr>
            <w:r>
              <w:t>4.557,31</w:t>
            </w:r>
          </w:p>
          <w:p w:rsidRDefault="00A003B7" w:rsidR="00A003B7">
            <w:pPr>
              <w:spacing w:lineRule="auto" w:line="276"/>
              <w:jc w:val="right"/>
            </w:pPr>
            <w:r>
              <w:t>8.216,81</w:t>
            </w:r>
          </w:p>
          <w:p w:rsidRDefault="00A003B7" w:rsidR="00A003B7">
            <w:pPr>
              <w:spacing w:lineRule="auto" w:line="276"/>
              <w:jc w:val="right"/>
            </w:pPr>
            <w:r>
              <w:t>3.108,96</w:t>
            </w:r>
          </w:p>
          <w:p w:rsidRDefault="00A003B7" w:rsidR="00A003B7">
            <w:pPr>
              <w:spacing w:lineRule="auto" w:line="276"/>
              <w:jc w:val="right"/>
            </w:pPr>
            <w:r>
              <w:t>3.610,53</w:t>
            </w:r>
          </w:p>
          <w:p w:rsidRDefault="00A003B7" w:rsidR="00A003B7">
            <w:pPr>
              <w:spacing w:lineRule="auto" w:line="276"/>
              <w:jc w:val="right"/>
            </w:pPr>
            <w:r>
              <w:t>2.435,66</w:t>
            </w:r>
          </w:p>
          <w:p w:rsidRDefault="00A003B7" w:rsidR="00A003B7">
            <w:pPr>
              <w:spacing w:lineRule="auto" w:line="276"/>
              <w:jc w:val="right"/>
            </w:pPr>
            <w:r>
              <w:t>3.760,91</w:t>
            </w:r>
          </w:p>
          <w:p w:rsidRDefault="00A003B7" w:rsidR="00A003B7">
            <w:pPr>
              <w:spacing w:lineRule="auto" w:line="276"/>
              <w:jc w:val="right"/>
            </w:pPr>
            <w:r>
              <w:t>3.571,33</w:t>
            </w:r>
          </w:p>
          <w:p w:rsidRDefault="00A003B7" w:rsidR="00A003B7">
            <w:pPr>
              <w:spacing w:lineRule="auto" w:line="276"/>
              <w:jc w:val="right"/>
            </w:pPr>
            <w:r>
              <w:t>954,90</w:t>
            </w:r>
          </w:p>
          <w:p w:rsidRDefault="00A003B7" w:rsidR="00A003B7">
            <w:pPr>
              <w:spacing w:lineRule="auto" w:line="276"/>
              <w:jc w:val="right"/>
            </w:pPr>
            <w:r>
              <w:t>3.063,96</w:t>
            </w:r>
          </w:p>
          <w:p w:rsidRDefault="00A003B7" w:rsidR="00A003B7">
            <w:pPr>
              <w:spacing w:lineRule="auto" w:line="276"/>
              <w:jc w:val="right"/>
            </w:pPr>
            <w:r>
              <w:t>3.314,38</w:t>
            </w:r>
          </w:p>
          <w:p w:rsidRDefault="00A003B7" w:rsidR="00A003B7">
            <w:pPr>
              <w:spacing w:lineRule="auto" w:line="276"/>
              <w:jc w:val="right"/>
            </w:pPr>
            <w:r>
              <w:t>2.985,57</w:t>
            </w:r>
          </w:p>
          <w:p w:rsidRDefault="00A003B7" w:rsidR="00A003B7">
            <w:pPr>
              <w:spacing w:lineRule="auto" w:line="276"/>
              <w:jc w:val="right"/>
            </w:pPr>
            <w:r>
              <w:lastRenderedPageBreak/>
              <w:t>3.105,00</w:t>
            </w:r>
          </w:p>
          <w:p w:rsidRDefault="00A003B7" w:rsidR="00A003B7">
            <w:pPr>
              <w:spacing w:lineRule="auto" w:line="276"/>
              <w:jc w:val="right"/>
            </w:pPr>
            <w:r>
              <w:t>1.325,10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255.007,29</w:t>
            </w:r>
          </w:p>
        </w:tc>
        <w:tc>
          <w:tcPr>
            <w:tcW w:type="dxa" w:w="1276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jc w:val="right"/>
              <w:rPr>
                <w:rFonts w:eastAsia="Times New Roman" w:hAnsi="Guatemala" w:ascii="Guatemala"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jc w:val="right"/>
            </w:pPr>
            <w:r>
              <w:t>71.068,53</w:t>
            </w:r>
          </w:p>
          <w:p w:rsidRDefault="00A003B7" w:rsidR="00A003B7">
            <w:pPr>
              <w:spacing w:lineRule="auto" w:line="276"/>
              <w:jc w:val="right"/>
            </w:pPr>
            <w:r>
              <w:t>4.364,01</w:t>
            </w:r>
          </w:p>
          <w:p w:rsidRDefault="00A003B7" w:rsidR="00A003B7">
            <w:pPr>
              <w:spacing w:lineRule="auto" w:line="276"/>
              <w:jc w:val="right"/>
            </w:pPr>
            <w:r>
              <w:lastRenderedPageBreak/>
              <w:t>4.364,00</w:t>
            </w:r>
          </w:p>
          <w:p w:rsidRDefault="00A003B7" w:rsidR="00A003B7">
            <w:pPr>
              <w:spacing w:lineRule="auto" w:line="276"/>
              <w:jc w:val="right"/>
            </w:pPr>
            <w:r>
              <w:t>4.143,57</w:t>
            </w: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  <w:r>
              <w:t>7.696,47</w:t>
            </w:r>
          </w:p>
          <w:p w:rsidRDefault="00A003B7" w:rsidR="00A003B7">
            <w:pPr>
              <w:spacing w:lineRule="auto" w:line="276"/>
              <w:jc w:val="right"/>
            </w:pPr>
            <w:r>
              <w:t>3.150,29</w:t>
            </w:r>
          </w:p>
          <w:p w:rsidRDefault="00A003B7" w:rsidR="00A003B7">
            <w:pPr>
              <w:spacing w:lineRule="auto" w:line="276"/>
              <w:jc w:val="right"/>
            </w:pPr>
            <w:r>
              <w:t>2.206,06</w:t>
            </w:r>
          </w:p>
          <w:p w:rsidRDefault="00A003B7" w:rsidR="00A003B7">
            <w:pPr>
              <w:spacing w:lineRule="auto" w:line="276"/>
              <w:jc w:val="right"/>
            </w:pPr>
            <w:r>
              <w:t>5.257,22</w:t>
            </w:r>
          </w:p>
          <w:p w:rsidRDefault="00A003B7" w:rsidR="00A003B7">
            <w:pPr>
              <w:spacing w:lineRule="auto" w:line="276"/>
              <w:jc w:val="right"/>
            </w:pPr>
            <w:r>
              <w:t>10.514,45</w:t>
            </w:r>
          </w:p>
          <w:p w:rsidRDefault="00A003B7" w:rsidR="00A003B7">
            <w:pPr>
              <w:spacing w:lineRule="auto" w:line="276"/>
              <w:jc w:val="right"/>
            </w:pPr>
            <w:r>
              <w:t>10.886,36</w:t>
            </w:r>
          </w:p>
          <w:p w:rsidRDefault="00A003B7" w:rsidR="00A003B7">
            <w:pPr>
              <w:spacing w:lineRule="auto" w:line="276"/>
              <w:jc w:val="right"/>
            </w:pPr>
            <w:r>
              <w:t>5.009,77</w:t>
            </w:r>
          </w:p>
          <w:p w:rsidRDefault="00A003B7" w:rsidR="00A003B7">
            <w:pPr>
              <w:spacing w:lineRule="auto" w:line="276"/>
              <w:jc w:val="right"/>
            </w:pPr>
            <w:r>
              <w:t>5.924,85</w:t>
            </w:r>
          </w:p>
          <w:p w:rsidRDefault="00A003B7" w:rsidR="00A003B7">
            <w:pPr>
              <w:spacing w:lineRule="auto" w:line="276"/>
              <w:jc w:val="right"/>
            </w:pPr>
            <w:r>
              <w:t>5.369,76</w:t>
            </w:r>
          </w:p>
          <w:p w:rsidRDefault="00A003B7" w:rsidR="00A003B7">
            <w:pPr>
              <w:spacing w:lineRule="auto" w:line="276"/>
              <w:jc w:val="right"/>
            </w:pPr>
            <w:r>
              <w:t>4.557,31</w:t>
            </w:r>
          </w:p>
          <w:p w:rsidRDefault="00A003B7" w:rsidR="00A003B7">
            <w:pPr>
              <w:spacing w:lineRule="auto" w:line="276"/>
              <w:jc w:val="right"/>
            </w:pPr>
            <w:r>
              <w:t>8.216,81</w:t>
            </w:r>
          </w:p>
          <w:p w:rsidRDefault="00A003B7" w:rsidR="00A003B7">
            <w:pPr>
              <w:spacing w:lineRule="auto" w:line="276"/>
              <w:jc w:val="right"/>
            </w:pPr>
            <w:r>
              <w:t>3.108,96</w:t>
            </w:r>
          </w:p>
          <w:p w:rsidRDefault="00A003B7" w:rsidR="00A003B7">
            <w:pPr>
              <w:spacing w:lineRule="auto" w:line="276"/>
              <w:jc w:val="right"/>
            </w:pPr>
            <w:r>
              <w:t>3.610,53</w:t>
            </w:r>
          </w:p>
          <w:p w:rsidRDefault="00A003B7" w:rsidR="00A003B7">
            <w:pPr>
              <w:spacing w:lineRule="auto" w:line="276"/>
              <w:jc w:val="right"/>
            </w:pPr>
            <w:r>
              <w:t>2.435,66</w:t>
            </w:r>
          </w:p>
          <w:p w:rsidRDefault="00A003B7" w:rsidR="00A003B7">
            <w:pPr>
              <w:spacing w:lineRule="auto" w:line="276"/>
              <w:jc w:val="right"/>
            </w:pPr>
            <w:r>
              <w:t>3.760,91</w:t>
            </w:r>
          </w:p>
          <w:p w:rsidRDefault="00A003B7" w:rsidR="00A003B7">
            <w:pPr>
              <w:spacing w:lineRule="auto" w:line="276"/>
              <w:jc w:val="right"/>
            </w:pPr>
            <w:r>
              <w:t>3.571,33</w:t>
            </w:r>
          </w:p>
          <w:p w:rsidRDefault="00A003B7" w:rsidR="00A003B7">
            <w:pPr>
              <w:spacing w:lineRule="auto" w:line="276"/>
              <w:jc w:val="right"/>
            </w:pPr>
            <w:r>
              <w:t>954,90</w:t>
            </w:r>
          </w:p>
          <w:p w:rsidRDefault="00A003B7" w:rsidR="00A003B7">
            <w:pPr>
              <w:spacing w:lineRule="auto" w:line="276"/>
              <w:jc w:val="right"/>
            </w:pPr>
            <w:r>
              <w:t>3.063,96</w:t>
            </w:r>
          </w:p>
          <w:p w:rsidRDefault="00A003B7" w:rsidR="00A003B7">
            <w:pPr>
              <w:spacing w:lineRule="auto" w:line="276"/>
              <w:jc w:val="right"/>
            </w:pPr>
            <w:r>
              <w:t>3.314,38</w:t>
            </w:r>
          </w:p>
          <w:p w:rsidRDefault="00A003B7" w:rsidR="00A003B7">
            <w:pPr>
              <w:spacing w:lineRule="auto" w:line="276"/>
              <w:jc w:val="right"/>
            </w:pPr>
            <w:r>
              <w:t>2.985,57</w:t>
            </w:r>
          </w:p>
          <w:p w:rsidRDefault="00A003B7" w:rsidR="00A003B7">
            <w:pPr>
              <w:spacing w:lineRule="auto" w:line="276"/>
              <w:jc w:val="right"/>
            </w:pPr>
            <w:r>
              <w:lastRenderedPageBreak/>
              <w:t>3.105,00</w:t>
            </w:r>
          </w:p>
          <w:p w:rsidRDefault="00A003B7" w:rsidR="00A003B7">
            <w:pPr>
              <w:spacing w:lineRule="auto" w:line="276"/>
              <w:jc w:val="right"/>
            </w:pPr>
            <w:r>
              <w:t>1.325,10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255.007,29</w:t>
            </w:r>
          </w:p>
        </w:tc>
        <w:tc>
          <w:tcPr>
            <w:tcW w:type="dxa" w:w="1134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lastRenderedPageBreak/>
              <w:t>Prvi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sz w:val="18"/>
                <w:lang w:val="en-US"/>
              </w:rPr>
            </w:pPr>
            <w:r>
              <w:rPr>
                <w:b/>
                <w:sz w:val="18"/>
              </w:rPr>
              <w:lastRenderedPageBreak/>
              <w:t>2.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sz w:val="18"/>
                <w:lang w:val="en-US"/>
              </w:rPr>
            </w:pPr>
            <w:r>
              <w:t>REPUBLIKA HRVATSKA – MINISTARSTVO FINANCIJA, POREZNA UPRAVA, PODRUČNI URED SJEVERNA HRVATSKA zastupana po Županijskom državnom odvjetni</w:t>
            </w:r>
            <w:r>
              <w:rPr>
                <w:rFonts w:cs="Goudy Old Style" w:hAnsi="Goudy Old Style" w:ascii="Goudy Old Style"/>
              </w:rPr>
              <w:t>š</w:t>
            </w:r>
            <w:r>
              <w:t>tvu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sz w:val="18"/>
                <w:lang w:val="en-US"/>
              </w:rPr>
            </w:pPr>
            <w:r>
              <w:rPr>
                <w:b/>
              </w:rPr>
              <w:t>71.615,21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sz w:val="18"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sz w:val="18"/>
                <w:lang w:val="en-US"/>
              </w:rPr>
            </w:pPr>
            <w:r>
              <w:rPr>
                <w:b/>
              </w:rPr>
              <w:t>71.615,21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sz w:val="18"/>
                <w:lang w:val="en-US"/>
              </w:rPr>
            </w:pPr>
            <w:r>
              <w:rPr>
                <w:b/>
              </w:rPr>
              <w:t>Prvi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sz w:val="18"/>
                <w:lang w:val="en-US"/>
              </w:rPr>
            </w:pPr>
            <w:r>
              <w:rPr>
                <w:b/>
                <w:sz w:val="18"/>
              </w:rPr>
              <w:t>3.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sz w:val="20"/>
                <w:szCs w:val="20"/>
                <w:lang w:val="en-US"/>
              </w:rPr>
            </w:pPr>
            <w:r>
              <w:t>MARIĆ ZVONIMIR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20.501,77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sz w:val="18"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20.501,77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Prvi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rPr>
                <w:b/>
              </w:rPr>
            </w:pPr>
            <w:r>
              <w:rPr>
                <w:b/>
              </w:rPr>
              <w:t>UKUPNO PRVI VIŠI ISPLATNI RED</w:t>
            </w:r>
          </w:p>
          <w:p w:rsidRDefault="00A003B7" w:rsidR="00A003B7">
            <w:pPr>
              <w:spacing w:lineRule="auto" w:line="276"/>
              <w:rPr>
                <w:b/>
              </w:rPr>
            </w:pP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jc w:val="right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</w:p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347.124,27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OSPORENO</w:t>
            </w: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jc w:val="right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PRIZNATO</w:t>
            </w: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</w:p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347.124,27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24" w:color="auto" w:val="thinThickSmallGap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</w:tr>
      <w:tr w:rsidTr="00A003B7" w:rsidR="00A003B7">
        <w:tc>
          <w:tcPr>
            <w:tcW w:type="dxa" w:w="817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2359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MEGASPEL d.o.o.  Varaždin</w:t>
            </w:r>
          </w:p>
        </w:tc>
        <w:tc>
          <w:tcPr>
            <w:tcW w:type="dxa" w:w="1468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17.253,73</w:t>
            </w:r>
          </w:p>
        </w:tc>
        <w:tc>
          <w:tcPr>
            <w:tcW w:type="dxa" w:w="1276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17.253,73</w:t>
            </w:r>
          </w:p>
        </w:tc>
        <w:tc>
          <w:tcPr>
            <w:tcW w:type="dxa" w:w="1134"/>
            <w:tcBorders>
              <w:top w:space="0" w:sz="24" w:color="auto" w:val="thinThickSmallGap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2.</w:t>
            </w:r>
          </w:p>
        </w:tc>
        <w:tc>
          <w:tcPr>
            <w:tcW w:type="dxa" w:w="2359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GRAD VARAŽDIN</w:t>
            </w:r>
          </w:p>
        </w:tc>
        <w:tc>
          <w:tcPr>
            <w:tcW w:type="dxa" w:w="1468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286.394,80</w:t>
            </w:r>
          </w:p>
        </w:tc>
        <w:tc>
          <w:tcPr>
            <w:tcW w:type="dxa" w:w="1276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jc w:val="right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286.394,80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134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lastRenderedPageBreak/>
              <w:t xml:space="preserve">Drugi viši isplatni </w:t>
            </w:r>
            <w:r>
              <w:rPr>
                <w:b/>
              </w:rPr>
              <w:lastRenderedPageBreak/>
              <w:t>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INTERMONT – INTL d.o.o. Varaždin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135.030,95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135.030,95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Razlučno pravo i Drugi viši isplatni red</w:t>
            </w:r>
          </w:p>
        </w:tc>
      </w:tr>
      <w:tr w:rsidTr="00A003B7" w:rsidR="00A003B7">
        <w:tc>
          <w:tcPr>
            <w:tcW w:type="dxa" w:w="817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4.</w:t>
            </w:r>
          </w:p>
        </w:tc>
        <w:tc>
          <w:tcPr>
            <w:tcW w:type="dxa" w:w="2359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ERSTE &amp;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STEIERMARKISCHE BANK  d.d. Rijeka</w:t>
            </w:r>
          </w:p>
        </w:tc>
        <w:tc>
          <w:tcPr>
            <w:tcW w:type="dxa" w:w="1468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18.706,75</w:t>
            </w:r>
          </w:p>
        </w:tc>
        <w:tc>
          <w:tcPr>
            <w:tcW w:type="dxa" w:w="1276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18.706,75</w:t>
            </w:r>
          </w:p>
        </w:tc>
        <w:tc>
          <w:tcPr>
            <w:tcW w:type="dxa" w:w="1134"/>
            <w:tcBorders>
              <w:top w:val="nil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5.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BMD STIL d.o.o. Bedenica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355.673,28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355.673,28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Drugi viši isplatni red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6.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sz w:val="20"/>
                <w:szCs w:val="20"/>
                <w:lang w:val="en-US"/>
              </w:rPr>
            </w:pPr>
            <w:r>
              <w:rPr>
                <w:b/>
              </w:rPr>
              <w:t>GA MA TEAM d.o.o</w:t>
            </w:r>
            <w:r>
              <w:t>.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Donja Dubrava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11.870,31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11.870,31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7.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MEĐIMURSKE VODE</w:t>
            </w:r>
            <w:r>
              <w:t xml:space="preserve"> d.o.o. Čakovec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1.566,09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1.566,09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8.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sz w:val="20"/>
                <w:szCs w:val="20"/>
                <w:lang w:val="en-US"/>
              </w:rPr>
            </w:pPr>
            <w:r>
              <w:rPr>
                <w:b/>
              </w:rPr>
              <w:t>HEPLAST-PIPE</w:t>
            </w:r>
            <w:r>
              <w:t xml:space="preserve"> d.o.o. Prelo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18.322,60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18.322,60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9.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CAFUK VELIMIR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49.274,13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49.274,13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10.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VINCEK d.o.o.</w:t>
            </w:r>
            <w:r>
              <w:t xml:space="preserve"> Završje Podbelsko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6.263.120,00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6.263.120,00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Razlučno pravo i 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lastRenderedPageBreak/>
              <w:t>11.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sz w:val="20"/>
                <w:szCs w:val="20"/>
                <w:lang w:val="en-US"/>
              </w:rPr>
            </w:pPr>
            <w:r>
              <w:rPr>
                <w:b/>
              </w:rPr>
              <w:t xml:space="preserve">DULEX d.o.o.  </w:t>
            </w:r>
            <w:r>
              <w:t>Ludbreg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265.921,91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265.921,91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Razlučno pravo i 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12.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COLAS MINERAL d.o.o</w:t>
            </w:r>
            <w:r>
              <w:t>. Varaždin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636.215,63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636.215,63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13.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  <w:r>
              <w:rPr>
                <w:b/>
              </w:rPr>
              <w:t>ZAGORJE TEHNOBETON</w:t>
            </w:r>
            <w:r>
              <w:t xml:space="preserve"> d.o.o. Varaždin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31.080,44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31.080,44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14.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VIP NET</w:t>
            </w:r>
            <w:r>
              <w:t xml:space="preserve"> d.o.o. Zagreb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6.630,99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6.630,99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15.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REPUBLIKA HRVATSKA – MINISTARSTVO FINANCIJA, POREZNA UPRAVA, PODRUČNI URED SJEVERNA HRVATSKA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1.758.570,26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1.758.570,26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Razlučno pravo i 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16.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CROATIA OSIGURANJE d.d.</w:t>
            </w:r>
            <w:r>
              <w:t xml:space="preserve"> Zagreb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53.796,77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53.796,77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17.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DTTC CONSULTING I REVIZIJA d.o.o.</w:t>
            </w:r>
            <w:r>
              <w:t xml:space="preserve"> Varaždin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125.000,00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125.000,00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18.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INSTITUT IGH d.d</w:t>
            </w:r>
            <w:r>
              <w:t>. Zagreb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16.743,21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16.743,21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lastRenderedPageBreak/>
              <w:t>19.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COLAS HRVATSKA d.d. Varaždin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1.419.298,85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1.419.298,85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20.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ACO GRAĐEVINSKI ELEMENTI d.o.o.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155.897,41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155.897,41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 xml:space="preserve">Razlučno pravo i 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21.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 xml:space="preserve">IVETA d.o.o. 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t>Bjelovar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1.166.332,95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813.972,11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352.360,84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22.</w:t>
            </w: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LAGER BAŠIĆ d.o.o.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Zagreb</w:t>
            </w: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27.388,41</w:t>
            </w: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21.819,04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5.569,37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Drugi viši isplatni red</w:t>
            </w:r>
          </w:p>
        </w:tc>
      </w:tr>
      <w:tr w:rsidTr="00A003B7" w:rsidR="00A003B7">
        <w:tc>
          <w:tcPr>
            <w:tcW w:type="dxa" w:w="817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2359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rPr>
                <w:b/>
              </w:rPr>
            </w:pPr>
            <w:r>
              <w:rPr>
                <w:b/>
              </w:rPr>
              <w:t>UKUPNO DRUGI VIŠI ISPLATNI RED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46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jc w:val="right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  <w:r>
              <w:rPr>
                <w:b/>
              </w:rPr>
              <w:t>12.820.089,47</w:t>
            </w: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</w:p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OSPORENO</w:t>
            </w:r>
          </w:p>
          <w:p w:rsidRDefault="00A003B7" w:rsidR="00A003B7">
            <w:pPr>
              <w:spacing w:lineRule="auto" w:line="276"/>
              <w:rPr>
                <w:b/>
              </w:rPr>
            </w:pPr>
          </w:p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835.791,15</w:t>
            </w:r>
          </w:p>
        </w:tc>
        <w:tc>
          <w:tcPr>
            <w:tcW w:type="dxa" w:w="1418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spacing w:lineRule="auto" w:line="276"/>
              <w:jc w:val="right"/>
              <w:rPr>
                <w:rFonts w:eastAsia="Times New Roman" w:hAnsi="Guatemala" w:ascii="Guatemala"/>
                <w:b/>
                <w:sz w:val="20"/>
                <w:szCs w:val="20"/>
                <w:lang w:val="en-US"/>
              </w:rPr>
            </w:pPr>
            <w:r>
              <w:rPr>
                <w:b/>
              </w:rPr>
              <w:t>PRIZNATO</w:t>
            </w: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</w:p>
          <w:p w:rsidRDefault="00A003B7" w:rsidR="00A003B7">
            <w:pPr>
              <w:spacing w:lineRule="auto" w:line="276"/>
              <w:jc w:val="right"/>
              <w:rPr>
                <w:b/>
              </w:rPr>
            </w:pPr>
            <w:r>
              <w:rPr>
                <w:b/>
              </w:rPr>
              <w:t>11.984.298,32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jc w:val="right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</w:p>
        </w:tc>
      </w:tr>
    </w:tbl>
    <w:p w:rsidRDefault="00A003B7" w:rsidP="00A003B7" w:rsidR="00A003B7">
      <w:pPr>
        <w:jc w:val="both"/>
        <w:rPr>
          <w:rFonts w:eastAsia="Times New Roman"/>
        </w:rPr>
      </w:pPr>
    </w:p>
    <w:p w:rsidRDefault="00A003B7" w:rsidP="00FF3E18" w:rsidR="00A003B7">
      <w:pPr>
        <w:ind w:firstLine="720"/>
      </w:pPr>
      <w:r>
        <w:t xml:space="preserve">II.  Osporene tražbine viših isplatnih redova u kunama: </w:t>
      </w:r>
    </w:p>
    <w:p w:rsidRDefault="00A003B7" w:rsidP="00FF3E18" w:rsidR="00A003B7">
      <w:pPr>
        <w:ind w:firstLine="720"/>
      </w:pPr>
      <w:r>
        <w:t>Stečajni upravitelj je osporio tražbine stečajnih vjerovnika:</w:t>
      </w:r>
    </w:p>
    <w:p w:rsidRDefault="00A003B7" w:rsidP="00FF3E18" w:rsidR="00A003B7">
      <w:pPr>
        <w:ind w:firstLine="720"/>
      </w:pPr>
      <w:r>
        <w:t>Drugi viši isplatni red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079"/>
        <w:gridCol w:w="3220"/>
        <w:gridCol w:w="2989"/>
      </w:tblGrid>
      <w:tr w:rsidTr="00A003B7" w:rsidR="00A003B7">
        <w:tc>
          <w:tcPr>
            <w:tcW w:type="dxa" w:w="4392"/>
            <w:tcBorders>
              <w:top w:space="0" w:sz="24" w:color="auto" w:val="thinThickSmallGap"/>
              <w:left w:space="0" w:sz="4" w:color="auto" w:val="single"/>
              <w:bottom w:space="0" w:sz="24" w:color="auto" w:val="thinThickSmallGap"/>
              <w:right w:space="0" w:sz="4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Iznos osporene tražbine</w:t>
            </w:r>
          </w:p>
        </w:tc>
        <w:tc>
          <w:tcPr>
            <w:tcW w:type="dxa" w:w="4392"/>
            <w:tcBorders>
              <w:top w:space="0" w:sz="24" w:color="auto" w:val="thinThickSmallGap"/>
              <w:left w:space="0" w:sz="4" w:color="auto" w:val="single"/>
              <w:bottom w:space="0" w:sz="24" w:color="auto" w:val="thinThickSmallGap"/>
              <w:right w:space="0" w:sz="4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Razlog osporavanja tražbine</w:t>
            </w:r>
          </w:p>
        </w:tc>
        <w:tc>
          <w:tcPr>
            <w:tcW w:type="dxa" w:w="4392"/>
            <w:tcBorders>
              <w:top w:space="0" w:sz="24" w:color="auto" w:val="thinThickSmallGap"/>
              <w:left w:space="0" w:sz="4" w:color="auto" w:val="single"/>
              <w:bottom w:space="0" w:sz="24" w:color="auto" w:val="thinThickSmallGap"/>
              <w:right w:space="0" w:sz="4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b/>
                <w:lang w:val="en-US"/>
              </w:rPr>
            </w:pPr>
            <w:r>
              <w:rPr>
                <w:b/>
              </w:rPr>
              <w:t>Oznaka ovršne isprave ako se tražbina zasniva na ovršnoj ispravi</w:t>
            </w:r>
          </w:p>
        </w:tc>
      </w:tr>
      <w:tr w:rsidTr="00A003B7" w:rsidR="00A003B7">
        <w:tc>
          <w:tcPr>
            <w:tcW w:type="dxa" w:w="4392"/>
            <w:tcBorders>
              <w:top w:space="0" w:sz="24" w:color="auto" w:val="thinThickSmallGap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  <w:r>
              <w:lastRenderedPageBreak/>
              <w:t>IVETA d.o.o. – osporeno 813.972,11</w:t>
            </w:r>
          </w:p>
        </w:tc>
        <w:tc>
          <w:tcPr>
            <w:tcW w:type="dxa" w:w="4392"/>
            <w:tcBorders>
              <w:top w:space="0" w:sz="24" w:color="auto" w:val="thinThickSmallGap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sz w:val="20"/>
                <w:szCs w:val="20"/>
                <w:lang w:val="en-US"/>
              </w:rPr>
            </w:pPr>
            <w:r>
              <w:t>Prijava nije u skladu sa sklopljenom Predstečajnom nagodbom Stpn-131/13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  <w:tc>
          <w:tcPr>
            <w:tcW w:type="dxa" w:w="4392"/>
            <w:tcBorders>
              <w:top w:space="0" w:sz="24" w:color="auto" w:val="thinThickSmallGap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</w:tr>
      <w:tr w:rsidTr="00A003B7" w:rsidR="00A003B7">
        <w:tc>
          <w:tcPr>
            <w:tcW w:type="dxa" w:w="4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  <w:r>
              <w:t>LAGER BAŠIĆ d.o.o. – osporeno 21.819,04</w:t>
            </w:r>
          </w:p>
        </w:tc>
        <w:tc>
          <w:tcPr>
            <w:tcW w:type="dxa" w:w="4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03B7" w:rsidR="00A003B7">
            <w:pPr>
              <w:spacing w:lineRule="auto" w:line="276"/>
              <w:rPr>
                <w:rFonts w:eastAsia="Times New Roman" w:hAnsi="Guatemala" w:ascii="Guatemala"/>
                <w:sz w:val="20"/>
                <w:szCs w:val="20"/>
                <w:lang w:val="en-US"/>
              </w:rPr>
            </w:pPr>
            <w:r>
              <w:t>Prijava nije u skladu sa sklopljenom Predstečajnom nagodbom Stpn-131/13</w:t>
            </w:r>
          </w:p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  <w:tc>
          <w:tcPr>
            <w:tcW w:type="dxa" w:w="4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03B7" w:rsidR="00A003B7">
            <w:pPr>
              <w:widowControl w:val="false"/>
              <w:snapToGrid w:val="false"/>
              <w:spacing w:lineRule="auto" w:line="276"/>
              <w:rPr>
                <w:rFonts w:cs="Times New Roman" w:eastAsia="Times New Roman" w:hAnsi="Guatemala" w:ascii="Guatemala"/>
                <w:lang w:val="en-US"/>
              </w:rPr>
            </w:pPr>
          </w:p>
        </w:tc>
      </w:tr>
    </w:tbl>
    <w:p w:rsidRDefault="00A003B7" w:rsidP="00A003B7" w:rsidR="00A003B7">
      <w:pPr>
        <w:rPr>
          <w:rFonts w:eastAsia="Times New Roman"/>
        </w:rPr>
      </w:pPr>
    </w:p>
    <w:p w:rsidRDefault="00A003B7" w:rsidP="00A003B7" w:rsidR="00A003B7">
      <w:r>
        <w:tab/>
        <w:t>Upućuju se stečajni vjerovnici u roku od 8 dana od primitka izvatka iz rješenja, u parnicu radi utvrđivanja osporene tražbine.</w:t>
      </w:r>
    </w:p>
    <w:p w:rsidRDefault="00A003B7" w:rsidP="00FF3E18" w:rsidR="00A003B7">
      <w:pPr>
        <w:jc w:val="both"/>
      </w:pPr>
      <w:r>
        <w:tab/>
        <w:t xml:space="preserve">Ako stečajni vjerovnik koji je upućen u parnicu, ne pokrene parnicu u dodijeljenom roku, smatrat će se da je odustao od prava na vođenje parnice. </w:t>
      </w:r>
    </w:p>
    <w:p w:rsidRDefault="00A003B7" w:rsidP="00FF3E18" w:rsidR="00A003B7">
      <w:pPr>
        <w:jc w:val="center"/>
      </w:pPr>
      <w:r>
        <w:t xml:space="preserve">Obrazloženje </w:t>
      </w:r>
    </w:p>
    <w:p w:rsidRDefault="00A003B7" w:rsidP="00FF3E18" w:rsidR="00A003B7">
      <w:pPr>
        <w:ind w:firstLine="720"/>
        <w:jc w:val="both"/>
      </w:pPr>
      <w:r>
        <w:t xml:space="preserve">Na općem ispitnom ročištu održanom 28. listopada 2015. ispitane su sve u roku prijavljene tražbine prema iznosima i isplatnom redu. 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 xml:space="preserve">. 2. Stečajnog zakona (''Narodne novine'' broj 44/96, 29/99, 129/00, 123/03, 82/06, 116/10, 25/12, 133/12, dalje SZ), posebnu tablicu ispitanih tražbina u kojoj su za svaku prijavljenu tražbinu uneseni podaci o tome u kojoj je mjeri tražbina utvrđena prema svom iznosu i svom redu. </w:t>
      </w:r>
    </w:p>
    <w:p w:rsidRDefault="00A003B7" w:rsidP="00FF3E18" w:rsidR="00A003B7">
      <w:pPr>
        <w:ind w:firstLine="720"/>
        <w:jc w:val="both"/>
      </w:pPr>
      <w:r>
        <w:t xml:space="preserve">Stoga je sud na temelju te tablice, primjenom odredbe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 xml:space="preserve">. 3. SZ-a, donio ovo rješenje. </w:t>
      </w:r>
      <w:r>
        <w:tab/>
      </w:r>
    </w:p>
    <w:p w:rsidRDefault="00A003B7" w:rsidP="00FF3E18" w:rsidR="00A003B7" w:rsidRPr="00FF3E18">
      <w:pPr>
        <w:ind w:firstLine="720"/>
        <w:jc w:val="both"/>
        <w:rPr>
          <w:lang w:val="en-US"/>
        </w:rPr>
      </w:pPr>
      <w:r>
        <w:t>Tražbinu II. višeg isplatnog reda stečajnog vjerovnika</w:t>
      </w:r>
      <w:r>
        <w:rPr>
          <w:lang w:val="en-US"/>
        </w:rPr>
        <w:t xml:space="preserve"> IVETA d.o.o., Bjelovar, u odnosu na iznos od 813.972,11 kn i </w:t>
      </w:r>
      <w:r>
        <w:t>tražbinu II. višeg isplatnog reda stečajnog vjerovnika</w:t>
      </w:r>
      <w:r>
        <w:rPr>
          <w:lang w:val="en-US"/>
        </w:rPr>
        <w:t xml:space="preserve"> LAGER BAŠIĆ d.o.o., Zagreb, u odnosu na iznos od 21.819,04 kn </w:t>
      </w:r>
      <w:r>
        <w:t xml:space="preserve">stečajni upravitelj je osporio jer prijave nisu u skladu sa sklopljenom predstečajnom nagodbom Stpn-131/13. </w:t>
      </w:r>
    </w:p>
    <w:p w:rsidRDefault="00A003B7" w:rsidP="00A003B7" w:rsidR="00A003B7">
      <w:pPr>
        <w:jc w:val="both"/>
      </w:pPr>
      <w:r>
        <w:tab/>
        <w:t xml:space="preserve">Kako izjavljena osporavanja na ročištu nisu otklonjena, primjenom odredaba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 xml:space="preserve">. 1. i 3. te čl. </w:t>
      </w:r>
      <w:smartTag w:element="metricconverter" w:uri="urn:schemas-microsoft-com:office:smarttags">
        <w:smartTagPr>
          <w:attr w:val="178. st" w:name="ProductID"/>
        </w:smartTagPr>
        <w:r>
          <w:t>178. st</w:t>
        </w:r>
      </w:smartTag>
      <w:r>
        <w:t>. 1. i 6. SZ-a, odlučeno je kao pod točkom II. izreke.</w:t>
      </w:r>
    </w:p>
    <w:p w:rsidRDefault="00A003B7" w:rsidP="00A003B7" w:rsidR="00A003B7">
      <w:pPr>
        <w:jc w:val="center"/>
      </w:pPr>
      <w:r>
        <w:t>U Varaždinu 4. studenoga 2015.</w:t>
      </w:r>
    </w:p>
    <w:p w:rsidRDefault="00A003B7" w:rsidP="00A003B7" w:rsidR="00A003B7">
      <w:pPr>
        <w:ind w:firstLine="720"/>
        <w:jc w:val="center"/>
      </w:pPr>
    </w:p>
    <w:p w:rsidRDefault="00A003B7" w:rsidP="00FF3E18" w:rsidR="00A003B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A003B7" w:rsidP="00A003B7" w:rsidR="00A003B7">
      <w:pPr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</w:p>
    <w:p w:rsidRDefault="00A003B7" w:rsidP="00FF3E18" w:rsidR="00A003B7">
      <w:pPr>
        <w:ind w:left="504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003B7" w:rsidP="00A003B7" w:rsidR="00A003B7">
      <w:pPr>
        <w:jc w:val="both"/>
      </w:pPr>
      <w:r>
        <w:t>UPUTA  O PRAVNOM LIJEKU:</w:t>
      </w:r>
    </w:p>
    <w:p w:rsidRDefault="00A003B7" w:rsidP="00A003B7" w:rsidR="00A003B7">
      <w:pPr>
        <w:jc w:val="both"/>
      </w:pPr>
      <w:r>
        <w:t xml:space="preserve">Protiv ovoga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4. i 5. SZ-a). Rok za žalbu iznosi 8 dana računajući od dana dostave pisanog otpravka, odnosno izvatka iz rješenja. Žalba se podnosi ovome sudu u dva primjerka.</w:t>
      </w:r>
    </w:p>
    <w:p w:rsidRDefault="00A003B7" w:rsidP="00A003B7" w:rsidR="00A003B7">
      <w:pPr>
        <w:jc w:val="both"/>
      </w:pPr>
      <w:r>
        <w:t>DNA:</w:t>
      </w:r>
    </w:p>
    <w:p w:rsidRDefault="00A003B7" w:rsidP="00A003B7" w:rsidR="00A003B7">
      <w:pPr>
        <w:numPr>
          <w:ilvl w:val="0"/>
          <w:numId w:val="47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e-oglasna ploča – 3 dana</w:t>
      </w:r>
    </w:p>
    <w:p w:rsidRDefault="00A003B7" w:rsidP="00A003B7" w:rsidR="00A003B7">
      <w:pPr>
        <w:numPr>
          <w:ilvl w:val="0"/>
          <w:numId w:val="47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 xml:space="preserve">pisarnica – kal. 30 dana </w:t>
      </w:r>
    </w:p>
    <w:p w:rsidRDefault="00A003B7" w:rsidP="00A003B7" w:rsidR="00A003B7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>U Varaždinu, 5. studenog 2015.</w:t>
      </w:r>
    </w:p>
    <w:p w:rsidRDefault="00A003B7" w:rsidP="00A003B7" w:rsidR="00A003B7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003B7" w:rsidP="00A003B7" w:rsidR="00A003B7">
      <w:pPr>
        <w:rPr>
          <w:sz w:val="20"/>
          <w:szCs w:val="20"/>
        </w:rPr>
      </w:pPr>
    </w:p>
    <w:p w:rsidRDefault="00AE649C" w:rsidP="00A003B7" w:rsidR="00AE649C" w:rsidRPr="00A003B7">
      <w:pPr>
        <w:jc w:val="both"/>
        <w:rPr>
          <w:rFonts w:cs="Arial" w:hAnsi="Arial" w:ascii="Arial"/>
        </w:rPr>
      </w:pPr>
    </w:p>
    <w:p w:rsidRDefault="00FF3E18" w:rsidP="00FF3E18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F3E18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7018101"/>
      <w:docPartObj>
        <w:docPartGallery w:val="Page Numbers (Top of Page)"/>
        <w:docPartUnique/>
      </w:docPartObj>
    </w:sdtPr>
    <w:sdtContent>
      <w:p w:rsidRDefault="00FF3E18" w:rsidR="00FF3E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3B7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E18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5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50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St-104/2015-13</izvorni_sadrzaj>
    <derivirana_varijabla naziv="DomainObject.Oznaka_1">St-104/2015-13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</izvorni_sadrzaj>
    <derivirana_varijabla naziv="DomainObject.Predmet.OstaliListFormated_1">
      <item>Sudski registar</item>
      <item>Katarina Conar-brod</item>
      <item>KATARINA CONAR BROD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</izvorni_sadrzaj>
    <derivirana_varijabla naziv="DomainObject.Predmet.OstaliListFormatedOIB_1">
      <item>Sudski registar</item>
      <item>Katarina Conar-brod, OIB 45444178361</item>
      <item>KATARINA CONAR BROD, OIB 45444178361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</izvorni_sadrzaj>
    <derivirana_varijabla naziv="DomainObject.Predmet.OstaliListNazivFormated_1">
      <item>Sudski registar</item>
      <item>Katarina Conar-brod</item>
      <item>KATARINA CONAR BROD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</izvorni_sadrzaj>
    <derivirana_varijabla naziv="DomainObject.Predmet.OstaliListNazivFormatedOIB_1">
      <item>Sudski registar</item>
      <item>Katarina Conar-brod, OIB 45444178361</item>
      <item>KATARINA CONAR 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St-104/2015-13</izvorni_sadrzaj>
    <derivirana_varijabla naziv="DomainObject.PoslovniBrojDokumenta_1">St-104/2015-13</derivirana_varijabla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D91D9-B345-42AC-8F5A-5EC6D69F6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901</properties:Words>
  <properties:Characters>5189</properties:Characters>
  <properties:Lines>511</properties:Lines>
  <properties:Paragraphs>269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2015-11-05T08:50:00Z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St-104/2015-13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