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f7e4" w14:paraId="344f7e4" w:rsidRDefault="00F840D6" w:rsidR="001F5D0B">
      <w:pPr>
        <w:pStyle w:val="Standard"/>
        <w:jc w:val="center"/>
        <w15:collapsed w:val="false"/>
      </w:pPr>
      <w:bookmarkStart w:name="_GoBack" w:id="0"/>
      <w:bookmarkEnd w:id="0"/>
      <w:r>
        <w:rPr>
          <w:rFonts w:cs="Tahoma" w:hAnsi="Tahoma" w:ascii="Tahoma"/>
        </w:rPr>
        <w:t>Obrazac 22.</w:t>
      </w:r>
    </w:p>
    <w:p w:rsidRDefault="00F840D6" w:rsidR="001F5D0B">
      <w:pPr>
        <w:widowControl/>
        <w:suppressAutoHyphens w:val="false"/>
        <w:spacing w:lineRule="auto" w:line="240" w:after="80"/>
        <w:textAlignment w:val="auto"/>
        <w:rPr>
          <w:rFonts w:cs="Tahoma" w:eastAsia="Calibri" w:hAnsi="Tahoma" w:ascii="Tahoma"/>
          <w:b/>
          <w:kern w:val="0"/>
          <w:sz w:val="28"/>
          <w:szCs w:val="28"/>
          <w:lang w:bidi="ar-SA" w:eastAsia="en-US"/>
        </w:rPr>
      </w:pPr>
      <w:r>
        <w:rPr>
          <w:rFonts w:cs="Tahoma" w:eastAsia="Calibri" w:hAnsi="Tahoma" w:ascii="Tahoma"/>
          <w:b/>
          <w:kern w:val="0"/>
          <w:sz w:val="28"/>
          <w:szCs w:val="28"/>
          <w:lang w:bidi="ar-SA" w:eastAsia="en-US"/>
        </w:rPr>
        <w:t xml:space="preserve">             IZVJEŠĆE I ZAVRŠNI RAČUN STEČAJNOGA UPRAVITELJA</w:t>
      </w:r>
    </w:p>
    <w:p w:rsidRDefault="001F5D0B" w:rsidR="001F5D0B">
      <w:pPr>
        <w:pStyle w:val="Standard"/>
        <w:jc w:val="center"/>
        <w:rPr>
          <w:b/>
        </w:rPr>
      </w:pPr>
    </w:p>
    <w:p w:rsidRDefault="00F840D6" w:rsidR="001F5D0B">
      <w:pPr>
        <w:pStyle w:val="Standard"/>
        <w:spacing w:lineRule="auto" w:line="288" w:after="0"/>
        <w:jc w:val="both"/>
      </w:pPr>
      <w:r>
        <w:rPr>
          <w:rFonts w:cs="Tahoma" w:hAnsi="Tahoma" w:ascii="Tahoma"/>
          <w:b/>
          <w:lang w:val="pl-PL"/>
        </w:rPr>
        <w:t>Nadle</w:t>
      </w:r>
      <w:r>
        <w:rPr>
          <w:rFonts w:cs="Tahoma" w:hAnsi="Tahoma" w:ascii="Tahoma"/>
          <w:b/>
        </w:rPr>
        <w:t>ž</w:t>
      </w:r>
      <w:r>
        <w:rPr>
          <w:rFonts w:cs="Tahoma" w:hAnsi="Tahoma" w:ascii="Tahoma"/>
          <w:b/>
          <w:lang w:val="pl-PL"/>
        </w:rPr>
        <w:t>an trgova</w:t>
      </w:r>
      <w:r>
        <w:rPr>
          <w:rFonts w:cs="Tahoma" w:hAnsi="Tahoma" w:ascii="Tahoma"/>
          <w:b/>
        </w:rPr>
        <w:t>č</w:t>
      </w:r>
      <w:r>
        <w:rPr>
          <w:rFonts w:cs="Tahoma" w:hAnsi="Tahoma" w:ascii="Tahoma"/>
          <w:b/>
          <w:lang w:val="pl-PL"/>
        </w:rPr>
        <w:t>ki sud</w:t>
      </w:r>
      <w:r>
        <w:rPr>
          <w:rFonts w:cs="Tahoma" w:hAnsi="Tahoma" w:ascii="Tahoma"/>
          <w:lang w:val="pl-PL"/>
        </w:rPr>
        <w:t>:</w:t>
      </w:r>
      <w:r>
        <w:rPr>
          <w:rFonts w:cs="Tahoma" w:hAnsi="Tahoma" w:ascii="Tahoma"/>
        </w:rPr>
        <w:tab/>
      </w:r>
      <w:r>
        <w:rPr>
          <w:rFonts w:cs="Tahoma" w:hAnsi="Tahoma" w:ascii="Tahoma"/>
          <w:b/>
        </w:rPr>
        <w:t>Trgovački sud u Varaždinu</w:t>
      </w:r>
    </w:p>
    <w:p w:rsidRDefault="00F840D6" w:rsidR="001F5D0B">
      <w:pPr>
        <w:pStyle w:val="Standard"/>
        <w:spacing w:lineRule="auto" w:line="288" w:after="0"/>
        <w:jc w:val="both"/>
      </w:pPr>
      <w:r>
        <w:rPr>
          <w:rFonts w:cs="Tahoma" w:hAnsi="Tahoma" w:ascii="Tahoma"/>
          <w:b/>
          <w:lang w:val="pl-PL"/>
        </w:rPr>
        <w:t>Poslovni broj spisa</w:t>
      </w:r>
      <w:r>
        <w:rPr>
          <w:rFonts w:cs="Tahoma" w:hAnsi="Tahoma" w:ascii="Tahoma"/>
          <w:lang w:val="pl-PL"/>
        </w:rPr>
        <w:t>: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b/>
          <w:lang w:val="pl-PL"/>
        </w:rPr>
        <w:t>St-819/16</w:t>
      </w:r>
    </w:p>
    <w:p w:rsidRDefault="00F840D6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 xml:space="preserve">Dužnik: </w:t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ANIS d.o.o. u stečaju, </w:t>
      </w:r>
      <w:bookmarkStart w:name="_Hlk482859427" w:id="1"/>
      <w:r>
        <w:rPr>
          <w:rFonts w:cs="Tahoma" w:hAnsi="Tahoma" w:ascii="Tahoma"/>
          <w:b/>
          <w:lang w:val="pl-PL"/>
        </w:rPr>
        <w:t>OIB: 69801881400</w:t>
      </w:r>
      <w:bookmarkEnd w:id="1"/>
    </w:p>
    <w:p w:rsidRDefault="00F840D6" w:rsidR="001F5D0B">
      <w:pPr>
        <w:pStyle w:val="Standard"/>
        <w:spacing w:lineRule="auto" w:line="288" w:after="0"/>
        <w:ind w:firstLine="709" w:left="2127"/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  <w:t>Braće Radića 35, Štefanec</w:t>
      </w:r>
    </w:p>
    <w:p w:rsidRDefault="001F5D0B" w:rsidR="001F5D0B">
      <w:pPr>
        <w:pStyle w:val="Standard"/>
        <w:spacing w:lineRule="auto" w:line="288" w:after="0"/>
        <w:ind w:firstLine="709" w:left="2127"/>
        <w:jc w:val="both"/>
        <w:rPr>
          <w:rFonts w:cs="Tahoma" w:hAnsi="Tahoma" w:ascii="Tahoma"/>
          <w:b/>
          <w:lang w:val="pl-PL"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hAnsi="Tahoma" w:ascii="Tahoma"/>
        </w:rPr>
      </w:pPr>
      <w:r>
        <w:rPr>
          <w:rFonts w:cs="Tahoma" w:eastAsia="Calibri" w:hAnsi="Tahoma" w:ascii="Tahoma"/>
          <w:kern w:val="0"/>
          <w:lang w:bidi="ar-SA" w:eastAsia="en-US"/>
        </w:rPr>
        <w:t xml:space="preserve">Nad trgovačkim društvom ANIS d. o. o., </w:t>
      </w:r>
      <w:proofErr w:type="spellStart"/>
      <w:r>
        <w:rPr>
          <w:rFonts w:cs="Tahoma" w:eastAsia="Calibri" w:hAnsi="Tahoma" w:ascii="Tahoma"/>
          <w:kern w:val="0"/>
          <w:lang w:bidi="ar-SA" w:eastAsia="en-US"/>
        </w:rPr>
        <w:t>Štefanec</w:t>
      </w:r>
      <w:proofErr w:type="spellEnd"/>
      <w:r>
        <w:rPr>
          <w:rFonts w:cs="Tahoma" w:eastAsia="Calibri" w:hAnsi="Tahoma" w:ascii="Tahoma"/>
          <w:kern w:val="0"/>
          <w:lang w:bidi="ar-SA" w:eastAsia="en-US"/>
        </w:rPr>
        <w:t>, Braće Radića 35, OIB: 69801881400, dana 14.10.2016. rješenjem broj St-819/11 otvoren je stečajni postupak zbog blokade žiro računa od 09.02.2016. u iznosu 68.258,50 kn. Na dan otvaranja postupka stečajni dužnik nije imao zaposlenika a jedinu imovinu činilo je 1 vozilo i 2 tražbine.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Calibri" w:hAnsi="Tahoma" w:ascii="Tahoma"/>
          <w:kern w:val="0"/>
          <w:lang w:bidi="ar-SA" w:eastAsia="en-US" w:val="pl-PL"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hAnsi="Tahoma" w:ascii="Tahoma"/>
          <w:lang w:val="pl-PL"/>
        </w:rPr>
      </w:pPr>
      <w:r>
        <w:rPr>
          <w:rFonts w:cs="Tahoma" w:eastAsia="Calibri" w:hAnsi="Tahoma" w:ascii="Tahoma"/>
          <w:kern w:val="0"/>
          <w:lang w:bidi="ar-SA" w:eastAsia="en-US" w:val="pl-PL"/>
        </w:rPr>
        <w:t xml:space="preserve">U skladu sa odredbom članka 193. st. 1. ranijeg Stečajnog zakona, a na obrascu broj 22 prema novom stečajnom zakonu, podnosi se prijedlog završne diobe s završnim računom radi zaključenja stečajnog postupka. </w:t>
      </w:r>
      <w:r>
        <w:rPr>
          <w:rFonts w:cs="Tahoma" w:hAnsi="Tahoma" w:ascii="Tahoma"/>
          <w:lang w:val="pl-PL"/>
        </w:rPr>
        <w:t xml:space="preserve">Završni račun sadrži: I. račun prihoda i rashoda (izračun ostatka) </w:t>
      </w:r>
      <w:bookmarkStart w:name="_Hlk482620798" w:id="2"/>
      <w:r>
        <w:rPr>
          <w:rFonts w:cs="Tahoma" w:hAnsi="Tahoma" w:ascii="Tahoma"/>
          <w:lang w:val="pl-PL"/>
        </w:rPr>
        <w:t xml:space="preserve">s prijedlogom namirenja razlučnog vjerovnika, II. završnu bilancu, III. završni izvještaj stečajnoga upravitelja i IV. </w:t>
      </w:r>
      <w:bookmarkEnd w:id="2"/>
      <w:r>
        <w:rPr>
          <w:rFonts w:cs="Tahoma" w:hAnsi="Tahoma" w:ascii="Tahoma"/>
          <w:lang w:val="pl-PL"/>
        </w:rPr>
        <w:t>završni (diobni) popis.</w:t>
      </w: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840D6" w:rsidR="001F5D0B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Završni diobni popis predstavlja djelomičnu diobu stečajne mase koja je ujedno i završna dioba, troškove u razdoblju od 14.10.2016.g. do dana 31.05.2017.g. kao dana izrade završnog računa za potrebe završnog ročišta.  </w:t>
      </w:r>
    </w:p>
    <w:p w:rsidRDefault="001F5D0B" w:rsidR="001F5D0B">
      <w:pPr>
        <w:pStyle w:val="Standard"/>
        <w:spacing w:lineRule="auto" w:line="288" w:after="0"/>
        <w:jc w:val="center"/>
        <w:rPr>
          <w:rFonts w:cs="Tahoma" w:hAnsi="Tahoma" w:ascii="Tahoma"/>
        </w:rPr>
      </w:pPr>
    </w:p>
    <w:p w:rsidRDefault="00F840D6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u w:val="single"/>
        </w:rPr>
      </w:pPr>
      <w:r>
        <w:rPr>
          <w:rFonts w:cs="Tahoma" w:hAnsi="Tahoma" w:ascii="Tahoma"/>
          <w:b/>
          <w:u w:val="single"/>
        </w:rPr>
        <w:t>I. RAČUN PRIHODA I RASHODA</w:t>
      </w: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u w:val="single"/>
        </w:rPr>
      </w:pPr>
    </w:p>
    <w:p w:rsidRDefault="00F840D6" w:rsidR="001F5D0B">
      <w:pPr>
        <w:pStyle w:val="Standard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periodu od otvaranja stečajnog postupka 14.10.2016.g. zaključno do 31.05.2017.g. ostvareni su sljedeći prihodi i rashodi (podmirene obveze) u  stečajnom postupku s osnova prikazanih u Tabeli 1.</w:t>
      </w: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i/>
          <w:kern w:val="0"/>
          <w:lang w:bidi="ar-SA" w:eastAsia="hr-HR"/>
        </w:rPr>
      </w:pPr>
      <w:r>
        <w:rPr>
          <w:rFonts w:cs="Tahoma" w:eastAsia="Times New Roman" w:hAnsi="Tahoma" w:ascii="Tahoma"/>
          <w:i/>
          <w:kern w:val="0"/>
          <w:lang w:bidi="ar-SA" w:eastAsia="hr-HR"/>
        </w:rPr>
        <w:t>Tabela 1.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i/>
          <w:kern w:val="0"/>
          <w:lang w:bidi="ar-SA" w:eastAsia="hr-HR"/>
        </w:rPr>
      </w:pPr>
    </w:p>
    <w:tbl>
      <w:tblPr>
        <w:tblW w:type="dxa" w:w="9222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090"/>
        <w:gridCol w:w="2132"/>
      </w:tblGrid>
      <w:tr w:rsidR="001F5D0B">
        <w:trPr>
          <w:jc w:val="center"/>
        </w:trPr>
        <w:tc>
          <w:tcPr>
            <w:tcW w:type="dxa" w:w="7090"/>
            <w:tcBorders>
              <w:top w:space="0" w:sz="6" w:color="000000" w:val="doub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Ostvareni priljevi novčanih sredstava</w:t>
            </w:r>
          </w:p>
        </w:tc>
        <w:tc>
          <w:tcPr>
            <w:tcW w:type="dxa" w:w="2132"/>
            <w:tcBorders>
              <w:top w:space="0" w:sz="6" w:color="000000" w:val="doub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E0E0E0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 xml:space="preserve">             Iznos</w:t>
            </w:r>
          </w:p>
        </w:tc>
      </w:tr>
      <w:tr w:rsidR="001F5D0B">
        <w:trPr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 xml:space="preserve">Unovčenje pokretnina- motorna vozila   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 xml:space="preserve">               5.000,00</w:t>
            </w:r>
          </w:p>
        </w:tc>
      </w:tr>
      <w:tr w:rsidR="001F5D0B">
        <w:trPr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PDV na unovčene pokretnine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 xml:space="preserve">               1.250,00</w:t>
            </w:r>
          </w:p>
        </w:tc>
      </w:tr>
      <w:tr w:rsidR="001F5D0B">
        <w:trPr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Ukupno priljevi na račun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 xml:space="preserve">              6.250,00</w:t>
            </w:r>
          </w:p>
        </w:tc>
      </w:tr>
      <w:tr w:rsidR="001F5D0B">
        <w:trPr>
          <w:trHeight w:val="340"/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  <w:t>Bankovne usluge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  <w:t>144,50</w:t>
            </w:r>
          </w:p>
        </w:tc>
      </w:tr>
      <w:tr w:rsidR="001F5D0B">
        <w:trPr>
          <w:trHeight w:val="340"/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  <w:t>PDV na unovčene pokretnine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               1.250,00</w:t>
            </w:r>
          </w:p>
        </w:tc>
      </w:tr>
      <w:tr w:rsidR="001F5D0B">
        <w:trPr>
          <w:trHeight w:val="340"/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Ukupno rashodi sa računa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1.394,50</w:t>
            </w:r>
          </w:p>
        </w:tc>
      </w:tr>
      <w:tr w:rsidR="001F5D0B">
        <w:trPr>
          <w:trHeight w:val="340"/>
          <w:jc w:val="center"/>
        </w:trPr>
        <w:tc>
          <w:tcPr>
            <w:tcW w:type="dxa" w:w="7090"/>
            <w:tcBorders>
              <w:top w:space="0" w:sz="4" w:color="000000" w:val="single"/>
              <w:left w:space="0" w:sz="6" w:color="000000" w:val="double"/>
              <w:bottom w:space="0" w:sz="6" w:color="000000" w:val="double"/>
              <w:right w:space="0" w:sz="4" w:color="000000" w:val="sing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both"/>
              <w:textAlignment w:val="auto"/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Stanje računa</w:t>
            </w:r>
          </w:p>
        </w:tc>
        <w:tc>
          <w:tcPr>
            <w:tcW w:type="dxa" w:w="2132"/>
            <w:tcBorders>
              <w:top w:space="0" w:sz="4" w:color="000000" w:val="single"/>
              <w:left w:space="0" w:sz="4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4.855,50</w:t>
            </w:r>
          </w:p>
        </w:tc>
      </w:tr>
    </w:tbl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lastRenderedPageBreak/>
        <w:t xml:space="preserve">Na računu stečajnog dužnika na dan 31.05.2017. nalaze se novčana  sredstva u iznosu od </w:t>
      </w:r>
      <w:r>
        <w:rPr>
          <w:rFonts w:cs="Tahoma" w:eastAsia="Times New Roman" w:hAnsi="Tahoma" w:ascii="Tahoma"/>
          <w:b/>
          <w:kern w:val="0"/>
          <w:lang w:bidi="ar-SA" w:eastAsia="hr-HR"/>
        </w:rPr>
        <w:t xml:space="preserve">4.855,50 kn </w:t>
      </w:r>
      <w:r>
        <w:rPr>
          <w:rFonts w:cs="Tahoma" w:eastAsia="Times New Roman" w:hAnsi="Tahoma" w:ascii="Tahoma"/>
          <w:kern w:val="0"/>
          <w:lang w:bidi="ar-SA" w:eastAsia="hr-HR"/>
        </w:rPr>
        <w:t>(6.250,00 - 1.394,50).</w:t>
      </w: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/>
        </w:rPr>
      </w:pPr>
    </w:p>
    <w:p w:rsidRDefault="00F840D6" w:rsidR="001F5D0B">
      <w:pPr>
        <w:widowControl/>
        <w:suppressAutoHyphens w:val="false"/>
        <w:spacing w:lineRule="auto" w:line="288" w:after="0" w:before="100"/>
        <w:jc w:val="both"/>
        <w:textAlignment w:val="auto"/>
      </w:pPr>
      <w:r>
        <w:rPr>
          <w:rFonts w:cs="Tahoma" w:eastAsia="Times New Roman" w:hAnsi="Tahoma" w:ascii="Tahoma"/>
          <w:b/>
          <w:bCs/>
          <w:iCs/>
          <w:kern w:val="0"/>
          <w:u w:val="single"/>
          <w:lang w:bidi="ar-SA" w:eastAsia="hr-HR"/>
        </w:rPr>
        <w:t xml:space="preserve">III. ZAVRŠNA BILANCA  </w:t>
      </w:r>
    </w:p>
    <w:p w:rsidRDefault="00F840D6" w:rsidR="001F5D0B">
      <w:pPr>
        <w:widowControl/>
        <w:suppressAutoHyphens w:val="false"/>
        <w:spacing w:lineRule="auto" w:line="288" w:after="0" w:before="10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Početna stečajna bilanca izrađena je sukladno čl. 227. SZ- a prema prikazanom stanju imovine i obveza u knjigovodstvu (poslovnim knjigama) stečajnog dužnika i prijavljenim tražbinama vjerovnika stečajnog dužnika.</w:t>
      </w:r>
    </w:p>
    <w:p w:rsidRDefault="00F840D6" w:rsidR="001F5D0B">
      <w:pPr>
        <w:widowControl/>
        <w:suppressAutoHyphens w:val="false"/>
        <w:spacing w:lineRule="auto" w:line="288" w:after="0" w:before="10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>S danom 31.05.2017. izrađena je završna stečajna bilanca sa iskazanim stanjem imovine nakon unovčenja i provedenim knjigovodstvenim usklađenjem u iznosu od 4.855,50</w:t>
      </w:r>
      <w:r>
        <w:rPr>
          <w:rFonts w:cs="Tahoma" w:eastAsia="Times New Roman" w:hAnsi="Tahoma" w:ascii="Tahoma"/>
          <w:color w:val="FF0000"/>
          <w:kern w:val="0"/>
          <w:lang w:bidi="ar-SA" w:eastAsia="hr-HR"/>
        </w:rPr>
        <w:t xml:space="preserve"> </w:t>
      </w:r>
      <w:r>
        <w:rPr>
          <w:rFonts w:cs="Tahoma" w:eastAsia="Times New Roman" w:hAnsi="Tahoma" w:ascii="Tahoma"/>
          <w:kern w:val="0"/>
          <w:lang w:bidi="ar-SA" w:eastAsia="hr-HR"/>
        </w:rPr>
        <w:t>kn te sa iskazanim stanjem neplaćenih obveza stečajne mase na dan 31.05.2017.u iznosu od 6.597,00 kn.</w:t>
      </w:r>
    </w:p>
    <w:p w:rsidRDefault="001F5D0B" w:rsidR="001F5D0B">
      <w:pPr>
        <w:widowControl/>
        <w:suppressAutoHyphens w:val="false"/>
        <w:spacing w:lineRule="auto" w:line="288" w:after="0" w:before="100"/>
        <w:jc w:val="both"/>
        <w:textAlignment w:val="auto"/>
      </w:pPr>
    </w:p>
    <w:p w:rsidRDefault="00F840D6" w:rsidR="001F5D0B">
      <w:pPr>
        <w:widowControl/>
        <w:suppressAutoHyphens w:val="false"/>
        <w:spacing w:lineRule="auto" w:line="288" w:after="0" w:before="10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U Tabeli 2. sadrži usporedni prikaz početne i prijedlog završene stečajne bilance.</w:t>
      </w:r>
    </w:p>
    <w:p w:rsidRDefault="00F840D6" w:rsidR="001F5D0B">
      <w:pPr>
        <w:widowControl/>
        <w:suppressAutoHyphens w:val="false"/>
        <w:spacing w:lineRule="auto" w:line="288" w:after="0" w:before="100"/>
        <w:textAlignment w:val="auto"/>
      </w:pPr>
      <w:r>
        <w:rPr>
          <w:rFonts w:cs="Tahoma" w:eastAsia="Times New Roman" w:hAnsi="Tahoma" w:ascii="Tahoma"/>
          <w:bCs/>
          <w:i/>
          <w:iCs/>
          <w:kern w:val="0"/>
          <w:sz w:val="22"/>
          <w:szCs w:val="22"/>
          <w:lang w:bidi="ar-SA" w:eastAsia="hr-HR"/>
        </w:rPr>
        <w:t>Tabela 2.</w:t>
      </w:r>
    </w:p>
    <w:p w:rsidRDefault="001F5D0B" w:rsidR="001F5D0B">
      <w:pPr>
        <w:widowControl/>
        <w:suppressAutoHyphens w:val="false"/>
        <w:spacing w:lineRule="auto" w:line="288" w:after="0" w:before="100"/>
        <w:textAlignment w:val="auto"/>
      </w:pPr>
    </w:p>
    <w:tbl>
      <w:tblPr>
        <w:tblW w:type="dxa" w:w="1001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73"/>
        <w:gridCol w:w="4287"/>
        <w:gridCol w:w="2393"/>
        <w:gridCol w:w="2565"/>
      </w:tblGrid>
      <w:tr w:rsidR="001F5D0B">
        <w:trPr>
          <w:trHeight w:val="604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uto" w:line="240" w:after="0" w:before="100"/>
              <w:jc w:val="center"/>
              <w:textAlignment w:val="auto"/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R.br.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uto" w:line="240" w:after="119" w:before="100"/>
              <w:jc w:val="center"/>
              <w:textAlignment w:val="auto"/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Opis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uto" w:line="240" w:after="0" w:before="100"/>
              <w:jc w:val="center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Početna stečajna bilanca dan OSP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uto" w:line="240" w:after="119" w:before="100"/>
              <w:jc w:val="center"/>
              <w:textAlignment w:val="auto"/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Prijedlog završne stečajne bilance</w:t>
            </w:r>
          </w:p>
        </w:tc>
      </w:tr>
      <w:tr w:rsidR="001F5D0B">
        <w:trPr>
          <w:trHeight w:val="18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1.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Pokretnine (teretno vozilo)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1.493,34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0,00</w:t>
            </w:r>
          </w:p>
        </w:tc>
      </w:tr>
      <w:tr w:rsidR="001F5D0B">
        <w:trPr>
          <w:trHeight w:val="18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2.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Potraživanja od INO kupca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249.108,43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0,00</w:t>
            </w:r>
          </w:p>
        </w:tc>
      </w:tr>
      <w:tr w:rsidR="001F5D0B">
        <w:trPr>
          <w:trHeight w:val="18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3.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Potraživanja za pozajmicu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8.833,46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0,00</w:t>
            </w:r>
          </w:p>
        </w:tc>
      </w:tr>
      <w:tr w:rsidR="001F5D0B">
        <w:trPr>
          <w:trHeight w:val="18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bookmarkStart w:name="_Hlk482866440" w:id="3"/>
            <w:bookmarkEnd w:id="3"/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4.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Novčana sredstva na računu u stečaju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0,00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4.855,50</w:t>
            </w:r>
          </w:p>
        </w:tc>
      </w:tr>
      <w:tr w:rsidR="001F5D0B">
        <w:trPr>
          <w:trHeight w:val="18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0E0E0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1F5D0B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0E0E0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textAlignment w:val="auto"/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IMOVINA (r.br.1+2+3+4)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0E0E0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259.435,23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0E0E0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80" w:after="119" w:before="100"/>
              <w:jc w:val="right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4.855,50</w:t>
            </w:r>
          </w:p>
        </w:tc>
      </w:tr>
      <w:tr w:rsidR="001F5D0B">
        <w:trPr>
          <w:trHeight w:val="15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1.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Obveze prema dobavljačima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19.971,37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19.971,37</w:t>
            </w:r>
          </w:p>
        </w:tc>
      </w:tr>
      <w:tr w:rsidR="001F5D0B">
        <w:trPr>
          <w:trHeight w:val="15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2.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Obveze za poreze i doprinose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62.222,26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59.822,26</w:t>
            </w:r>
          </w:p>
        </w:tc>
      </w:tr>
      <w:tr w:rsidR="001F5D0B">
        <w:trPr>
          <w:trHeight w:val="150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3.</w:t>
            </w: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Neplaćene obveze u stečaju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0,00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50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  <w:t>6.597,00</w:t>
            </w:r>
          </w:p>
        </w:tc>
      </w:tr>
      <w:tr w:rsidR="001F5D0B">
        <w:trPr>
          <w:trHeight w:val="195"/>
          <w:jc w:val="center"/>
        </w:trPr>
        <w:tc>
          <w:tcPr>
            <w:tcW w:type="dxa" w:w="7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1F5D0B" w:rsidR="001F5D0B">
            <w:pPr>
              <w:widowControl/>
              <w:suppressAutoHyphens w:val="false"/>
              <w:spacing w:lineRule="atLeast" w:line="195" w:after="119" w:before="100"/>
              <w:jc w:val="right"/>
              <w:textAlignment w:val="auto"/>
              <w:rPr>
                <w:rFonts w:cs="Tahoma" w:eastAsia="Times New Roman" w:hAnsi="Tahoma" w:ascii="Tahoma"/>
                <w:kern w:val="0"/>
                <w:sz w:val="22"/>
                <w:szCs w:val="22"/>
                <w:lang w:bidi="ar-SA" w:eastAsia="hr-HR"/>
              </w:rPr>
            </w:pPr>
          </w:p>
        </w:tc>
        <w:tc>
          <w:tcPr>
            <w:tcW w:type="dxa" w:w="42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95" w:after="119" w:before="100"/>
              <w:textAlignment w:val="auto"/>
            </w:pPr>
            <w:r>
              <w:rPr>
                <w:rFonts w:cs="Tahoma" w:eastAsia="Times New Roman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OBVEZE (r-br.1+2+3)</w:t>
            </w:r>
          </w:p>
        </w:tc>
        <w:tc>
          <w:tcPr>
            <w:tcW w:type="dxa" w:w="23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95" w:after="119" w:before="100"/>
              <w:jc w:val="right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82.193,63</w:t>
            </w:r>
          </w:p>
        </w:tc>
        <w:tc>
          <w:tcPr>
            <w:tcW w:type="dxa" w:w="2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105"/>
              <w:left w:type="dxa" w:w="105"/>
              <w:bottom w:type="dxa" w:w="105"/>
              <w:right w:type="dxa" w:w="105"/>
            </w:tcMar>
          </w:tcPr>
          <w:p w:rsidRDefault="00F840D6" w:rsidR="001F5D0B">
            <w:pPr>
              <w:widowControl/>
              <w:suppressAutoHyphens w:val="false"/>
              <w:spacing w:lineRule="atLeast" w:line="195" w:after="119" w:before="100"/>
              <w:jc w:val="right"/>
              <w:textAlignment w:val="auto"/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Times New Roman" w:hAnsi="Tahoma" w:ascii="Tahoma"/>
                <w:b/>
                <w:kern w:val="0"/>
                <w:sz w:val="22"/>
                <w:szCs w:val="22"/>
                <w:lang w:bidi="ar-SA" w:eastAsia="hr-HR"/>
              </w:rPr>
              <w:t>86.390,63</w:t>
            </w:r>
          </w:p>
        </w:tc>
      </w:tr>
    </w:tbl>
    <w:p w:rsidRDefault="001F5D0B" w:rsidR="001F5D0B">
      <w:pPr>
        <w:widowControl/>
        <w:suppressAutoHyphens w:val="false"/>
        <w:spacing w:lineRule="auto" w:line="288" w:after="0" w:before="100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 w:before="100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 w:before="100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  <w:r>
        <w:rPr>
          <w:rFonts w:cs="Tahoma" w:eastAsia="Times New Roman" w:hAnsi="Tahoma" w:ascii="Tahoma"/>
          <w:b/>
          <w:kern w:val="0"/>
          <w:lang w:bidi="ar-SA" w:eastAsia="hr-HR"/>
        </w:rPr>
        <w:t>Evidentirane promjene na aktivi, odnosno  imovini</w:t>
      </w:r>
    </w:p>
    <w:p w:rsidRDefault="001F5D0B" w:rsidR="001F5D0B">
      <w:pPr>
        <w:widowControl/>
        <w:suppressAutoHyphens w:val="false"/>
        <w:spacing w:lineRule="auto" w:line="288" w:after="0" w:before="100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 w:before="10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Imovina stečajnog dužnika na dan otvaranja stečajnog postupka sastojala se od pokretn</w:t>
      </w:r>
      <w:r>
        <w:rPr>
          <w:rFonts w:cs="Tahoma" w:eastAsia="Times New Roman" w:hAnsi="Tahoma" w:ascii="Tahoma"/>
          <w:kern w:val="0"/>
          <w:lang w:bidi="ar-SA" w:eastAsia="hr-HR"/>
        </w:rPr>
        <w:t>i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ne i potraživanja, a na dan izrade završnog računa sastoji se od sredstava na računu,                    ostvarenog prodajom teretnog vozila, zbog čega su u knjigovodstvu stečajnog dužnika evidentirane promjene, sve kako slijedi u nastavku.  </w:t>
      </w:r>
    </w:p>
    <w:p w:rsidRDefault="00F840D6" w:rsidR="001F5D0B">
      <w:pPr>
        <w:widowControl/>
        <w:suppressAutoHyphens w:val="false"/>
        <w:spacing w:lineRule="auto" w:line="288" w:after="0" w:before="100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>Imovina stečajnog dužnika iskazana je u početnoj stečajnoj bilanci danom otvaranja st</w:t>
      </w:r>
      <w:r>
        <w:rPr>
          <w:rFonts w:cs="Tahoma" w:eastAsia="Times New Roman" w:hAnsi="Tahoma" w:ascii="Tahoma"/>
          <w:kern w:val="0"/>
          <w:lang w:bidi="ar-SA" w:eastAsia="hr-HR"/>
        </w:rPr>
        <w:t>e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čajnog postupka u iznosu od  </w:t>
      </w:r>
      <w:r>
        <w:rPr>
          <w:rFonts w:cs="Tahoma" w:eastAsia="Times New Roman" w:hAnsi="Tahoma" w:ascii="Tahoma"/>
          <w:b/>
          <w:kern w:val="0"/>
          <w:lang w:bidi="ar-SA" w:eastAsia="hr-HR"/>
        </w:rPr>
        <w:t>259.435,23 kn</w:t>
      </w:r>
      <w:r>
        <w:rPr>
          <w:rFonts w:cs="Tahoma" w:eastAsia="Times New Roman" w:hAnsi="Tahoma" w:ascii="Tahoma"/>
          <w:kern w:val="0"/>
          <w:lang w:bidi="ar-SA" w:eastAsia="hr-HR"/>
        </w:rPr>
        <w:t>,</w:t>
      </w:r>
      <w:r>
        <w:rPr>
          <w:rFonts w:cs="Tahoma" w:eastAsia="Times New Roman" w:hAnsi="Tahoma" w:ascii="Tahoma"/>
          <w:b/>
          <w:kern w:val="0"/>
          <w:lang w:bidi="ar-SA" w:eastAsia="hr-HR"/>
        </w:rPr>
        <w:t xml:space="preserve"> </w:t>
      </w:r>
      <w:r>
        <w:rPr>
          <w:rFonts w:cs="Tahoma" w:eastAsia="Times New Roman" w:hAnsi="Tahoma" w:ascii="Tahoma"/>
          <w:kern w:val="0"/>
          <w:lang w:bidi="ar-SA" w:eastAsia="hr-HR"/>
        </w:rPr>
        <w:t>a sastojala se od:</w:t>
      </w:r>
    </w:p>
    <w:p w:rsidRDefault="001F5D0B" w:rsidR="001F5D0B">
      <w:pPr>
        <w:widowControl/>
        <w:suppressAutoHyphens w:val="false"/>
        <w:spacing w:lineRule="auto" w:line="288" w:after="0" w:before="100"/>
        <w:textAlignment w:val="auto"/>
      </w:pPr>
    </w:p>
    <w:p w:rsidRDefault="00F840D6" w:rsidR="001F5D0B">
      <w:pPr>
        <w:pStyle w:val="Odlomakpopisa"/>
        <w:widowControl/>
        <w:numPr>
          <w:ilvl w:val="0"/>
          <w:numId w:val="30"/>
        </w:numPr>
        <w:suppressAutoHyphens w:val="false"/>
        <w:spacing w:lineRule="auto" w:line="288" w:after="0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Pokretnine (teretno vozilo) u iznosu od  1.493,34 kn</w:t>
      </w:r>
    </w:p>
    <w:p w:rsidRDefault="00F840D6" w:rsidR="001F5D0B">
      <w:pPr>
        <w:pStyle w:val="Odlomakpopisa"/>
        <w:widowControl/>
        <w:numPr>
          <w:ilvl w:val="0"/>
          <w:numId w:val="30"/>
        </w:numPr>
        <w:suppressAutoHyphens w:val="false"/>
        <w:spacing w:lineRule="auto" w:line="288" w:after="0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Potraživanja od INO kupca u iznosu od 249.108,43 kn</w:t>
      </w:r>
    </w:p>
    <w:p w:rsidRDefault="00F840D6" w:rsidR="001F5D0B">
      <w:pPr>
        <w:pStyle w:val="Odlomakpopisa"/>
        <w:widowControl/>
        <w:numPr>
          <w:ilvl w:val="0"/>
          <w:numId w:val="30"/>
        </w:numPr>
        <w:suppressAutoHyphens w:val="false"/>
        <w:spacing w:lineRule="auto" w:line="288" w:after="0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Potraživanja za pozajmicu u iznosu od 8.833,46 kn</w:t>
      </w: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 xml:space="preserve">Vrijednost vozila iznosila je u početnoj stečajnoj bilanci 1.493,34 kn (knjigovodstvena vrijednost). Na X. javnoj dražbi dana 20.04.2017. vozilo je prodano AUTO-MAK d.o.o. iz Varaždina za iznos od </w:t>
      </w:r>
      <w:r>
        <w:rPr>
          <w:rFonts w:cs="Tahoma" w:eastAsia="Times New Roman" w:hAnsi="Tahoma" w:ascii="Tahoma"/>
          <w:kern w:val="0"/>
          <w:u w:val="single"/>
          <w:lang w:bidi="ar-SA" w:eastAsia="hr-HR"/>
        </w:rPr>
        <w:t>5.000,00 kn, u</w:t>
      </w:r>
      <w:r>
        <w:rPr>
          <w:rFonts w:cs="Tahoma" w:eastAsia="Times New Roman" w:hAnsi="Tahoma" w:ascii="Tahoma"/>
          <w:kern w:val="0"/>
          <w:lang w:bidi="ar-SA" w:eastAsia="hr-HR"/>
        </w:rPr>
        <w:t>većano za PDV u iznosu od 1.250,00 kn, odnosno uku</w:t>
      </w:r>
      <w:r>
        <w:rPr>
          <w:rFonts w:cs="Tahoma" w:eastAsia="Times New Roman" w:hAnsi="Tahoma" w:ascii="Tahoma"/>
          <w:kern w:val="0"/>
          <w:lang w:bidi="ar-SA" w:eastAsia="hr-HR"/>
        </w:rPr>
        <w:t>p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no za </w:t>
      </w:r>
      <w:r>
        <w:rPr>
          <w:rFonts w:cs="Tahoma" w:eastAsia="Times New Roman" w:hAnsi="Tahoma" w:ascii="Tahoma"/>
          <w:kern w:val="0"/>
          <w:u w:val="single"/>
          <w:lang w:bidi="ar-SA" w:eastAsia="hr-HR"/>
        </w:rPr>
        <w:t>6.250,00 kn</w:t>
      </w:r>
      <w:r>
        <w:rPr>
          <w:rFonts w:cs="Tahoma" w:eastAsia="Times New Roman" w:hAnsi="Tahoma" w:ascii="Tahoma"/>
          <w:kern w:val="0"/>
          <w:lang w:bidi="ar-SA" w:eastAsia="hr-HR"/>
        </w:rPr>
        <w:t>.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 xml:space="preserve"> </w:t>
      </w: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</w:pPr>
      <w:r>
        <w:rPr>
          <w:rFonts w:cs="Tahoma" w:eastAsia="Times New Roman" w:hAnsi="Tahoma" w:ascii="Tahoma"/>
          <w:i/>
          <w:kern w:val="0"/>
          <w:lang w:bidi="ar-SA" w:eastAsia="hr-HR"/>
        </w:rPr>
        <w:t xml:space="preserve">MF – Porezna uprava Čakovec obavijestila je stečajnog upravitelja o postojanju </w:t>
      </w:r>
      <w:proofErr w:type="spellStart"/>
      <w:r>
        <w:rPr>
          <w:rFonts w:cs="Tahoma" w:eastAsia="Times New Roman" w:hAnsi="Tahoma" w:ascii="Tahoma"/>
          <w:i/>
          <w:kern w:val="0"/>
          <w:lang w:bidi="ar-SA" w:eastAsia="hr-HR"/>
        </w:rPr>
        <w:t>razlučnog</w:t>
      </w:r>
      <w:proofErr w:type="spellEnd"/>
      <w:r>
        <w:rPr>
          <w:rFonts w:cs="Tahoma" w:eastAsia="Times New Roman" w:hAnsi="Tahoma" w:ascii="Tahoma"/>
          <w:i/>
          <w:kern w:val="0"/>
          <w:lang w:bidi="ar-SA" w:eastAsia="hr-HR"/>
        </w:rPr>
        <w:t xml:space="preserve"> prava na imovini - teretnom vozilo VW transporter, godine proizvodnje 1999. g.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hAnsi="Tahoma" w:ascii="Tahoma"/>
          <w:u w:val="single"/>
        </w:rPr>
        <w:t xml:space="preserve">Potraživanja od INO kupca </w:t>
      </w:r>
      <w:r>
        <w:rPr>
          <w:rFonts w:cs="Tahoma" w:hAnsi="Tahoma" w:ascii="Tahoma"/>
        </w:rPr>
        <w:t xml:space="preserve"> - u početnoj stečajnoj bilanci u iskazan je iznos od 249.108,43 kn od društva </w:t>
      </w:r>
      <w:proofErr w:type="spellStart"/>
      <w:r>
        <w:rPr>
          <w:rFonts w:cs="Tahoma" w:hAnsi="Tahoma" w:ascii="Tahoma"/>
        </w:rPr>
        <w:t>Ameris</w:t>
      </w:r>
      <w:proofErr w:type="spellEnd"/>
      <w:r>
        <w:rPr>
          <w:rFonts w:cs="Tahoma" w:hAnsi="Tahoma" w:ascii="Tahoma"/>
        </w:rPr>
        <w:t xml:space="preserve"> </w:t>
      </w:r>
      <w:proofErr w:type="spellStart"/>
      <w:r>
        <w:rPr>
          <w:rFonts w:cs="Tahoma" w:hAnsi="Tahoma" w:ascii="Tahoma"/>
        </w:rPr>
        <w:t>Kft</w:t>
      </w:r>
      <w:proofErr w:type="spellEnd"/>
      <w:r>
        <w:rPr>
          <w:rFonts w:cs="Tahoma" w:hAnsi="Tahoma" w:ascii="Tahoma"/>
        </w:rPr>
        <w:t xml:space="preserve">, </w:t>
      </w:r>
      <w:proofErr w:type="spellStart"/>
      <w:r>
        <w:rPr>
          <w:rFonts w:cs="Tahoma" w:hAnsi="Tahoma" w:ascii="Tahoma"/>
        </w:rPr>
        <w:t>Kossuthl</w:t>
      </w:r>
      <w:proofErr w:type="spellEnd"/>
      <w:r>
        <w:rPr>
          <w:rFonts w:cs="Tahoma" w:hAnsi="Tahoma" w:ascii="Tahoma"/>
        </w:rPr>
        <w:t xml:space="preserve">. </w:t>
      </w:r>
      <w:proofErr w:type="spellStart"/>
      <w:r>
        <w:rPr>
          <w:rFonts w:cs="Tahoma" w:hAnsi="Tahoma" w:ascii="Tahoma"/>
        </w:rPr>
        <w:t>Utca</w:t>
      </w:r>
      <w:proofErr w:type="spellEnd"/>
      <w:r>
        <w:rPr>
          <w:rFonts w:cs="Tahoma" w:hAnsi="Tahoma" w:ascii="Tahoma"/>
        </w:rPr>
        <w:t xml:space="preserve"> 16, </w:t>
      </w:r>
      <w:proofErr w:type="spellStart"/>
      <w:r>
        <w:rPr>
          <w:rFonts w:cs="Tahoma" w:hAnsi="Tahoma" w:ascii="Tahoma"/>
        </w:rPr>
        <w:t>Letenye</w:t>
      </w:r>
      <w:proofErr w:type="spellEnd"/>
      <w:r>
        <w:rPr>
          <w:rFonts w:cs="Tahoma" w:hAnsi="Tahoma" w:ascii="Tahoma"/>
        </w:rPr>
        <w:t>, Mađarska.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hAnsi="Tahoma" w:ascii="Tahoma"/>
        </w:rPr>
        <w:t>Na opomenu za plaćanje direktor toga društva izjavio je da stečajni dužnik zapravo duguje njemu čemu koincidira činjenica da stečajni dužnik nije pokretao nikakav postupka za na</w:t>
      </w:r>
      <w:r>
        <w:rPr>
          <w:rFonts w:cs="Tahoma" w:hAnsi="Tahoma" w:ascii="Tahoma"/>
        </w:rPr>
        <w:t>p</w:t>
      </w:r>
      <w:r>
        <w:rPr>
          <w:rFonts w:cs="Tahoma" w:hAnsi="Tahoma" w:ascii="Tahoma"/>
        </w:rPr>
        <w:t>latu tog potraživanja koje datira iz 2014. godine i već je u zastari. Također je ustvrdio da je suprug direktorice stečajnog dužnika bio u zatvoru u Njemačkoj  zbog prijevarnog post</w:t>
      </w:r>
      <w:r>
        <w:rPr>
          <w:rFonts w:cs="Tahoma" w:hAnsi="Tahoma" w:ascii="Tahoma"/>
        </w:rPr>
        <w:t>u</w:t>
      </w:r>
      <w:r>
        <w:rPr>
          <w:rFonts w:cs="Tahoma" w:hAnsi="Tahoma" w:ascii="Tahoma"/>
        </w:rPr>
        <w:t>panja što se kasnije pokazalo istinitim.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hAnsi="Tahoma" w:ascii="Tahoma"/>
        </w:rPr>
        <w:t>Direktor mađarske firme upućen je da podnese prijavu tražbine u stečajnu masu ako je njegovo potraživanje veće od njegovog dugovanja ali to nije učinio.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</w:pP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>Iz svega navedenog i nakon konzultacija sa svojom financijskom službom stečajni upravitelj smatra da se u konkretnom slučaju radi o fiktivnoj tražbini tj. da ona faktično ne po</w:t>
      </w:r>
      <w:r>
        <w:rPr>
          <w:rFonts w:cs="Tahoma" w:eastAsia="Times New Roman" w:hAnsi="Tahoma" w:ascii="Tahoma"/>
          <w:kern w:val="0"/>
          <w:lang w:bidi="ar-SA" w:eastAsia="hr-HR"/>
        </w:rPr>
        <w:t>s</w:t>
      </w:r>
      <w:r>
        <w:rPr>
          <w:rFonts w:cs="Tahoma" w:eastAsia="Times New Roman" w:hAnsi="Tahoma" w:ascii="Tahoma"/>
          <w:kern w:val="0"/>
          <w:lang w:bidi="ar-SA" w:eastAsia="hr-HR"/>
        </w:rPr>
        <w:t>toji a ukoliko vjerovnici imaju suprotni stav tada je potrebno pokrenuti sudski postupak sa inozemnim elementom radi ev. naplate, osigurati sredstva za mađarskog odvjetnika i up</w:t>
      </w:r>
      <w:r>
        <w:rPr>
          <w:rFonts w:cs="Tahoma" w:eastAsia="Times New Roman" w:hAnsi="Tahoma" w:ascii="Tahoma"/>
          <w:kern w:val="0"/>
          <w:lang w:bidi="ar-SA" w:eastAsia="hr-HR"/>
        </w:rPr>
        <w:t>u</w:t>
      </w:r>
      <w:r>
        <w:rPr>
          <w:rFonts w:cs="Tahoma" w:eastAsia="Times New Roman" w:hAnsi="Tahoma" w:ascii="Tahoma"/>
          <w:kern w:val="0"/>
          <w:lang w:bidi="ar-SA" w:eastAsia="hr-HR"/>
        </w:rPr>
        <w:t>stiti se u parnicu s neizvjesnim ishodom.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hAnsi="Tahoma" w:ascii="Tahoma"/>
          <w:u w:val="single"/>
        </w:rPr>
        <w:t>Potraživanja za pozajmicu od direktorice društva Suzane Pongračić</w:t>
      </w:r>
      <w:r>
        <w:rPr>
          <w:rFonts w:cs="Tahoma" w:hAnsi="Tahoma" w:ascii="Tahoma"/>
        </w:rPr>
        <w:t xml:space="preserve"> iskazano u početnoj stečajnoj bilanci u iznosu od 8.833,36 kn nije naplaćeno, jer je ista po opomeni izjavila da </w:t>
      </w:r>
      <w:r>
        <w:rPr>
          <w:rFonts w:cs="Tahoma" w:hAnsi="Tahoma" w:ascii="Tahoma"/>
        </w:rPr>
        <w:lastRenderedPageBreak/>
        <w:t>je tako zatvarala račune gotovinom, ali nije dostavila odgovarajuću dokumentaciju. U m</w:t>
      </w:r>
      <w:r>
        <w:rPr>
          <w:rFonts w:cs="Tahoma" w:hAnsi="Tahoma" w:ascii="Tahoma"/>
        </w:rPr>
        <w:t>e</w:t>
      </w:r>
      <w:r>
        <w:rPr>
          <w:rFonts w:cs="Tahoma" w:hAnsi="Tahoma" w:ascii="Tahoma"/>
        </w:rPr>
        <w:t>đuvremenu istaknula je zahtjev za ležarinu (prijeboj tražbina) budući da se VW transporter 4 mjeseca nalazio u privatnom dvorištu direktorice s obzirom da ga stečajni upravitelj nije imao gdje smjestiti.</w:t>
      </w: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>Slijedom navedenog, ukupno unovčena imovina stečajnog dužnika (teretno vozilo) koja čini stečajnu masu iznosi 5</w:t>
      </w:r>
      <w:r>
        <w:rPr>
          <w:rFonts w:cs="Tahoma" w:eastAsia="Times New Roman" w:hAnsi="Tahoma" w:ascii="Tahoma"/>
          <w:kern w:val="0"/>
          <w:u w:val="single"/>
          <w:lang w:bidi="ar-SA" w:eastAsia="hr-HR"/>
        </w:rPr>
        <w:t>.000,00 kn bez PDV.</w:t>
      </w: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Razlika u iznosu od 254.435,23 kn ( 259.435,23-5.000,00 ) između vrijednosti iskazane u početnoj bilanci  i ostvarene cijene prodajom pokretnine rasknjižena je u poslovnim knj</w:t>
      </w:r>
      <w:r>
        <w:rPr>
          <w:rFonts w:cs="Tahoma" w:eastAsia="Times New Roman" w:hAnsi="Tahoma" w:ascii="Tahoma"/>
          <w:kern w:val="0"/>
          <w:lang w:bidi="ar-SA" w:eastAsia="hr-HR"/>
        </w:rPr>
        <w:t>i</w:t>
      </w:r>
      <w:r>
        <w:rPr>
          <w:rFonts w:cs="Tahoma" w:eastAsia="Times New Roman" w:hAnsi="Tahoma" w:ascii="Tahoma"/>
          <w:kern w:val="0"/>
          <w:lang w:bidi="ar-SA" w:eastAsia="hr-HR"/>
        </w:rPr>
        <w:t>gama stečajnog dužnika, te na dan 31.05. 2017. iskazana vrijednost iznosi 0,00 kn.</w:t>
      </w: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Novčana sredstva na računu u početnoj stečajnoj bilanci iskazana su u iznosu od 0,00 kn, a na dan 31.05.2017. stanje računa iznosi 4.855,50 kn</w:t>
      </w:r>
    </w:p>
    <w:p w:rsidRDefault="001F5D0B" w:rsidR="001F5D0B">
      <w:pPr>
        <w:widowControl/>
        <w:suppressAutoHyphens w:val="false"/>
        <w:spacing w:lineRule="auto" w:line="240" w:after="0"/>
        <w:jc w:val="both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40" w:after="0"/>
        <w:jc w:val="both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  <w:r>
        <w:rPr>
          <w:rFonts w:cs="Tahoma" w:eastAsia="Times New Roman" w:hAnsi="Tahoma" w:ascii="Tahoma"/>
          <w:b/>
          <w:kern w:val="0"/>
          <w:lang w:bidi="ar-SA" w:eastAsia="hr-HR"/>
        </w:rPr>
        <w:t>Evidentirane promjene na pasivi odnosno obvezama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sz w:val="16"/>
          <w:szCs w:val="16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Obveze stečajnog dužnika utvrđene su temeljem prijavljenih, ispitanih i priznatih tražbina stečajnih vjerovnika (3 prijave tražbina – MF,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Vip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net d.o.o. CO d.d.) na ispitnom ročištu održanom dana 17.01.2017. godine tako da ukupno priznate tražbine stečajnih vjerovnika iznose 82.193,63 kn, a razvrstane su u slijedeće redove: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•</w:t>
      </w:r>
      <w:r>
        <w:rPr>
          <w:rFonts w:cs="Tahoma" w:eastAsia="Times New Roman" w:hAnsi="Tahoma" w:ascii="Tahoma"/>
          <w:kern w:val="0"/>
          <w:lang w:bidi="ar-SA" w:eastAsia="hr-HR"/>
        </w:rPr>
        <w:tab/>
        <w:t xml:space="preserve"> I. višeg isplatnog reda u iznosu od  34.849,47 kn</w:t>
      </w: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•</w:t>
      </w:r>
      <w:r>
        <w:rPr>
          <w:rFonts w:cs="Tahoma" w:eastAsia="Times New Roman" w:hAnsi="Tahoma" w:ascii="Tahoma"/>
          <w:kern w:val="0"/>
          <w:lang w:bidi="ar-SA" w:eastAsia="hr-HR"/>
        </w:rPr>
        <w:tab/>
        <w:t>II. višeg isplatnog reda u iznosu od  47.344,16 kn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 xml:space="preserve">Ministarstvo financija RH, Porezna uprava, Područni ured Čakovec, po ŽDO Varaždin, uz prijavu svoje tražbine kao stečajni vjerovnik (I i II višeg isplatnog reda),                     </w:t>
      </w:r>
      <w:bookmarkStart w:name="_Hlk482873756" w:id="4"/>
      <w:r>
        <w:rPr>
          <w:rFonts w:cs="Tahoma" w:eastAsia="Times New Roman" w:hAnsi="Tahoma" w:ascii="Tahoma"/>
          <w:kern w:val="0"/>
          <w:lang w:bidi="ar-SA" w:eastAsia="hr-HR"/>
        </w:rPr>
        <w:t xml:space="preserve">obavijestilo je stečajnog upravitelja o postojanju svog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razlučnog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prava na imovini - teretno vozilo – VW transporter, godine proizvodnje 1999., temeljem Zapisnika o izvršenoj pljeni</w:t>
      </w:r>
      <w:r>
        <w:rPr>
          <w:rFonts w:cs="Tahoma" w:eastAsia="Times New Roman" w:hAnsi="Tahoma" w:ascii="Tahoma"/>
          <w:kern w:val="0"/>
          <w:lang w:bidi="ar-SA" w:eastAsia="hr-HR"/>
        </w:rPr>
        <w:t>d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bi i procjeni pokretne imovine br. Klasa: UP/I-415-02/2015-01/1464 i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Ur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>. broj: 513-07-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07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>-26 od 26.10.2015.</w:t>
      </w:r>
    </w:p>
    <w:bookmarkEnd w:id="4"/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hAnsi="Tahoma" w:ascii="Tahoma"/>
        </w:rPr>
      </w:pPr>
    </w:p>
    <w:p w:rsidRDefault="00F840D6" w:rsidR="001F5D0B">
      <w:pPr>
        <w:widowControl/>
        <w:suppressAutoHyphens w:val="false"/>
        <w:spacing w:lineRule="auto" w:line="480" w:after="0" w:before="100"/>
        <w:textAlignment w:val="auto"/>
        <w:rPr>
          <w:rFonts w:cs="Tahoma" w:eastAsia="Times New Roman" w:hAnsi="Tahoma" w:ascii="Tahoma"/>
          <w:b/>
          <w:kern w:val="0"/>
          <w:u w:val="single"/>
          <w:lang w:bidi="ar-SA" w:eastAsia="hr-HR"/>
        </w:rPr>
      </w:pPr>
      <w:r>
        <w:rPr>
          <w:rFonts w:cs="Tahoma" w:eastAsia="Times New Roman" w:hAnsi="Tahoma" w:ascii="Tahoma"/>
          <w:b/>
          <w:kern w:val="0"/>
          <w:u w:val="single"/>
          <w:lang w:bidi="ar-SA" w:eastAsia="hr-HR"/>
        </w:rPr>
        <w:t>IV. ZAVRŠNI IZVJEŠTAJ STEČAJNOG UPRAVITELJA</w:t>
      </w:r>
    </w:p>
    <w:p w:rsidRDefault="00F840D6" w:rsidR="001F5D0B">
      <w:pPr>
        <w:widowControl/>
        <w:suppressAutoHyphens w:val="false"/>
        <w:spacing w:lineRule="auto" w:line="288" w:after="119" w:before="100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Imovina stečajnog dužnika iskazana je u početnoj bilanci u vrijednosti od 259.435,23 kn, a unovčena je u iznosu od 5.000,00 kn odnosno 1,92% od ukupno procijenjene vrijednosti imovine.</w:t>
      </w:r>
    </w:p>
    <w:p w:rsidRDefault="00F840D6" w:rsidR="001F5D0B">
      <w:pPr>
        <w:widowControl/>
        <w:suppressAutoHyphens w:val="false"/>
        <w:spacing w:lineRule="auto" w:line="288" w:after="119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Stečajni dužnik otvorio je račun u Zagrebačkoj banci d.d. Varaždin broj HR0323600001102566142  i na tom računu se sa danom 31.05.2017. nalazi se iznos od 4.855,50 kn.</w:t>
      </w: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Budući da stečajni dužnik nema druge imovine koju bi mogao unovčiti to su ispunjene                   zakonske pretpostavke za završnu diobu i zaključenje stečajnog postupka.  </w:t>
      </w:r>
      <w:r>
        <w:rPr>
          <w:rFonts w:cs="Tahoma" w:eastAsia="Times New Roman" w:hAnsi="Tahoma" w:ascii="Tahoma"/>
          <w:kern w:val="0"/>
          <w:lang w:bidi="ar-SA" w:eastAsia="hr-HR"/>
        </w:rPr>
        <w:tab/>
      </w:r>
      <w:r>
        <w:rPr>
          <w:rFonts w:cs="Tahoma" w:eastAsia="Times New Roman" w:hAnsi="Tahoma" w:ascii="Tahoma"/>
          <w:kern w:val="0"/>
          <w:lang w:bidi="ar-SA" w:eastAsia="hr-HR"/>
        </w:rPr>
        <w:tab/>
      </w: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  <w:r>
        <w:rPr>
          <w:rFonts w:cs="Tahoma" w:eastAsia="Times New Roman" w:hAnsi="Tahoma" w:ascii="Tahoma"/>
          <w:b/>
          <w:kern w:val="0"/>
          <w:lang w:bidi="ar-SA" w:eastAsia="hr-HR"/>
        </w:rPr>
        <w:lastRenderedPageBreak/>
        <w:t>Nepodmirene obveze stečajne mase</w:t>
      </w:r>
    </w:p>
    <w:p w:rsidRDefault="00F840D6" w:rsidR="001F5D0B">
      <w:pPr>
        <w:widowControl/>
        <w:suppressAutoHyphens w:val="false"/>
        <w:spacing w:lineRule="auto" w:line="288" w:after="119" w:before="10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>Stečajni dužnik ima nepodmirene obveze stečajne mase koje na dan 31.05. 2017. ukupno iznose 6.597,00 kn, a odnose se na troškove stečajnog postupka i ostale obveze stečajne mase,  prikazane u Tabeli 3.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  <w:r>
        <w:rPr>
          <w:rFonts w:cs="Tahoma" w:eastAsia="Calibri" w:hAnsi="Tahoma" w:ascii="Tahoma"/>
          <w:kern w:val="0"/>
          <w:lang w:bidi="ar-SA" w:eastAsia="hr-HR"/>
        </w:rPr>
        <w:t>Tabela 3.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</w:p>
    <w:tbl>
      <w:tblPr>
        <w:tblW w:type="dxa" w:w="818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26"/>
        <w:gridCol w:w="2562"/>
      </w:tblGrid>
      <w:tr w:rsidR="001F5D0B">
        <w:trPr>
          <w:trHeight w:val="425"/>
        </w:trPr>
        <w:tc>
          <w:tcPr>
            <w:tcW w:type="dxa" w:w="5626"/>
            <w:tcBorders>
              <w:top w:space="0" w:sz="6" w:color="000000" w:val="doub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5D0B" w:rsidR="001F5D0B">
            <w:pPr>
              <w:widowControl/>
              <w:suppressAutoHyphens w:val="false"/>
              <w:spacing w:lineRule="auto" w:line="288" w:after="0"/>
              <w:jc w:val="center"/>
              <w:textAlignment w:val="auto"/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</w:p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Opis nepodmirenih obveza stečajne mase</w:t>
            </w:r>
          </w:p>
        </w:tc>
        <w:tc>
          <w:tcPr>
            <w:tcW w:type="dxa" w:w="2562"/>
            <w:tcBorders>
              <w:top w:space="0" w:sz="6" w:color="000000" w:val="doub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shd w:fill="E6E6E6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5D0B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</w:p>
          <w:p w:rsidRDefault="00F840D6" w:rsidR="001F5D0B">
            <w:pPr>
              <w:widowControl/>
              <w:suppressAutoHyphens w:val="false"/>
              <w:spacing w:lineRule="auto" w:line="288" w:after="0"/>
              <w:jc w:val="center"/>
              <w:textAlignment w:val="auto"/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Nepodmireno</w:t>
            </w:r>
          </w:p>
        </w:tc>
      </w:tr>
      <w:tr w:rsidR="001F5D0B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Nagrada stečajnom upravitelju u bruto iznosu prema čl. 7. nove uredbe  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860,00</w:t>
            </w:r>
          </w:p>
        </w:tc>
      </w:tr>
      <w:tr w:rsidR="001F5D0B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Knjigovodstvene usluge (izrada stečajne bilance, fin. izvješća, prijava i obrazaca i dr.) u periodu od 7 </w:t>
            </w:r>
            <w:proofErr w:type="spellStart"/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mj</w:t>
            </w:r>
            <w:proofErr w:type="spellEnd"/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5D0B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</w:p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     3.500,00</w:t>
            </w:r>
          </w:p>
        </w:tc>
      </w:tr>
      <w:tr w:rsidR="001F5D0B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Analiza dokumentacije i izrada početne stečajne bilance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1.000,00</w:t>
            </w:r>
          </w:p>
        </w:tc>
      </w:tr>
      <w:tr w:rsidR="001F5D0B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Porez na dodanu vrijednost na </w:t>
            </w:r>
            <w:proofErr w:type="spellStart"/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knjig</w:t>
            </w:r>
            <w:proofErr w:type="spellEnd"/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. usluge  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 xml:space="preserve"> 1.250,00</w:t>
            </w:r>
          </w:p>
        </w:tc>
      </w:tr>
      <w:tr w:rsidR="001F5D0B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Bankovne usluge za vođenje računa u banci (5. i 6.mj.x 56,00 kn)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Cs/>
                <w:kern w:val="0"/>
                <w:sz w:val="22"/>
                <w:szCs w:val="22"/>
                <w:lang w:bidi="ar-SA" w:eastAsia="hr-HR"/>
              </w:rPr>
              <w:t>112,00</w:t>
            </w:r>
          </w:p>
        </w:tc>
      </w:tr>
      <w:tr w:rsidR="001F5D0B">
        <w:tc>
          <w:tcPr>
            <w:tcW w:type="dxa" w:w="5626"/>
            <w:tcBorders>
              <w:top w:space="0" w:sz="4" w:color="000000" w:val="single"/>
              <w:left w:space="0" w:sz="6" w:color="000000" w:val="double"/>
              <w:bottom w:space="0" w:sz="6" w:color="000000" w:val="doub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textAlignment w:val="auto"/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</w:pPr>
            <w:r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Sveukupno obveze stečajne mase</w:t>
            </w:r>
          </w:p>
        </w:tc>
        <w:tc>
          <w:tcPr>
            <w:tcW w:type="dxa" w:w="2562"/>
            <w:tcBorders>
              <w:top w:space="0" w:sz="4" w:color="000000" w:val="single"/>
              <w:left w:space="0" w:sz="4" w:color="000000" w:val="single"/>
              <w:bottom w:space="0" w:sz="6" w:color="000000" w:val="double"/>
              <w:right w:space="0" w:sz="6" w:color="000000" w:val="doub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840D6" w:rsidR="001F5D0B">
            <w:pPr>
              <w:widowControl/>
              <w:suppressAutoHyphens w:val="false"/>
              <w:spacing w:lineRule="auto" w:line="288" w:after="0"/>
              <w:jc w:val="right"/>
              <w:textAlignment w:val="auto"/>
            </w:pPr>
            <w:r>
              <w:rPr>
                <w:rFonts w:cs="Tahoma" w:eastAsia="Calibri" w:hAnsi="Tahoma" w:ascii="Tahoma"/>
                <w:b/>
                <w:bCs/>
                <w:kern w:val="0"/>
                <w:sz w:val="22"/>
                <w:szCs w:val="22"/>
                <w:lang w:bidi="ar-SA" w:eastAsia="hr-HR"/>
              </w:rPr>
              <w:t>6.597,00</w:t>
            </w:r>
          </w:p>
        </w:tc>
      </w:tr>
    </w:tbl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b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  <w:r>
        <w:rPr>
          <w:rFonts w:cs="Tahoma" w:eastAsia="Calibri" w:hAnsi="Tahoma" w:ascii="Tahoma"/>
          <w:kern w:val="0"/>
          <w:lang w:bidi="ar-SA" w:eastAsia="hr-HR"/>
        </w:rPr>
        <w:t>Odredbom članka 253/1 SZ – a o raspodjeli utrška nakon prodaje pokretnine na kojoj po</w:t>
      </w:r>
      <w:r>
        <w:rPr>
          <w:rFonts w:cs="Tahoma" w:eastAsia="Calibri" w:hAnsi="Tahoma" w:ascii="Tahoma"/>
          <w:kern w:val="0"/>
          <w:lang w:bidi="ar-SA" w:eastAsia="hr-HR"/>
        </w:rPr>
        <w:t>s</w:t>
      </w:r>
      <w:r>
        <w:rPr>
          <w:rFonts w:cs="Tahoma" w:eastAsia="Calibri" w:hAnsi="Tahoma" w:ascii="Tahoma"/>
          <w:kern w:val="0"/>
          <w:lang w:bidi="ar-SA" w:eastAsia="hr-HR"/>
        </w:rPr>
        <w:t xml:space="preserve">toji </w:t>
      </w:r>
      <w:proofErr w:type="spellStart"/>
      <w:r>
        <w:rPr>
          <w:rFonts w:cs="Tahoma" w:eastAsia="Calibri" w:hAnsi="Tahoma" w:ascii="Tahoma"/>
          <w:kern w:val="0"/>
          <w:lang w:bidi="ar-SA" w:eastAsia="hr-HR"/>
        </w:rPr>
        <w:t>razlučno</w:t>
      </w:r>
      <w:proofErr w:type="spellEnd"/>
      <w:r>
        <w:rPr>
          <w:rFonts w:cs="Tahoma" w:eastAsia="Calibri" w:hAnsi="Tahoma" w:ascii="Tahoma"/>
          <w:kern w:val="0"/>
          <w:lang w:bidi="ar-SA" w:eastAsia="hr-HR"/>
        </w:rPr>
        <w:t xml:space="preserve"> pravo određeno je da se troškovi namiruju iz tog iznosa a iz ostatka namiruje se </w:t>
      </w:r>
      <w:proofErr w:type="spellStart"/>
      <w:r>
        <w:rPr>
          <w:rFonts w:cs="Tahoma" w:eastAsia="Calibri" w:hAnsi="Tahoma" w:ascii="Tahoma"/>
          <w:kern w:val="0"/>
          <w:lang w:bidi="ar-SA" w:eastAsia="hr-HR"/>
        </w:rPr>
        <w:t>razlučni</w:t>
      </w:r>
      <w:proofErr w:type="spellEnd"/>
      <w:r>
        <w:rPr>
          <w:rFonts w:cs="Tahoma" w:eastAsia="Calibri" w:hAnsi="Tahoma" w:ascii="Tahoma"/>
          <w:kern w:val="0"/>
          <w:lang w:bidi="ar-SA" w:eastAsia="hr-HR"/>
        </w:rPr>
        <w:t xml:space="preserve"> vjerovnik.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0"/>
        <w:jc w:val="both"/>
        <w:textAlignment w:val="auto"/>
      </w:pPr>
      <w:r>
        <w:rPr>
          <w:rFonts w:cs="Tahoma" w:eastAsia="Calibri" w:hAnsi="Tahoma" w:ascii="Tahoma"/>
          <w:kern w:val="0"/>
          <w:lang w:bidi="ar-SA" w:eastAsia="hr-HR"/>
        </w:rPr>
        <w:t>Prema Tabeli 3. nepodmirene obveze iznose 6.597,00 kn a stečajna masa iznosi 4.855,50 kn (Tabela 1) iz čega proizlazi da u ovom stečajnom postupku nema sredstava niti za p</w:t>
      </w:r>
      <w:r>
        <w:rPr>
          <w:rFonts w:cs="Tahoma" w:eastAsia="Calibri" w:hAnsi="Tahoma" w:ascii="Tahoma"/>
          <w:kern w:val="0"/>
          <w:lang w:bidi="ar-SA" w:eastAsia="hr-HR"/>
        </w:rPr>
        <w:t>o</w:t>
      </w:r>
      <w:r>
        <w:rPr>
          <w:rFonts w:cs="Tahoma" w:eastAsia="Calibri" w:hAnsi="Tahoma" w:ascii="Tahoma"/>
          <w:kern w:val="0"/>
          <w:lang w:bidi="ar-SA" w:eastAsia="hr-HR"/>
        </w:rPr>
        <w:t xml:space="preserve">dmirenje troškova pa bi razliku troškova trebalo potraživati od Fonda iz čl. 111. SZ-a. Iako zapravo nema sredstava za namirenje </w:t>
      </w:r>
      <w:proofErr w:type="spellStart"/>
      <w:r>
        <w:rPr>
          <w:rFonts w:cs="Tahoma" w:eastAsia="Calibri" w:hAnsi="Tahoma" w:ascii="Tahoma"/>
          <w:kern w:val="0"/>
          <w:lang w:bidi="ar-SA" w:eastAsia="hr-HR"/>
        </w:rPr>
        <w:t>razlučnog</w:t>
      </w:r>
      <w:proofErr w:type="spellEnd"/>
      <w:r>
        <w:rPr>
          <w:rFonts w:cs="Tahoma" w:eastAsia="Calibri" w:hAnsi="Tahoma" w:ascii="Tahoma"/>
          <w:kern w:val="0"/>
          <w:lang w:bidi="ar-SA" w:eastAsia="hr-HR"/>
        </w:rPr>
        <w:t xml:space="preserve"> vjerovnika stečajni upravitelj ipak predl</w:t>
      </w:r>
      <w:r>
        <w:rPr>
          <w:rFonts w:cs="Tahoma" w:eastAsia="Calibri" w:hAnsi="Tahoma" w:ascii="Tahoma"/>
          <w:kern w:val="0"/>
          <w:lang w:bidi="ar-SA" w:eastAsia="hr-HR"/>
        </w:rPr>
        <w:t>a</w:t>
      </w:r>
      <w:r>
        <w:rPr>
          <w:rFonts w:cs="Tahoma" w:eastAsia="Calibri" w:hAnsi="Tahoma" w:ascii="Tahoma"/>
          <w:kern w:val="0"/>
          <w:lang w:bidi="ar-SA" w:eastAsia="hr-HR"/>
        </w:rPr>
        <w:t>že da se raspoloživa sredstva podjele na način kako slijedi: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</w:p>
    <w:p w:rsidRDefault="00F840D6" w:rsidR="001F5D0B">
      <w:pPr>
        <w:widowControl/>
        <w:numPr>
          <w:ilvl w:val="0"/>
          <w:numId w:val="31"/>
        </w:numPr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  <w:r>
        <w:rPr>
          <w:rFonts w:cs="Tahoma" w:eastAsia="Calibri" w:hAnsi="Tahoma" w:ascii="Tahoma"/>
          <w:kern w:val="0"/>
          <w:lang w:bidi="ar-SA" w:eastAsia="hr-HR"/>
        </w:rPr>
        <w:t>iznos od 2.455,50 kn za podmirenje dijela nepodmirenih obveza stečajne mase (nagrada stečajnom upravitelju i naknade za knjigovodstvene usluge (uključivo i troškove za</w:t>
      </w:r>
      <w:r>
        <w:rPr>
          <w:rFonts w:cs="Tahoma" w:eastAsia="Calibri" w:hAnsi="Tahoma" w:ascii="Tahoma"/>
          <w:kern w:val="0"/>
          <w:lang w:bidi="ar-SA" w:eastAsia="hr-HR"/>
        </w:rPr>
        <w:t>t</w:t>
      </w:r>
      <w:r>
        <w:rPr>
          <w:rFonts w:cs="Tahoma" w:eastAsia="Calibri" w:hAnsi="Tahoma" w:ascii="Tahoma"/>
          <w:kern w:val="0"/>
          <w:lang w:bidi="ar-SA" w:eastAsia="hr-HR"/>
        </w:rPr>
        <w:t>varanje računa).</w:t>
      </w: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Calibri" w:hAnsi="Tahoma" w:ascii="Tahoma"/>
          <w:kern w:val="0"/>
          <w:lang w:bidi="ar-SA" w:eastAsia="hr-HR"/>
        </w:rPr>
      </w:pPr>
    </w:p>
    <w:p w:rsidRDefault="00F840D6" w:rsidR="001F5D0B">
      <w:pPr>
        <w:pStyle w:val="Odlomakpopisa"/>
        <w:widowControl/>
        <w:numPr>
          <w:ilvl w:val="0"/>
          <w:numId w:val="31"/>
        </w:numPr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iznos od 2.400,00 kn za djelomično namirenje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razlučnog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vjerovnika MF – P</w:t>
      </w:r>
      <w:r>
        <w:rPr>
          <w:rFonts w:cs="Tahoma" w:eastAsia="Times New Roman" w:hAnsi="Tahoma" w:ascii="Tahoma"/>
          <w:kern w:val="0"/>
          <w:lang w:bidi="ar-SA" w:eastAsia="hr-HR"/>
        </w:rPr>
        <w:t>o</w:t>
      </w:r>
      <w:r>
        <w:rPr>
          <w:rFonts w:cs="Tahoma" w:eastAsia="Times New Roman" w:hAnsi="Tahoma" w:ascii="Tahoma"/>
          <w:kern w:val="0"/>
          <w:lang w:bidi="ar-SA" w:eastAsia="hr-HR"/>
        </w:rPr>
        <w:t>rezna uprava Čakovec (4.855,50 kn – 2.455,50 kn = 2.400,00 kn).</w:t>
      </w:r>
    </w:p>
    <w:p w:rsidRDefault="00F840D6" w:rsidR="001F5D0B">
      <w:pPr>
        <w:pStyle w:val="Odlomakpopisa"/>
        <w:widowControl/>
        <w:suppressAutoHyphens w:val="false"/>
        <w:spacing w:lineRule="auto" w:line="288" w:after="80"/>
        <w:ind w:left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Ukoliko se prihvati ovakav prijedlog raspoloživa sredstva podijelila bi se popola na troškove stečajnog postupka i djelomično namirenje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razlučnog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vjerovnika MF PU  Čakovec  (2,92%) dok za ostale vjerovnika nema sredstava.</w:t>
      </w:r>
    </w:p>
    <w:p w:rsidRDefault="001F5D0B" w:rsidR="001F5D0B">
      <w:pPr>
        <w:pStyle w:val="Odlomakpopisa"/>
        <w:widowControl/>
        <w:suppressAutoHyphens w:val="false"/>
        <w:spacing w:lineRule="auto" w:line="288" w:after="80"/>
        <w:ind w:left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pStyle w:val="Odlomakpopisa"/>
        <w:widowControl/>
        <w:suppressAutoHyphens w:val="false"/>
        <w:spacing w:lineRule="auto" w:line="288" w:after="80"/>
        <w:ind w:left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b/>
          <w:kern w:val="0"/>
          <w:u w:val="single"/>
          <w:lang w:bidi="ar-SA" w:eastAsia="hr-HR"/>
        </w:rPr>
      </w:pPr>
      <w:r>
        <w:rPr>
          <w:rFonts w:cs="Tahoma" w:eastAsia="Times New Roman" w:hAnsi="Tahoma" w:ascii="Tahoma"/>
          <w:b/>
          <w:kern w:val="0"/>
          <w:u w:val="single"/>
          <w:lang w:bidi="ar-SA" w:eastAsia="hr-HR"/>
        </w:rPr>
        <w:lastRenderedPageBreak/>
        <w:t>IV. ZAVRŠNI DIOBNI POPIS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b/>
          <w:kern w:val="0"/>
          <w:u w:val="single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Završni diobni popis predstavlja namirenje obveza stečajne mase, djelomično namirenje tražbine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razlučnog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vjerovnika (</w:t>
      </w:r>
      <w:bookmarkStart w:name="_Hlk482619108" w:id="5"/>
      <w:r>
        <w:rPr>
          <w:rFonts w:cs="Tahoma" w:eastAsia="Times New Roman" w:hAnsi="Tahoma" w:ascii="Tahoma"/>
          <w:kern w:val="0"/>
          <w:lang w:bidi="ar-SA" w:eastAsia="hr-HR"/>
        </w:rPr>
        <w:t>MF - Porezna uprava</w:t>
      </w:r>
      <w:bookmarkEnd w:id="5"/>
      <w:r>
        <w:rPr>
          <w:rFonts w:cs="Tahoma" w:eastAsia="Times New Roman" w:hAnsi="Tahoma" w:ascii="Tahoma"/>
          <w:kern w:val="0"/>
          <w:lang w:bidi="ar-SA" w:eastAsia="hr-HR"/>
        </w:rPr>
        <w:t xml:space="preserve"> Čakovec) kako je to detaljno prikaz</w:t>
      </w:r>
      <w:r>
        <w:rPr>
          <w:rFonts w:cs="Tahoma" w:eastAsia="Times New Roman" w:hAnsi="Tahoma" w:ascii="Tahoma"/>
          <w:kern w:val="0"/>
          <w:lang w:bidi="ar-SA" w:eastAsia="hr-HR"/>
        </w:rPr>
        <w:t>a</w:t>
      </w:r>
      <w:r>
        <w:rPr>
          <w:rFonts w:cs="Tahoma" w:eastAsia="Times New Roman" w:hAnsi="Tahoma" w:ascii="Tahoma"/>
          <w:kern w:val="0"/>
          <w:lang w:bidi="ar-SA" w:eastAsia="hr-HR"/>
        </w:rPr>
        <w:t>no u završnom dijelu izvješća i prikazu završnog (diobnog) popisa koji se nalazi u prilogu.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Slijedom svega iznesenog, a budući je unovčena sva imovina stečajnog dužnika, stečajni upravitelj predlaže da se na završnom ročištu donesu slijedeće odluke: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-</w:t>
      </w:r>
      <w:r>
        <w:rPr>
          <w:rFonts w:cs="Tahoma" w:eastAsia="Times New Roman" w:hAnsi="Tahoma" w:ascii="Tahoma"/>
          <w:kern w:val="0"/>
          <w:lang w:bidi="ar-SA" w:eastAsia="hr-HR"/>
        </w:rPr>
        <w:tab/>
        <w:t>prihvaćanje izvješća i završnog računa stečajnog upravitelja;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eastAsia="Times New Roman" w:hAnsi="Tahoma" w:ascii="Tahoma"/>
          <w:kern w:val="0"/>
          <w:lang w:bidi="ar-SA" w:eastAsia="hr-HR"/>
        </w:rPr>
        <w:t>-</w:t>
      </w:r>
      <w:r>
        <w:rPr>
          <w:rFonts w:cs="Tahoma" w:eastAsia="Times New Roman" w:hAnsi="Tahoma" w:ascii="Tahoma"/>
          <w:kern w:val="0"/>
          <w:lang w:bidi="ar-SA" w:eastAsia="hr-HR"/>
        </w:rPr>
        <w:tab/>
        <w:t xml:space="preserve">prihvaćanje prijedloga za završnu diobu stečajne mase sadržane u završnom računu kojim se predlaže namirenje dijela obveza stečajne mase u ukupnom iznosu od 2.455,50 kn i djelomično namirenje tražbine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razlučnog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vjerovnika</w:t>
      </w:r>
      <w:r>
        <w:t xml:space="preserve"> </w:t>
      </w:r>
      <w:r>
        <w:rPr>
          <w:rFonts w:cs="Tahoma" w:eastAsia="Times New Roman" w:hAnsi="Tahoma" w:ascii="Tahoma"/>
          <w:kern w:val="0"/>
          <w:lang w:bidi="ar-SA" w:eastAsia="hr-HR"/>
        </w:rPr>
        <w:t>MF – Porezna uprava Čakovec u iznosu od 2.400,00 kn;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-</w:t>
      </w:r>
      <w:r>
        <w:rPr>
          <w:rFonts w:cs="Tahoma" w:eastAsia="Times New Roman" w:hAnsi="Tahoma" w:ascii="Tahoma"/>
          <w:kern w:val="0"/>
          <w:lang w:bidi="ar-SA" w:eastAsia="hr-HR"/>
        </w:rPr>
        <w:tab/>
        <w:t>donošenje odluke o obustavi i zaključenju stečajnog postupka zbog nedostatnosti stečajne mase za daljnje troškove stečajnog postupka, sukladno članku 293. Stečajnog zakona;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>- ukoliko vjerovnici smatraju da postoje razlozi za pokušaj naplate tražbina od bivše dire</w:t>
      </w:r>
      <w:r>
        <w:rPr>
          <w:rFonts w:cs="Tahoma" w:eastAsia="Times New Roman" w:hAnsi="Tahoma" w:ascii="Tahoma"/>
          <w:kern w:val="0"/>
          <w:lang w:bidi="ar-SA" w:eastAsia="hr-HR"/>
        </w:rPr>
        <w:t>k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torice Suzane Pongračić ili od firme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Ameris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Kft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</w:t>
      </w:r>
      <w:proofErr w:type="spellStart"/>
      <w:r>
        <w:rPr>
          <w:rFonts w:cs="Tahoma" w:eastAsia="Times New Roman" w:hAnsi="Tahoma" w:ascii="Tahoma"/>
          <w:kern w:val="0"/>
          <w:lang w:bidi="ar-SA" w:eastAsia="hr-HR"/>
        </w:rPr>
        <w:t>Letenye</w:t>
      </w:r>
      <w:proofErr w:type="spellEnd"/>
      <w:r>
        <w:rPr>
          <w:rFonts w:cs="Tahoma" w:eastAsia="Times New Roman" w:hAnsi="Tahoma" w:ascii="Tahoma"/>
          <w:kern w:val="0"/>
          <w:lang w:bidi="ar-SA" w:eastAsia="hr-HR"/>
        </w:rPr>
        <w:t xml:space="preserve"> tada je potrebno da predujme sredstva s obzirom da bi to bili postupci s vrlo neizvjesnim ishodom a zahtijevali bi odvje</w:t>
      </w:r>
      <w:r>
        <w:rPr>
          <w:rFonts w:cs="Tahoma" w:eastAsia="Times New Roman" w:hAnsi="Tahoma" w:ascii="Tahoma"/>
          <w:kern w:val="0"/>
          <w:lang w:bidi="ar-SA" w:eastAsia="hr-HR"/>
        </w:rPr>
        <w:t>t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nički angažman i druge nepredvidljive troškove (293/3 SZ-a).  </w:t>
      </w:r>
    </w:p>
    <w:p w:rsidRDefault="001F5D0B" w:rsidR="001F5D0B">
      <w:pPr>
        <w:widowControl/>
        <w:suppressAutoHyphens w:val="false"/>
        <w:spacing w:lineRule="auto" w:line="288" w:after="80"/>
        <w:ind w:left="3891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F840D6" w:rsidR="001F5D0B">
      <w:pPr>
        <w:widowControl/>
        <w:suppressAutoHyphens w:val="false"/>
        <w:spacing w:lineRule="auto" w:line="288" w:after="80"/>
        <w:jc w:val="center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                                                                   ANIS d.o.o. u stečaju</w:t>
      </w:r>
    </w:p>
    <w:p w:rsidRDefault="00F840D6" w:rsidR="001F5D0B">
      <w:pPr>
        <w:widowControl/>
        <w:suppressAutoHyphens w:val="false"/>
        <w:spacing w:lineRule="auto" w:line="288" w:after="80"/>
        <w:jc w:val="center"/>
        <w:textAlignment w:val="auto"/>
        <w:rPr>
          <w:rFonts w:cs="Tahoma" w:eastAsia="Times New Roman" w:hAnsi="Tahoma" w:ascii="Tahoma"/>
          <w:kern w:val="0"/>
          <w:lang w:bidi="ar-SA" w:eastAsia="hr-HR"/>
        </w:rPr>
      </w:pPr>
      <w:r>
        <w:rPr>
          <w:rFonts w:cs="Tahoma" w:eastAsia="Times New Roman" w:hAnsi="Tahoma" w:ascii="Tahoma"/>
          <w:kern w:val="0"/>
          <w:lang w:bidi="ar-SA" w:eastAsia="hr-HR"/>
        </w:rPr>
        <w:t xml:space="preserve">                                                                    Zvonko Hrain, stečajni upravitelj</w:t>
      </w:r>
    </w:p>
    <w:p w:rsidRDefault="00F840D6" w:rsidR="001F5D0B">
      <w:pPr>
        <w:widowControl/>
        <w:suppressAutoHyphens w:val="false"/>
        <w:spacing w:lineRule="auto" w:line="288" w:after="80"/>
        <w:jc w:val="both"/>
        <w:textAlignment w:val="auto"/>
      </w:pPr>
      <w:r>
        <w:rPr>
          <w:rFonts w:cs="Tahoma" w:eastAsia="Times New Roman" w:hAnsi="Tahoma" w:ascii="Tahoma"/>
          <w:kern w:val="0"/>
          <w:u w:val="single"/>
          <w:lang w:bidi="ar-SA" w:eastAsia="hr-HR"/>
        </w:rPr>
        <w:t>Prilog</w:t>
      </w:r>
      <w:r>
        <w:rPr>
          <w:rFonts w:cs="Tahoma" w:eastAsia="Times New Roman" w:hAnsi="Tahoma" w:ascii="Tahoma"/>
          <w:kern w:val="0"/>
          <w:lang w:bidi="ar-SA" w:eastAsia="hr-HR"/>
        </w:rPr>
        <w:t xml:space="preserve">: Tabelarni prikaz završnog (diobnog) popisa                              </w:t>
      </w: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8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widowControl/>
        <w:suppressAutoHyphens w:val="false"/>
        <w:spacing w:lineRule="auto" w:line="288" w:after="0"/>
        <w:jc w:val="both"/>
        <w:textAlignment w:val="auto"/>
        <w:rPr>
          <w:rFonts w:cs="Tahoma" w:eastAsia="Times New Roman" w:hAnsi="Tahoma" w:ascii="Tahoma"/>
          <w:kern w:val="0"/>
          <w:lang w:bidi="ar-SA" w:eastAsia="hr-HR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  <w:spacing w:lineRule="auto" w:line="288" w:after="0"/>
        <w:jc w:val="both"/>
        <w:rPr>
          <w:rFonts w:cs="Tahoma" w:hAnsi="Tahoma" w:ascii="Tahoma"/>
          <w:b/>
          <w:iCs/>
          <w:u w:val="single"/>
        </w:rPr>
      </w:pPr>
    </w:p>
    <w:p w:rsidRDefault="001F5D0B" w:rsidR="001F5D0B">
      <w:pPr>
        <w:pStyle w:val="Standard"/>
      </w:pPr>
    </w:p>
    <w:sectPr w:rsidR="001F5D0B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0D6" w:rsidR="00155A20">
      <w:pPr>
        <w:spacing w:lineRule="auto" w:line="240" w:after="0"/>
      </w:pPr>
      <w:r>
        <w:separator/>
      </w:r>
    </w:p>
  </w:endnote>
  <w:endnote w:id="0" w:type="continuationSeparator">
    <w:p w:rsidRDefault="00F840D6" w:rsidR="00155A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0D6" w:rsidR="00155A20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F840D6" w:rsidR="00155A2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B0BCA"/>
    <w:multiLevelType w:val="multilevel"/>
    <w:tmpl w:val="0DC462B4"/>
    <w:styleLink w:val="WWNum19"/>
    <w:lvl w:ilvl="0">
      <w:numFmt w:val="bullet"/>
      <w:lvlText w:val="-"/>
      <w:lvlJc w:val="left"/>
      <w:rPr>
        <w:rFonts w:cs="Calibri" w:hAnsi="Tahoma" w:ascii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7D06CDE"/>
    <w:multiLevelType w:val="multilevel"/>
    <w:tmpl w:val="A46C3418"/>
    <w:styleLink w:val="WWNum18"/>
    <w:lvl w:ilvl="0">
      <w:numFmt w:val="bullet"/>
      <w:lvlText w:val="-"/>
      <w:lvlJc w:val="left"/>
      <w:rPr>
        <w:rFonts w:cs="Calibri" w:hAnsi="Tahoma" w:ascii="Tahoma"/>
        <w:i w:val="false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095A78BF"/>
    <w:multiLevelType w:val="multilevel"/>
    <w:tmpl w:val="2EF25258"/>
    <w:styleLink w:val="WWNum7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41E7593"/>
    <w:multiLevelType w:val="multilevel"/>
    <w:tmpl w:val="BC62B050"/>
    <w:styleLink w:val="WWNum24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4">
    <w:nsid w:val="1496612E"/>
    <w:multiLevelType w:val="multilevel"/>
    <w:tmpl w:val="FB52434E"/>
    <w:styleLink w:val="WWNum21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5F50BB5"/>
    <w:multiLevelType w:val="multilevel"/>
    <w:tmpl w:val="9F6EF162"/>
    <w:styleLink w:val="WWNum6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"/>
      <w:lvlJc w:val="left"/>
      <w:rPr>
        <w:rFonts w:hAnsi="Symbol" w:ascii="Symbol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6">
    <w:nsid w:val="18470D74"/>
    <w:multiLevelType w:val="multilevel"/>
    <w:tmpl w:val="A6A0CA4E"/>
    <w:styleLink w:val="WWNum25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7">
    <w:nsid w:val="1E02799E"/>
    <w:multiLevelType w:val="multilevel"/>
    <w:tmpl w:val="107A93A8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F54063E"/>
    <w:multiLevelType w:val="multilevel"/>
    <w:tmpl w:val="51AEDEC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C91C6E"/>
    <w:multiLevelType w:val="multilevel"/>
    <w:tmpl w:val="ADA293D0"/>
    <w:styleLink w:val="WWNum17"/>
    <w:lvl w:ilvl="0">
      <w:numFmt w:val="bullet"/>
      <w:lvlText w:val="-"/>
      <w:lvlJc w:val="left"/>
      <w:rPr>
        <w:rFonts w:cs="Calibri" w:hAnsi="Tahoma" w:ascii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24877E52"/>
    <w:multiLevelType w:val="multilevel"/>
    <w:tmpl w:val="A9AA4FEA"/>
    <w:styleLink w:val="WWNum23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1">
    <w:nsid w:val="24AE4D68"/>
    <w:multiLevelType w:val="multilevel"/>
    <w:tmpl w:val="9E0EF288"/>
    <w:styleLink w:val="WWNum14"/>
    <w:lvl w:ilvl="0">
      <w:numFmt w:val="bullet"/>
      <w:lvlText w:val="-"/>
      <w:lvlJc w:val="left"/>
      <w:rPr>
        <w:rFonts w:cs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2">
    <w:nsid w:val="252B2213"/>
    <w:multiLevelType w:val="multilevel"/>
    <w:tmpl w:val="C42427F8"/>
    <w:styleLink w:val="WWNum3"/>
    <w:lvl w:ilvl="0">
      <w:numFmt w:val="bullet"/>
      <w:lvlText w:val="•"/>
      <w:lvlJc w:val="left"/>
      <w:rPr>
        <w:rFonts w:cs="Tahoma" w:eastAsia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3">
    <w:nsid w:val="32DE3D6A"/>
    <w:multiLevelType w:val="multilevel"/>
    <w:tmpl w:val="A1ACE3BC"/>
    <w:styleLink w:val="WWNum22"/>
    <w:lvl w:ilvl="0">
      <w:numFmt w:val="bullet"/>
      <w:lvlText w:val="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4">
    <w:nsid w:val="3BB972B2"/>
    <w:multiLevelType w:val="multilevel"/>
    <w:tmpl w:val="B5365E32"/>
    <w:styleLink w:val="WWNum26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5">
    <w:nsid w:val="3E0F7EC0"/>
    <w:multiLevelType w:val="multilevel"/>
    <w:tmpl w:val="E142450C"/>
    <w:styleLink w:val="WWNum13"/>
    <w:lvl w:ilvl="0">
      <w:numFmt w:val="bullet"/>
      <w:lvlText w:val=""/>
      <w:lvlJc w:val="left"/>
      <w:rPr>
        <w:rFonts w:hAnsi="Symbol" w:asci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3FA71E24"/>
    <w:multiLevelType w:val="multilevel"/>
    <w:tmpl w:val="EB1E7520"/>
    <w:lvl w:ilvl="0">
      <w:numFmt w:val="bullet"/>
      <w:lvlText w:val="-"/>
      <w:lvlJc w:val="left"/>
      <w:rPr>
        <w:rFonts w:cs="Arial" w:eastAsia="Calibri" w:hAnsi="Arial Narrow" w:ascii="Arial Narrow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7">
    <w:nsid w:val="41E119B7"/>
    <w:multiLevelType w:val="multilevel"/>
    <w:tmpl w:val="932EB9A6"/>
    <w:styleLink w:val="WWNum11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8">
    <w:nsid w:val="46A2022B"/>
    <w:multiLevelType w:val="multilevel"/>
    <w:tmpl w:val="99BE856C"/>
    <w:styleLink w:val="WWNum29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9">
    <w:nsid w:val="474B597F"/>
    <w:multiLevelType w:val="multilevel"/>
    <w:tmpl w:val="3A74D178"/>
    <w:styleLink w:val="WWNum12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0">
    <w:nsid w:val="49DC31F0"/>
    <w:multiLevelType w:val="multilevel"/>
    <w:tmpl w:val="01E4F034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539534BF"/>
    <w:multiLevelType w:val="multilevel"/>
    <w:tmpl w:val="67049A8E"/>
    <w:styleLink w:val="WWNum15"/>
    <w:lvl w:ilvl="0">
      <w:start w:val="1"/>
      <w:numFmt w:val="decimal"/>
      <w:lvlText w:val="%1."/>
      <w:lvlJc w:val="left"/>
      <w:rPr>
        <w:i w:val="false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>
    <w:nsid w:val="58C42511"/>
    <w:multiLevelType w:val="multilevel"/>
    <w:tmpl w:val="8DE044B0"/>
    <w:styleLink w:val="WWNum28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3">
    <w:nsid w:val="596D6731"/>
    <w:multiLevelType w:val="multilevel"/>
    <w:tmpl w:val="250EEFD4"/>
    <w:styleLink w:val="WWNum9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4">
    <w:nsid w:val="5B5D3976"/>
    <w:multiLevelType w:val="multilevel"/>
    <w:tmpl w:val="5F6E95AA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62E83217"/>
    <w:multiLevelType w:val="multilevel"/>
    <w:tmpl w:val="BF1AD286"/>
    <w:styleLink w:val="WWNum8"/>
    <w:lvl w:ilvl="0">
      <w:numFmt w:val="bullet"/>
      <w:lvlText w:val=""/>
      <w:lvlJc w:val="left"/>
      <w:rPr>
        <w:rFonts w:hAnsi="Symbol" w:asci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>
    <w:nsid w:val="64363983"/>
    <w:multiLevelType w:val="multilevel"/>
    <w:tmpl w:val="276CCBC8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7">
    <w:nsid w:val="73A96137"/>
    <w:multiLevelType w:val="multilevel"/>
    <w:tmpl w:val="93CCA270"/>
    <w:styleLink w:val="WWNum20"/>
    <w:lvl w:ilvl="0">
      <w:numFmt w:val="bullet"/>
      <w:lvlText w:val="-"/>
      <w:lvlJc w:val="left"/>
      <w:rPr>
        <w:rFonts w:cs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8">
    <w:nsid w:val="7C0E7604"/>
    <w:multiLevelType w:val="multilevel"/>
    <w:tmpl w:val="859C4A7A"/>
    <w:styleLink w:val="WWNum10"/>
    <w:lvl w:ilvl="0">
      <w:start w:val="1"/>
      <w:numFmt w:val="decimal"/>
      <w:lvlText w:val="%1."/>
      <w:lvlJc w:val="left"/>
      <w:rPr>
        <w:b w:val="false"/>
      </w:rPr>
    </w:lvl>
    <w:lvl w:ilvl="1">
      <w:start w:val="553"/>
      <w:numFmt w:val="decimal"/>
      <w:lvlText w:val="%1.%2"/>
      <w:lvlJc w:val="left"/>
    </w:lvl>
    <w:lvl w:ilvl="2">
      <w:start w:val="820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>
    <w:nsid w:val="7C6A3AFA"/>
    <w:multiLevelType w:val="multilevel"/>
    <w:tmpl w:val="A8A6873A"/>
    <w:styleLink w:val="WWNum16"/>
    <w:lvl w:ilvl="0">
      <w:numFmt w:val="bullet"/>
      <w:lvlText w:val="-"/>
      <w:lvlJc w:val="left"/>
      <w:rPr>
        <w:rFonts w:cs="Calibri" w:hAnsi="Tahoma" w:ascii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7F942E46"/>
    <w:multiLevelType w:val="multilevel"/>
    <w:tmpl w:val="CAD4CE1C"/>
    <w:styleLink w:val="WWNum27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num w:numId="1">
    <w:abstractNumId w:val="23"/>
  </w:num>
  <w:num w:numId="2">
    <w:abstractNumId w:val="12"/>
  </w:num>
  <w:num w:numId="3">
    <w:abstractNumId w:val="21"/>
  </w:num>
  <w:num w:numId="4">
    <w:abstractNumId w:val="27"/>
  </w:num>
  <w:num w:numId="5">
    <w:abstractNumId w:val="2"/>
  </w:num>
  <w:num w:numId="6">
    <w:abstractNumId w:val="10"/>
  </w:num>
  <w:num w:numId="7">
    <w:abstractNumId w:val="6"/>
  </w:num>
  <w:num w:numId="8">
    <w:abstractNumId w:val="20"/>
  </w:num>
  <w:num w:numId="9">
    <w:abstractNumId w:val="24"/>
  </w:num>
  <w:num w:numId="10">
    <w:abstractNumId w:val="8"/>
  </w:num>
  <w:num w:numId="11">
    <w:abstractNumId w:val="7"/>
  </w:num>
  <w:num w:numId="12">
    <w:abstractNumId w:val="5"/>
  </w:num>
  <w:num w:numId="13">
    <w:abstractNumId w:val="25"/>
  </w:num>
  <w:num w:numId="14">
    <w:abstractNumId w:val="28"/>
  </w:num>
  <w:num w:numId="15">
    <w:abstractNumId w:val="17"/>
  </w:num>
  <w:num w:numId="16">
    <w:abstractNumId w:val="19"/>
  </w:num>
  <w:num w:numId="17">
    <w:abstractNumId w:val="15"/>
  </w:num>
  <w:num w:numId="18">
    <w:abstractNumId w:val="11"/>
  </w:num>
  <w:num w:numId="19">
    <w:abstractNumId w:val="29"/>
  </w:num>
  <w:num w:numId="20">
    <w:abstractNumId w:val="9"/>
  </w:num>
  <w:num w:numId="21">
    <w:abstractNumId w:val="1"/>
  </w:num>
  <w:num w:numId="22">
    <w:abstractNumId w:val="0"/>
  </w:num>
  <w:num w:numId="23">
    <w:abstractNumId w:val="4"/>
  </w:num>
  <w:num w:numId="24">
    <w:abstractNumId w:val="13"/>
  </w:num>
  <w:num w:numId="25">
    <w:abstractNumId w:val="3"/>
  </w:num>
  <w:num w:numId="26">
    <w:abstractNumId w:val="14"/>
  </w:num>
  <w:num w:numId="27">
    <w:abstractNumId w:val="30"/>
  </w:num>
  <w:num w:numId="28">
    <w:abstractNumId w:val="22"/>
  </w:num>
  <w:num w:numId="29">
    <w:abstractNumId w:val="18"/>
  </w:num>
  <w:num w:numId="30">
    <w:abstractNumId w:val="26"/>
  </w:num>
  <w:num w:numId="3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F5D0B"/>
    <w:rsid w:val="00155A20"/>
    <w:rsid w:val="001F5D0B"/>
    <w:rsid w:val="005A40DA"/>
    <w:rsid w:val="00F8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cs="Tahoma" w:eastAsia="Andale Sans U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uppressAutoHyphen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Odlomakpopisa" w:type="paragraph">
    <w:name w:val="List Paragraph"/>
    <w:basedOn w:val="Standard"/>
    <w:pPr>
      <w:suppressAutoHyphens/>
      <w:ind w:left="720"/>
    </w:pPr>
  </w:style>
  <w:style w:customStyle="true" w:styleId="TableContents" w:type="paragraph">
    <w:name w:val="Table Contents"/>
    <w:basedOn w:val="Standard"/>
    <w:pPr>
      <w:suppressLineNumbers/>
    </w:pPr>
  </w:style>
  <w:style w:styleId="StandardWeb" w:type="paragraph">
    <w:name w:val="Normal (Web)"/>
    <w:basedOn w:val="Normal"/>
    <w:pPr>
      <w:widowControl/>
      <w:suppressAutoHyphens w:val="false"/>
      <w:spacing w:lineRule="auto" w:line="240" w:after="119" w:before="100"/>
      <w:textAlignment w:val="auto"/>
    </w:pPr>
    <w:rPr>
      <w:rFonts w:cs="Times New Roman" w:eastAsia="Times New Roman"/>
      <w:kern w:val="0"/>
      <w:lang w:bidi="ar-SA" w:eastAsia="hr-HR"/>
    </w:rPr>
  </w:style>
  <w:style w:styleId="Podnoje" w:type="paragraph">
    <w:name w:val="footer"/>
    <w:basedOn w:val="Standard"/>
    <w:pPr>
      <w:tabs>
        <w:tab w:pos="4536" w:val="center"/>
        <w:tab w:pos="9072" w:val="right"/>
      </w:tabs>
      <w:suppressAutoHyphens/>
      <w:spacing w:lineRule="auto" w:line="240" w:after="0"/>
    </w:pPr>
  </w:style>
  <w:style w:styleId="Tekstbalonia" w:type="paragraph">
    <w:name w:val="Balloon Text"/>
    <w:basedOn w:val="Standard"/>
    <w:pPr>
      <w:suppressAutoHyphens/>
      <w:spacing w:lineRule="auto" w:line="240" w:after="0"/>
    </w:pPr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</w:style>
  <w:style w:customStyle="true" w:styleId="PodnojeChar" w:type="character">
    <w:name w:val="Podnožje Char"/>
    <w:basedOn w:val="Zadanifontodlomka"/>
  </w:style>
  <w:style w:customStyle="true" w:styleId="TekstbaloniaChar" w:type="character">
    <w:name w:val="Tekst balončića Char"/>
    <w:basedOn w:val="Zadanifontodlomka"/>
    <w:rPr>
      <w:rFonts w:cs="Tahoma" w:hAnsi="Tahoma" w:ascii="Tahoma"/>
      <w:sz w:val="16"/>
      <w:szCs w:val="16"/>
    </w:rPr>
  </w:style>
  <w:style w:customStyle="true" w:styleId="ListLabel1" w:type="character">
    <w:name w:val="ListLabel 1"/>
    <w:rPr>
      <w:rFonts w:cs="Tahoma" w:eastAsia="Calibri"/>
    </w:rPr>
  </w:style>
  <w:style w:customStyle="true" w:styleId="ListLabel2" w:type="character">
    <w:name w:val="ListLabel 2"/>
    <w:rPr>
      <w:rFonts w:cs="Courier New"/>
    </w:rPr>
  </w:style>
  <w:style w:customStyle="true" w:styleId="ListLabel3" w:type="character">
    <w:name w:val="ListLabel 3"/>
    <w:rPr>
      <w:b w:val="false"/>
    </w:rPr>
  </w:style>
  <w:style w:customStyle="true" w:styleId="ListLabel4" w:type="character">
    <w:name w:val="ListLabel 4"/>
    <w:rPr>
      <w:rFonts w:cs="Calibri"/>
    </w:rPr>
  </w:style>
  <w:style w:customStyle="true" w:styleId="ListLabel5" w:type="character">
    <w:name w:val="ListLabel 5"/>
    <w:rPr>
      <w:i w:val="false"/>
      <w:u w:val="none"/>
    </w:rPr>
  </w:style>
  <w:style w:customStyle="true" w:styleId="ListLabel6" w:type="character">
    <w:name w:val="ListLabel 6"/>
    <w:rPr>
      <w:rFonts w:cs="Calibri"/>
      <w:i w:val="false"/>
      <w:u w:val="none"/>
    </w:rPr>
  </w:style>
  <w:style w:customStyle="true" w:styleId="ListLabel7" w:type="character">
    <w:name w:val="ListLabel 7"/>
    <w:rPr>
      <w:b/>
    </w:rPr>
  </w:style>
  <w:style w:customStyle="true" w:styleId="WWNum9" w:type="numbering">
    <w:name w:val="WWNum9"/>
    <w:basedOn w:val="Bezpopisa"/>
    <w:pPr>
      <w:numPr>
        <w:numId w:val="1"/>
      </w:numPr>
    </w:pPr>
  </w:style>
  <w:style w:customStyle="true" w:styleId="WWNum3" w:type="numbering">
    <w:name w:val="WWNum3"/>
    <w:basedOn w:val="Bezpopisa"/>
    <w:pPr>
      <w:numPr>
        <w:numId w:val="2"/>
      </w:numPr>
    </w:pPr>
  </w:style>
  <w:style w:customStyle="true" w:styleId="WWNum15" w:type="numbering">
    <w:name w:val="WWNum15"/>
    <w:basedOn w:val="Bezpopisa"/>
    <w:pPr>
      <w:numPr>
        <w:numId w:val="3"/>
      </w:numPr>
    </w:pPr>
  </w:style>
  <w:style w:customStyle="true" w:styleId="WWNum20" w:type="numbering">
    <w:name w:val="WWNum20"/>
    <w:basedOn w:val="Bezpopisa"/>
    <w:pPr>
      <w:numPr>
        <w:numId w:val="4"/>
      </w:numPr>
    </w:pPr>
  </w:style>
  <w:style w:customStyle="true" w:styleId="WWNum7" w:type="numbering">
    <w:name w:val="WWNum7"/>
    <w:basedOn w:val="Bezpopisa"/>
    <w:pPr>
      <w:numPr>
        <w:numId w:val="5"/>
      </w:numPr>
    </w:pPr>
  </w:style>
  <w:style w:customStyle="true" w:styleId="WWNum23" w:type="numbering">
    <w:name w:val="WWNum23"/>
    <w:basedOn w:val="Bezpopisa"/>
    <w:pPr>
      <w:numPr>
        <w:numId w:val="6"/>
      </w:numPr>
    </w:pPr>
  </w:style>
  <w:style w:customStyle="true" w:styleId="WWNum25" w:type="numbering">
    <w:name w:val="WWNum25"/>
    <w:basedOn w:val="Bezpopisa"/>
    <w:pPr>
      <w:numPr>
        <w:numId w:val="7"/>
      </w:numPr>
    </w:pPr>
  </w:style>
  <w:style w:customStyle="true" w:styleId="WWNum1" w:type="numbering">
    <w:name w:val="WWNum1"/>
    <w:basedOn w:val="Bezpopisa"/>
    <w:pPr>
      <w:numPr>
        <w:numId w:val="8"/>
      </w:numPr>
    </w:pPr>
  </w:style>
  <w:style w:customStyle="true" w:styleId="WWNum2" w:type="numbering">
    <w:name w:val="WWNum2"/>
    <w:basedOn w:val="Bezpopisa"/>
    <w:pPr>
      <w:numPr>
        <w:numId w:val="9"/>
      </w:numPr>
    </w:pPr>
  </w:style>
  <w:style w:customStyle="true" w:styleId="WWNum4" w:type="numbering">
    <w:name w:val="WWNum4"/>
    <w:basedOn w:val="Bezpopisa"/>
    <w:pPr>
      <w:numPr>
        <w:numId w:val="10"/>
      </w:numPr>
    </w:pPr>
  </w:style>
  <w:style w:customStyle="true" w:styleId="WWNum5" w:type="numbering">
    <w:name w:val="WWNum5"/>
    <w:basedOn w:val="Bezpopisa"/>
    <w:pPr>
      <w:numPr>
        <w:numId w:val="11"/>
      </w:numPr>
    </w:pPr>
  </w:style>
  <w:style w:customStyle="true" w:styleId="WWNum6" w:type="numbering">
    <w:name w:val="WWNum6"/>
    <w:basedOn w:val="Bezpopisa"/>
    <w:pPr>
      <w:numPr>
        <w:numId w:val="12"/>
      </w:numPr>
    </w:pPr>
  </w:style>
  <w:style w:customStyle="true" w:styleId="WWNum8" w:type="numbering">
    <w:name w:val="WWNum8"/>
    <w:basedOn w:val="Bezpopisa"/>
    <w:pPr>
      <w:numPr>
        <w:numId w:val="13"/>
      </w:numPr>
    </w:pPr>
  </w:style>
  <w:style w:customStyle="true" w:styleId="WWNum10" w:type="numbering">
    <w:name w:val="WWNum10"/>
    <w:basedOn w:val="Bezpopisa"/>
    <w:pPr>
      <w:numPr>
        <w:numId w:val="14"/>
      </w:numPr>
    </w:pPr>
  </w:style>
  <w:style w:customStyle="true" w:styleId="WWNum11" w:type="numbering">
    <w:name w:val="WWNum11"/>
    <w:basedOn w:val="Bezpopisa"/>
    <w:pPr>
      <w:numPr>
        <w:numId w:val="15"/>
      </w:numPr>
    </w:pPr>
  </w:style>
  <w:style w:customStyle="true" w:styleId="WWNum12" w:type="numbering">
    <w:name w:val="WWNum12"/>
    <w:basedOn w:val="Bezpopisa"/>
    <w:pPr>
      <w:numPr>
        <w:numId w:val="16"/>
      </w:numPr>
    </w:pPr>
  </w:style>
  <w:style w:customStyle="true" w:styleId="WWNum13" w:type="numbering">
    <w:name w:val="WWNum13"/>
    <w:basedOn w:val="Bezpopisa"/>
    <w:pPr>
      <w:numPr>
        <w:numId w:val="17"/>
      </w:numPr>
    </w:pPr>
  </w:style>
  <w:style w:customStyle="true" w:styleId="WWNum14" w:type="numbering">
    <w:name w:val="WWNum14"/>
    <w:basedOn w:val="Bezpopisa"/>
    <w:pPr>
      <w:numPr>
        <w:numId w:val="18"/>
      </w:numPr>
    </w:pPr>
  </w:style>
  <w:style w:customStyle="true" w:styleId="WWNum16" w:type="numbering">
    <w:name w:val="WWNum16"/>
    <w:basedOn w:val="Bezpopisa"/>
    <w:pPr>
      <w:numPr>
        <w:numId w:val="19"/>
      </w:numPr>
    </w:pPr>
  </w:style>
  <w:style w:customStyle="true" w:styleId="WWNum17" w:type="numbering">
    <w:name w:val="WWNum17"/>
    <w:basedOn w:val="Bezpopisa"/>
    <w:pPr>
      <w:numPr>
        <w:numId w:val="20"/>
      </w:numPr>
    </w:pPr>
  </w:style>
  <w:style w:customStyle="true" w:styleId="WWNum18" w:type="numbering">
    <w:name w:val="WWNum18"/>
    <w:basedOn w:val="Bezpopisa"/>
    <w:pPr>
      <w:numPr>
        <w:numId w:val="21"/>
      </w:numPr>
    </w:pPr>
  </w:style>
  <w:style w:customStyle="true" w:styleId="WWNum19" w:type="numbering">
    <w:name w:val="WWNum19"/>
    <w:basedOn w:val="Bezpopisa"/>
    <w:pPr>
      <w:numPr>
        <w:numId w:val="22"/>
      </w:numPr>
    </w:pPr>
  </w:style>
  <w:style w:customStyle="true" w:styleId="WWNum21" w:type="numbering">
    <w:name w:val="WWNum21"/>
    <w:basedOn w:val="Bezpopisa"/>
    <w:pPr>
      <w:numPr>
        <w:numId w:val="23"/>
      </w:numPr>
    </w:pPr>
  </w:style>
  <w:style w:customStyle="true" w:styleId="WWNum22" w:type="numbering">
    <w:name w:val="WWNum22"/>
    <w:basedOn w:val="Bezpopisa"/>
    <w:pPr>
      <w:numPr>
        <w:numId w:val="24"/>
      </w:numPr>
    </w:pPr>
  </w:style>
  <w:style w:customStyle="true" w:styleId="WWNum24" w:type="numbering">
    <w:name w:val="WWNum24"/>
    <w:basedOn w:val="Bezpopisa"/>
    <w:pPr>
      <w:numPr>
        <w:numId w:val="25"/>
      </w:numPr>
    </w:pPr>
  </w:style>
  <w:style w:customStyle="true" w:styleId="WWNum26" w:type="numbering">
    <w:name w:val="WWNum26"/>
    <w:basedOn w:val="Bezpopisa"/>
    <w:pPr>
      <w:numPr>
        <w:numId w:val="26"/>
      </w:numPr>
    </w:pPr>
  </w:style>
  <w:style w:customStyle="true" w:styleId="WWNum27" w:type="numbering">
    <w:name w:val="WWNum27"/>
    <w:basedOn w:val="Bezpopisa"/>
    <w:pPr>
      <w:numPr>
        <w:numId w:val="27"/>
      </w:numPr>
    </w:pPr>
  </w:style>
  <w:style w:customStyle="true" w:styleId="WWNum28" w:type="numbering">
    <w:name w:val="WWNum28"/>
    <w:basedOn w:val="Bezpopisa"/>
    <w:pPr>
      <w:numPr>
        <w:numId w:val="28"/>
      </w:numPr>
    </w:pPr>
  </w:style>
  <w:style w:customStyle="true" w:styleId="WWNum29" w:type="numbering">
    <w:name w:val="WWNum29"/>
    <w:basedOn w:val="Bezpopisa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5A4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0DA"/>
    <w:rPr>
      <w:rFonts w:cs="Tahoma" w:hAnsi="Tahoma" w:ascii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0DA"/>
    <w:rPr>
      <w:rFonts w:cs="Tahoma" w:hAnsi="Tahoma" w:ascii="Tahom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0DA"/>
    <w:rPr>
      <w:rFonts w:cs="Tahoma" w:hAnsi="Tahoma" w:ascii="Tahom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ascii="Arial" w:cs="Tahoma" w:eastAsia="Andale Sans U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uppressAutoHyphen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Odlomakpopisa" w:type="paragraph">
    <w:name w:val="List Paragraph"/>
    <w:basedOn w:val="Standard"/>
    <w:pPr>
      <w:suppressAutoHyphens/>
      <w:ind w:left="720"/>
    </w:pPr>
  </w:style>
  <w:style w:customStyle="1" w:styleId="TableContents" w:type="paragraph">
    <w:name w:val="Table Contents"/>
    <w:basedOn w:val="Standard"/>
    <w:pPr>
      <w:suppressLineNumbers/>
    </w:pPr>
  </w:style>
  <w:style w:styleId="StandardWeb" w:type="paragraph">
    <w:name w:val="Normal (Web)"/>
    <w:basedOn w:val="Normal"/>
    <w:pPr>
      <w:widowControl/>
      <w:suppressAutoHyphens w:val="0"/>
      <w:spacing w:after="119" w:before="100" w:line="240" w:lineRule="auto"/>
      <w:textAlignment w:val="auto"/>
    </w:pPr>
    <w:rPr>
      <w:rFonts w:cs="Times New Roman" w:eastAsia="Times New Roman"/>
      <w:kern w:val="0"/>
      <w:lang w:bidi="ar-SA" w:eastAsia="hr-HR"/>
    </w:rPr>
  </w:style>
  <w:style w:styleId="Podnoje" w:type="paragraph">
    <w:name w:val="footer"/>
    <w:basedOn w:val="Standard"/>
    <w:pPr>
      <w:tabs>
        <w:tab w:pos="4536" w:val="center"/>
        <w:tab w:pos="9072" w:val="right"/>
      </w:tabs>
      <w:suppressAutoHyphens/>
      <w:spacing w:after="0" w:line="240" w:lineRule="auto"/>
    </w:pPr>
  </w:style>
  <w:style w:styleId="Tekstbalonia" w:type="paragraph">
    <w:name w:val="Balloon Text"/>
    <w:basedOn w:val="Standard"/>
    <w:pPr>
      <w:suppressAutoHyphens/>
      <w:spacing w:after="0" w:line="240" w:lineRule="auto"/>
    </w:pPr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</w:style>
  <w:style w:customStyle="1" w:styleId="PodnojeChar" w:type="character">
    <w:name w:val="Podnožje Char"/>
    <w:basedOn w:val="Zadanifontodlomka"/>
  </w:style>
  <w:style w:customStyle="1" w:styleId="TekstbaloniaChar" w:type="character">
    <w:name w:val="Tekst balončića Char"/>
    <w:basedOn w:val="Zadanifontodlomka"/>
    <w:rPr>
      <w:rFonts w:ascii="Tahoma" w:cs="Tahoma" w:hAnsi="Tahoma"/>
      <w:sz w:val="16"/>
      <w:szCs w:val="16"/>
    </w:rPr>
  </w:style>
  <w:style w:customStyle="1" w:styleId="ListLabel1" w:type="character">
    <w:name w:val="ListLabel 1"/>
    <w:rPr>
      <w:rFonts w:cs="Tahoma" w:eastAsia="Calibri"/>
    </w:rPr>
  </w:style>
  <w:style w:customStyle="1" w:styleId="ListLabel2" w:type="character">
    <w:name w:val="ListLabel 2"/>
    <w:rPr>
      <w:rFonts w:cs="Courier New"/>
    </w:rPr>
  </w:style>
  <w:style w:customStyle="1" w:styleId="ListLabel3" w:type="character">
    <w:name w:val="ListLabel 3"/>
    <w:rPr>
      <w:b w:val="0"/>
    </w:rPr>
  </w:style>
  <w:style w:customStyle="1" w:styleId="ListLabel4" w:type="character">
    <w:name w:val="ListLabel 4"/>
    <w:rPr>
      <w:rFonts w:cs="Calibri"/>
    </w:rPr>
  </w:style>
  <w:style w:customStyle="1" w:styleId="ListLabel5" w:type="character">
    <w:name w:val="ListLabel 5"/>
    <w:rPr>
      <w:i w:val="0"/>
      <w:u w:val="none"/>
    </w:rPr>
  </w:style>
  <w:style w:customStyle="1" w:styleId="ListLabel6" w:type="character">
    <w:name w:val="ListLabel 6"/>
    <w:rPr>
      <w:rFonts w:cs="Calibri"/>
      <w:i w:val="0"/>
      <w:u w:val="none"/>
    </w:rPr>
  </w:style>
  <w:style w:customStyle="1" w:styleId="ListLabel7" w:type="character">
    <w:name w:val="ListLabel 7"/>
    <w:rPr>
      <w:b/>
    </w:rPr>
  </w:style>
  <w:style w:customStyle="1" w:styleId="WWNum9" w:type="numbering">
    <w:name w:val="WWNum9"/>
    <w:basedOn w:val="Bezpopisa"/>
    <w:pPr>
      <w:numPr>
        <w:numId w:val="1"/>
      </w:numPr>
    </w:pPr>
  </w:style>
  <w:style w:customStyle="1" w:styleId="WWNum3" w:type="numbering">
    <w:name w:val="WWNum3"/>
    <w:basedOn w:val="Bezpopisa"/>
    <w:pPr>
      <w:numPr>
        <w:numId w:val="2"/>
      </w:numPr>
    </w:pPr>
  </w:style>
  <w:style w:customStyle="1" w:styleId="WWNum15" w:type="numbering">
    <w:name w:val="WWNum15"/>
    <w:basedOn w:val="Bezpopisa"/>
    <w:pPr>
      <w:numPr>
        <w:numId w:val="3"/>
      </w:numPr>
    </w:pPr>
  </w:style>
  <w:style w:customStyle="1" w:styleId="WWNum20" w:type="numbering">
    <w:name w:val="WWNum20"/>
    <w:basedOn w:val="Bezpopisa"/>
    <w:pPr>
      <w:numPr>
        <w:numId w:val="4"/>
      </w:numPr>
    </w:pPr>
  </w:style>
  <w:style w:customStyle="1" w:styleId="WWNum7" w:type="numbering">
    <w:name w:val="WWNum7"/>
    <w:basedOn w:val="Bezpopisa"/>
    <w:pPr>
      <w:numPr>
        <w:numId w:val="5"/>
      </w:numPr>
    </w:pPr>
  </w:style>
  <w:style w:customStyle="1" w:styleId="WWNum23" w:type="numbering">
    <w:name w:val="WWNum23"/>
    <w:basedOn w:val="Bezpopisa"/>
    <w:pPr>
      <w:numPr>
        <w:numId w:val="6"/>
      </w:numPr>
    </w:pPr>
  </w:style>
  <w:style w:customStyle="1" w:styleId="WWNum25" w:type="numbering">
    <w:name w:val="WWNum25"/>
    <w:basedOn w:val="Bezpopisa"/>
    <w:pPr>
      <w:numPr>
        <w:numId w:val="7"/>
      </w:numPr>
    </w:pPr>
  </w:style>
  <w:style w:customStyle="1" w:styleId="WWNum1" w:type="numbering">
    <w:name w:val="WWNum1"/>
    <w:basedOn w:val="Bezpopisa"/>
    <w:pPr>
      <w:numPr>
        <w:numId w:val="8"/>
      </w:numPr>
    </w:pPr>
  </w:style>
  <w:style w:customStyle="1" w:styleId="WWNum2" w:type="numbering">
    <w:name w:val="WWNum2"/>
    <w:basedOn w:val="Bezpopisa"/>
    <w:pPr>
      <w:numPr>
        <w:numId w:val="9"/>
      </w:numPr>
    </w:pPr>
  </w:style>
  <w:style w:customStyle="1" w:styleId="WWNum4" w:type="numbering">
    <w:name w:val="WWNum4"/>
    <w:basedOn w:val="Bezpopisa"/>
    <w:pPr>
      <w:numPr>
        <w:numId w:val="10"/>
      </w:numPr>
    </w:pPr>
  </w:style>
  <w:style w:customStyle="1" w:styleId="WWNum5" w:type="numbering">
    <w:name w:val="WWNum5"/>
    <w:basedOn w:val="Bezpopisa"/>
    <w:pPr>
      <w:numPr>
        <w:numId w:val="11"/>
      </w:numPr>
    </w:pPr>
  </w:style>
  <w:style w:customStyle="1" w:styleId="WWNum6" w:type="numbering">
    <w:name w:val="WWNum6"/>
    <w:basedOn w:val="Bezpopisa"/>
    <w:pPr>
      <w:numPr>
        <w:numId w:val="12"/>
      </w:numPr>
    </w:pPr>
  </w:style>
  <w:style w:customStyle="1" w:styleId="WWNum8" w:type="numbering">
    <w:name w:val="WWNum8"/>
    <w:basedOn w:val="Bezpopisa"/>
    <w:pPr>
      <w:numPr>
        <w:numId w:val="13"/>
      </w:numPr>
    </w:pPr>
  </w:style>
  <w:style w:customStyle="1" w:styleId="WWNum10" w:type="numbering">
    <w:name w:val="WWNum10"/>
    <w:basedOn w:val="Bezpopisa"/>
    <w:pPr>
      <w:numPr>
        <w:numId w:val="14"/>
      </w:numPr>
    </w:pPr>
  </w:style>
  <w:style w:customStyle="1" w:styleId="WWNum11" w:type="numbering">
    <w:name w:val="WWNum11"/>
    <w:basedOn w:val="Bezpopisa"/>
    <w:pPr>
      <w:numPr>
        <w:numId w:val="15"/>
      </w:numPr>
    </w:pPr>
  </w:style>
  <w:style w:customStyle="1" w:styleId="WWNum12" w:type="numbering">
    <w:name w:val="WWNum12"/>
    <w:basedOn w:val="Bezpopisa"/>
    <w:pPr>
      <w:numPr>
        <w:numId w:val="16"/>
      </w:numPr>
    </w:pPr>
  </w:style>
  <w:style w:customStyle="1" w:styleId="WWNum13" w:type="numbering">
    <w:name w:val="WWNum13"/>
    <w:basedOn w:val="Bezpopisa"/>
    <w:pPr>
      <w:numPr>
        <w:numId w:val="17"/>
      </w:numPr>
    </w:pPr>
  </w:style>
  <w:style w:customStyle="1" w:styleId="WWNum14" w:type="numbering">
    <w:name w:val="WWNum14"/>
    <w:basedOn w:val="Bezpopisa"/>
    <w:pPr>
      <w:numPr>
        <w:numId w:val="18"/>
      </w:numPr>
    </w:pPr>
  </w:style>
  <w:style w:customStyle="1" w:styleId="WWNum16" w:type="numbering">
    <w:name w:val="WWNum16"/>
    <w:basedOn w:val="Bezpopisa"/>
    <w:pPr>
      <w:numPr>
        <w:numId w:val="19"/>
      </w:numPr>
    </w:pPr>
  </w:style>
  <w:style w:customStyle="1" w:styleId="WWNum17" w:type="numbering">
    <w:name w:val="WWNum17"/>
    <w:basedOn w:val="Bezpopisa"/>
    <w:pPr>
      <w:numPr>
        <w:numId w:val="20"/>
      </w:numPr>
    </w:pPr>
  </w:style>
  <w:style w:customStyle="1" w:styleId="WWNum18" w:type="numbering">
    <w:name w:val="WWNum18"/>
    <w:basedOn w:val="Bezpopisa"/>
    <w:pPr>
      <w:numPr>
        <w:numId w:val="21"/>
      </w:numPr>
    </w:pPr>
  </w:style>
  <w:style w:customStyle="1" w:styleId="WWNum19" w:type="numbering">
    <w:name w:val="WWNum19"/>
    <w:basedOn w:val="Bezpopisa"/>
    <w:pPr>
      <w:numPr>
        <w:numId w:val="22"/>
      </w:numPr>
    </w:pPr>
  </w:style>
  <w:style w:customStyle="1" w:styleId="WWNum21" w:type="numbering">
    <w:name w:val="WWNum21"/>
    <w:basedOn w:val="Bezpopisa"/>
    <w:pPr>
      <w:numPr>
        <w:numId w:val="23"/>
      </w:numPr>
    </w:pPr>
  </w:style>
  <w:style w:customStyle="1" w:styleId="WWNum22" w:type="numbering">
    <w:name w:val="WWNum22"/>
    <w:basedOn w:val="Bezpopisa"/>
    <w:pPr>
      <w:numPr>
        <w:numId w:val="24"/>
      </w:numPr>
    </w:pPr>
  </w:style>
  <w:style w:customStyle="1" w:styleId="WWNum24" w:type="numbering">
    <w:name w:val="WWNum24"/>
    <w:basedOn w:val="Bezpopisa"/>
    <w:pPr>
      <w:numPr>
        <w:numId w:val="25"/>
      </w:numPr>
    </w:pPr>
  </w:style>
  <w:style w:customStyle="1" w:styleId="WWNum26" w:type="numbering">
    <w:name w:val="WWNum26"/>
    <w:basedOn w:val="Bezpopisa"/>
    <w:pPr>
      <w:numPr>
        <w:numId w:val="26"/>
      </w:numPr>
    </w:pPr>
  </w:style>
  <w:style w:customStyle="1" w:styleId="WWNum27" w:type="numbering">
    <w:name w:val="WWNum27"/>
    <w:basedOn w:val="Bezpopisa"/>
    <w:pPr>
      <w:numPr>
        <w:numId w:val="27"/>
      </w:numPr>
    </w:pPr>
  </w:style>
  <w:style w:customStyle="1" w:styleId="WWNum28" w:type="numbering">
    <w:name w:val="WWNum28"/>
    <w:basedOn w:val="Bezpopisa"/>
    <w:pPr>
      <w:numPr>
        <w:numId w:val="28"/>
      </w:numPr>
    </w:pPr>
  </w:style>
  <w:style w:customStyle="1" w:styleId="WWNum29" w:type="numbering">
    <w:name w:val="WWNum29"/>
    <w:basedOn w:val="Bezpopisa"/>
    <w:pPr>
      <w:numPr>
        <w:numId w:val="29"/>
      </w:numPr>
    </w:pPr>
  </w:style>
  <w:style w:styleId="Tekstrezerviranogmjesta" w:type="character">
    <w:name w:val="Placeholder Text"/>
    <w:basedOn w:val="Zadanifontodlomka"/>
    <w:uiPriority w:val="99"/>
    <w:semiHidden/>
    <w:rsid w:val="005A4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0DA"/>
    <w:rPr>
      <w:rFonts w:ascii="Tahoma" w:cs="Tahoma" w:hAnsi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0DA"/>
    <w:rPr>
      <w:rFonts w:ascii="Tahoma" w:cs="Tahoma" w:hAnsi="Tahom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0DA"/>
    <w:rPr>
      <w:rFonts w:ascii="Tahoma" w:cs="Tahoma" w:hAnsi="Tahom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St-819/2016-32</izvorni_sadrzaj>
    <derivirana_varijabla naziv="DomainObject.Oznaka_1">St-819/2016-32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postupka23.3.2016.</izvorni_sadrzaj>
    <derivirana_varijabla naziv="DomainObject.Predmet.Opis_1">Prijedlog za otvaranje st. postupka23.3.2016.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ANIS društvo s ograničenom odgovornošću za završne radove u graditeljstvu u stečaju zastupanog po punomoćniku Zvonko Hrain</izvorni_sadrzaj>
    <derivirana_varijabla naziv="DomainObject.Predmet.ProtustrankaFormated_1">  ANIS društvo s ograničenom odgovornošću za završne radove u graditeljstvu u stečaju zastupanog po punomoćniku Zvonko Hrain</derivirana_varijabla>
  </DomainObject.Predmet.ProtustrankaFormated>
  <DomainObject.Predmet.ProtustrankaFormatedOIB>
    <izvorni_sadrzaj>  ANIS društvo s ograničenom odgovornošću za završne radove u graditeljstvu u stečaju, OIB 69801881400 zastupanog po punomoćniku Zvonko Hrain</izvorni_sadrzaj>
    <derivirana_varijabla naziv="DomainObject.Predmet.ProtustrankaFormatedOIB_1">  ANIS društvo s ograničenom odgovornošću za završne radove u graditeljstvu u stečaju, OIB 69801881400 zastupanog po punomoćniku Zvonko Hrain</derivirana_varijabla>
  </DomainObject.Predmet.ProtustrankaFormatedOIB>
  <DomainObject.Predmet.ProtustrankaFormatedWithAdress>
    <izvorni_sadrzaj> ANIS društvo s ograničenom odgovornošću za završne radove u graditeljstvu u stečaju, Braće Radića 35, 40000 Štefanec zastupanog po punomoćniku Zvonko Hrain</izvorni_sadrzaj>
    <derivirana_varijabla naziv="DomainObject.Predmet.ProtustrankaFormatedWithAdress_1"> ANIS društvo s ograničenom odgovornošću za završne radove u graditeljstvu u stečaju, Braće Radića 35, 40000 Štefanec zastupanog po punomoćniku Zvonko Hrain</derivirana_varijabla>
  </DomainObject.Predmet.ProtustrankaFormatedWithAdress>
  <DomainObject.Predmet.ProtustrankaFormatedWithAdressOIB>
    <izvorni_sadrzaj> ANIS društvo s ograničenom odgovornošću za završne radove u graditeljstvu u stečaju, OIB 69801881400, Braće Radića 35, 40000 Štefanec zastupanog po punomoćniku Zvonko Hrain</izvorni_sadrzaj>
    <derivirana_varijabla naziv="DomainObject.Predmet.ProtustrankaFormatedWithAdressOIB_1"> ANIS društvo s ograničenom odgovornošću za završne radove u graditeljstvu u stečaju, OIB 69801881400, Braće Radića 35, 40000 Štefanec zastupanog po punomoćniku Zvonko Hrain</derivirana_varijabla>
  </DomainObject.Predmet.ProtustrankaFormatedWithAdressOIB>
  <DomainObject.Predmet.ProtustrankaWithAdress>
    <izvorni_sadrzaj>ANIS društvo s ograničenom odgovornošću za završne radove u graditeljstvu u stečaju Braće Radića 35, 40000 Štefanec</izvorni_sadrzaj>
    <derivirana_varijabla naziv="DomainObject.Predmet.ProtustrankaWithAdress_1">ANIS društvo s ograničenom odgovornošću za završne radove u graditeljstvu u stečaju Braće Radića 35, 40000 Štefanec</derivirana_varijabla>
  </DomainObject.Predmet.ProtustrankaWithAdress>
  <DomainObject.Predmet.ProtustrankaWithAdressOIB>
    <izvorni_sadrzaj>ANIS društvo s ograničenom odgovornošću za završne radove u graditeljstvu u stečaju, OIB 69801881400, Braće Radića 35, 40000 Štefanec</izvorni_sadrzaj>
    <derivirana_varijabla naziv="DomainObject.Predmet.ProtustrankaWithAdressOIB_1">ANIS društvo s ograničenom odgovornošću za završne radove u graditeljstvu u stečaju, OIB 69801881400, Braće Radića 35, 40000 Štefanec</derivirana_varijabla>
  </DomainObject.Predmet.ProtustrankaWithAdressOIB>
  <DomainObject.Predmet.ProtustrankaNazivFormated>
    <izvorni_sadrzaj>ANIS društvo s ograničenom odgovornošću za završne radove u graditeljstvu u stečaju</izvorni_sadrzaj>
    <derivirana_varijabla naziv="DomainObject.Predmet.ProtustrankaNazivFormated_1">ANIS društvo s ograničenom odgovornošću za završne radove u graditeljstvu u stečaju</derivirana_varijabla>
  </DomainObject.Predmet.ProtustrankaNazivFormated>
  <DomainObject.Predmet.ProtustrankaNazivFormatedOIB>
    <izvorni_sadrzaj>ANIS društvo s ograničenom odgovornošću za završne radove u graditeljstvu u stečaju, OIB 69801881400</izvorni_sadrzaj>
    <derivirana_varijabla naziv="DomainObject.Predmet.ProtustrankaNazivFormatedOIB_1">ANIS društvo s ograničenom odgovornošću za završne radove u graditeljstvu u stečaju, OIB 69801881400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68258.50</izvorni_sadrzaj>
    <derivirana_varijabla naziv="DomainObject.Predmet.TrenutnaVrijednost_1">68258.50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ANIS društvo s ograničenom odgovornošću za završne radove u graditeljstvu u stečaju zastupanog po punomoćniku Zvonko Hrain</item>
    </izvorni_sadrzaj>
    <derivirana_varijabla naziv="DomainObject.Predmet.ProtuStrankaListFormated_1">
      <item>ANIS društvo s ograničenom odgovornošću za završne radove u graditeljstvu u stečaju zastupanog po punomoćniku Zvonko Hrain</item>
    </derivirana_varijabla>
  </DomainObject.Predmet.ProtuStrankaListFormated>
  <DomainObject.Predmet.ProtuStrankaListFormatedOIB>
    <izvorni_sadrzaj>
      <item>ANIS društvo s ograničenom odgovornošću za završne radove u graditeljstvu u stečaju, OIB 69801881400 zastupanog po punomoćniku Zvonko Hrain</item>
    </izvorni_sadrzaj>
    <derivirana_varijabla naziv="DomainObject.Predmet.ProtuStrankaListFormatedOIB_1">
      <item>ANIS društvo s ograničenom odgovornošću za završne radove u graditeljstvu u stečaju, OIB 69801881400 zastupanog po punomoćniku Zvonko Hrain</item>
    </derivirana_varijabla>
  </DomainObject.Predmet.ProtuStrankaListFormatedOIB>
  <DomainObject.Predmet.ProtuStrankaListFormatedWithAdress>
    <izvorni_sadrzaj>
      <item>ANIS društvo s ograničenom odgovornošću za završne radove u graditeljstvu u stečaju, Braće Radića 35, 40000 Štefanec zastupanog po punomoćniku Zvonko Hrain</item>
    </izvorni_sadrzaj>
    <derivirana_varijabla naziv="DomainObject.Predmet.ProtuStrankaListFormatedWithAdress_1">
      <item>ANIS društvo s ograničenom odgovornošću za završne radove u graditeljstvu u stečaju, Braće Radića 35, 40000 Štefanec zastupanog po punomoćniku Zvonko Hrain</item>
    </derivirana_varijabla>
  </DomainObject.Predmet.ProtuStrankaListFormatedWithAdress>
  <DomainObject.Predmet.ProtuStrankaListFormatedWithAdressOIB>
    <izvorni_sadrzaj>
      <item>ANIS društvo s ograničenom odgovornošću za završne radove u graditeljstvu u stečaju, OIB 69801881400, Braće Radića 35, 40000 Štefanec zastupanog po punomoćniku Zvonko Hrain</item>
    </izvorni_sadrzaj>
    <derivirana_varijabla naziv="DomainObject.Predmet.ProtuStrankaListFormatedWithAdressOIB_1">
      <item>ANIS društvo s ograničenom odgovornošću za završne radove u graditeljstvu u stečaju, OIB 69801881400, Braće Radića 35, 40000 Štefanec zastupanog po punomoćniku Zvonko Hrain</item>
    </derivirana_varijabla>
  </DomainObject.Predmet.ProtuStrankaListFormatedWithAdressOIB>
  <DomainObject.Predmet.ProtuStrankaListNazivFormated>
    <izvorni_sadrzaj>
      <item>ANIS društvo s ograničenom odgovornošću za završne radove u graditeljstvu u stečaju</item>
    </izvorni_sadrzaj>
    <derivirana_varijabla naziv="DomainObject.Predmet.ProtuStrankaListNazivFormated_1">
      <item>ANIS društvo s ograničenom odgovornošću za završne radove u graditeljstvu u stečaju</item>
    </derivirana_varijabla>
  </DomainObject.Predmet.ProtuStrankaListNazivFormated>
  <DomainObject.Predmet.ProtuStrankaListNazivFormatedOIB>
    <izvorni_sadrzaj>
      <item>ANIS društvo s ograničenom odgovornošću za završne radove u graditeljstvu u stečaju, OIB 69801881400</item>
    </izvorni_sadrzaj>
    <derivirana_varijabla naziv="DomainObject.Predmet.ProtuStrankaListNazivFormatedOIB_1">
      <item>ANIS društvo s ograničenom odgovornošću za završne radove u graditeljstvu u stečaju, OIB 69801881400</item>
    </derivirana_varijabla>
  </DomainObject.Predmet.ProtuStrankaListNazivFormatedOIB>
  <DomainObject.Predmet.OstaliListFormated>
    <izvorni_sadrzaj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izvorni_sadrzaj>
    <derivirana_varijabla naziv="DomainObject.Predmet.OstaliListFormated_1">
      <item>Suzana Pongračić</item>
      <item>Županijsko državno odvjetništvo u Varaždinu punomoćnik sudionika u postupku RH MINISTARSTVO FINANCIJA - POREZNA UPRAVA, Područni ured sjeverna Hrvatska</item>
      <item>Zvonko Hrain punomoćnik sudionika u postupku ANIS društvo s ograničenom odgovornošću za završne radove u graditeljstvu u stečaju</item>
    </derivirana_varijabla>
  </DomainObject.Predmet.OstaliListFormated>
  <DomainObject.Predmet.OstaliListFormatedOIB>
    <izvorni_sadrzaj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izvorni_sadrzaj>
    <derivirana_varijabla naziv="DomainObject.Predmet.OstaliListFormatedOIB_1">
      <item>Suzana Pongračić, OIB 39435888946</item>
      <item>Županijsko državno odvjetništvo u Varaždinu punomoćnik sudionika u postupku RH MINISTARSTVO FINANCIJA - POREZNA UPRAVA, Područni ured sjeverna Hrvatska</item>
      <item>Zvonko Hrain, OIB 25731960062 punomoćnik sudionika u postupku ANIS društvo s ograničenom odgovornošću za završne radove u graditeljstvu u stečaju</item>
    </derivirana_varijabla>
  </DomainObject.Predmet.OstaliListFormatedOIB>
  <DomainObject.Predmet.OstaliListFormatedWithAdress>
    <izvorni_sadrzaj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izvorni_sadrzaj>
    <derivirana_varijabla naziv="DomainObject.Predmet.OstaliListFormatedWithAdress_1">
      <item>Suzana Pongračić, Ulica Ruđera Boškovića 41, 40000 Pribislavec</item>
      <item>Županijsko državno odvjetništvo u Varaždinu punomoćnik sudionika u postupku RH MINISTARSTVO FINANCIJA - POREZNA UPRAVA, Područni ured sjeverna Hrvatska</item>
      <item>Zvonko Hrain, Frana Supila 7a, 42000 Varaždin punomoćnik sudionika u postupku ANIS društvo s ograničenom odgovornošću za završne radove u graditeljstvu u stečaju</item>
    </derivirana_varijabla>
  </DomainObject.Predmet.OstaliListFormatedWithAdress>
  <DomainObject.Predmet.OstaliListFormatedWithAdressOIB>
    <izvorni_sadrzaj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izvorni_sadrzaj>
    <derivirana_varijabla naziv="DomainObject.Predmet.OstaliListFormatedWithAdressOIB_1">
      <item>Suzana Pongračić, OIB 39435888946, Ulica Ruđera Boškovića 41, 40000 Pribislavec</item>
      <item>Županijsko državno odvjetništvo u Varaždinu punomoćnik sudionika u postupku RH MINISTARSTVO FINANCIJA - POREZNA UPRAVA, Područni ured sjeverna Hrvatska</item>
      <item>Zvonko Hrain, OIB 25731960062, Frana Supila 7a, 42000 Varaždin punomoćnik sudionika u postupku ANIS društvo s ograničenom odgovornošću za završne radove u graditeljstvu u stečaju</item>
    </derivirana_varijabla>
  </DomainObject.Predmet.OstaliListFormatedWithAdressOIB>
  <DomainObject.Predmet.OstaliListNazivFormated>
    <izvorni_sadrzaj>
      <item>Suzana Pongračić</item>
      <item>Županijsko državno odvjetništvo u Varaždinu</item>
      <item>Zvonko Hrain</item>
    </izvorni_sadrzaj>
    <derivirana_varijabla naziv="DomainObject.Predmet.OstaliListNazivFormated_1">
      <item>Suzana Pongračić</item>
      <item>Županijsko državno odvjetništvo u Varaždinu</item>
      <item>Zvonko Hrain</item>
    </derivirana_varijabla>
  </DomainObject.Predmet.OstaliListNazivFormated>
  <DomainObject.Predmet.OstaliListNazivFormatedOIB>
    <izvorni_sadrzaj>
      <item>Suzana Pongračić, OIB 39435888946</item>
      <item>Županijsko državno odvjetništvo u Varaždinu</item>
      <item>Zvonko Hrain, OIB 25731960062</item>
    </izvorni_sadrzaj>
    <derivirana_varijabla naziv="DomainObject.Predmet.OstaliListNazivFormatedOIB_1">
      <item>Suzana Pongračić, OIB 39435888946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ANIS društvo s ograničenom odgovornošću za završne radove u graditeljstvu u stečaju</izvorni_sadrzaj>
    <derivirana_varijabla naziv="DomainObject.Predmet.ProtustrankaIDrugi_1">ANIS društvo s ograničenom odgovornošću za završne radove u graditeljstvu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ANIS društvo s ograničenom odgovornošću za završne radove u graditeljstvu u stečaju, OIB 69801881400, Braće Radića 35, 40000 Štefanec</izvorni_sadrzaj>
    <derivirana_varijabla naziv="DomainObject.Predmet.ProtustrankaIDrugiAdressOIB_1">ANIS društvo s ograničenom odgovornošću za završne radove u graditeljstvu u stečaju, OIB 69801881400, Braće Radića 35,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izvorni_sadrzaj>
    <derivirana_varijabla naziv="DomainObject.Predmet.SudioniciListNaziv_1">
      <item>ANIS društvo s ograničenom odgovornošću za završne radove u graditeljstvu u stečaju</item>
      <item>Suzana Pongračić</item>
      <item>Županijsko državno odvjetništvo u Varaždinu</item>
      <item>RH MINISTARSTVO FINANCIJA - POREZNA UPRAVA, Područni ured sjeverna Hrvatska</item>
      <item>Zvonko Hrain</item>
    </derivirana_varijabla>
  </DomainObject.Predmet.SudioniciListNaziv>
  <DomainObject.Predmet.SudioniciListAdressOIB>
    <izvorni_sadrzaj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izvorni_sadrzaj>
    <derivirana_varijabla naziv="DomainObject.Predmet.SudioniciListAdressOIB_1">
      <item>ANIS društvo s ograničenom odgovornošću za završne radove u graditeljstvu u stečaju, OIB 69801881400, Braće Radića 35,40000 Štefanec</item>
      <item>Suzana Pongračić, OIB 39435888946, Ulica Ruđera Boškovića 41,40000 Pribislavec</item>
      <item>Županijsko državno odvjetništvo u Varaždinu</item>
      <item>RH MINISTARSTVO FINANCIJA - POREZNA UPRAVA, Područni ured sjeverna Hrvatska, OIB 18683136487, Graberje 1,42000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69801881400</item>
      <item>, OIB 39435888946</item>
      <item>, OIB null</item>
      <item>, OIB 18683136487</item>
      <item>, OIB 25731960062</item>
    </izvorni_sadrzaj>
    <derivirana_varijabla naziv="DomainObject.Predmet.SudioniciListNazivOIB_1">
      <item>, OIB 69801881400</item>
      <item>, OIB 39435888946</item>
      <item>, OIB null</item>
      <item>, OIB 18683136487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1581</properties:Words>
  <properties:Characters>9288</properties:Characters>
  <properties:Lines>289</properties:Lines>
  <properties:Paragraphs>129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2017-05-25T11:52:00Z</dcterms:created>
  <dc:creator>Tihana Martinez</dc:creator>
  <cp:lastModifiedBy>Tihana Martinez</cp:lastModifiedBy>
  <cp:lastPrinted>2017-05-19T10:57:00Z</cp:lastPrinted>
  <dcterms:modified xmlns:xsi="http://www.w3.org/2001/XMLSchema-instance" xsi:type="dcterms:W3CDTF">2017-05-25T11:52:00Z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St-819/2016-32 / Podnesak - Izvješće stečajnog upravitelja</vt:lpwstr>
  </prop:property>
  <prop:property name="CC_coloring" pid="8" fmtid="{D5CDD505-2E9C-101B-9397-08002B2CF9AE}">
    <vt:bool>false</vt:bool>
  </prop:property>
  <prop:property name="BrojStranica" pid="9" fmtid="{D5CDD505-2E9C-101B-9397-08002B2CF9AE}">
    <vt:i4>7</vt:i4>
  </prop:property>
</prop:Properties>
</file>