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78a8" w14:paraId="3fe78a8" w:rsidRDefault="003F7CDB" w:rsidP="003F7CDB" w:rsidR="003F7CD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3F7CDB" w:rsidP="003F7CDB" w:rsidR="003F7CD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3F7CDB" w:rsidP="003F7CDB" w:rsidR="003F7CDB">
      <w:pPr>
        <w:jc w:val="center"/>
        <w:rPr>
          <w:rFonts w:hAnsi="Times New Roman" w:ascii="Times New Roman"/>
          <w:sz w:val="24"/>
        </w:rPr>
      </w:pPr>
    </w:p>
    <w:p w:rsidRDefault="003F7CDB" w:rsidP="003F7CDB" w:rsidR="003F7CDB" w:rsidRPr="003726DD">
      <w:pPr>
        <w:jc w:val="center"/>
        <w:rPr>
          <w:rFonts w:hAnsi="Times New Roman" w:ascii="Times New Roman"/>
          <w:sz w:val="24"/>
        </w:rPr>
      </w:pPr>
    </w:p>
    <w:p w:rsidRDefault="003F7CDB" w:rsidP="003F7CDB" w:rsidR="003F7CDB"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3F7CDB" w:rsidP="003F7CDB" w:rsidR="003F7CDB"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6288</w:t>
      </w:r>
      <w:r w:rsidRPr="008C7A84">
        <w:rPr>
          <w:rFonts w:hAnsi="Bookman Old Style" w:ascii="Bookman Old Style"/>
          <w:sz w:val="24"/>
          <w:szCs w:val="24"/>
          <w:lang w:val="pl-PL"/>
        </w:rPr>
        <w:t>/</w:t>
      </w:r>
      <w:r>
        <w:rPr>
          <w:rFonts w:hAnsi="Bookman Old Style" w:ascii="Bookman Old Style"/>
          <w:sz w:val="24"/>
          <w:szCs w:val="24"/>
          <w:lang w:val="pl-PL"/>
        </w:rPr>
        <w:t>2016</w:t>
      </w:r>
    </w:p>
    <w:p w:rsidRDefault="003F7CDB" w:rsidP="003F7CDB" w:rsidR="003F7CDB"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3F7CDB" w:rsidP="003F7CDB" w:rsidR="003F7CDB">
      <w:pPr>
        <w:rPr>
          <w:rFonts w:hAnsi="Bookman Old Style" w:ascii="Bookman Old Style"/>
        </w:rPr>
      </w:pPr>
      <w:r w:rsidRPr="003F7CDB">
        <w:rPr>
          <w:rFonts w:hAnsi="Bookman Old Style" w:ascii="Bookman Old Style"/>
          <w:b/>
          <w:sz w:val="24"/>
          <w:szCs w:val="24"/>
          <w:lang w:val="pl-PL"/>
        </w:rPr>
        <w:t>MONERIS NEKRETNINE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Sesvete (grad Zagreb)</w:t>
      </w:r>
      <w:r w:rsidRPr="008C7A84">
        <w:rPr>
          <w:rFonts w:hAnsi="Bookman Old Style" w:ascii="Bookman Old Style"/>
          <w:sz w:val="24"/>
          <w:szCs w:val="24"/>
          <w:lang w:val="pl-PL"/>
        </w:rPr>
        <w:t xml:space="preserve">, </w:t>
      </w:r>
      <w:r>
        <w:rPr>
          <w:rFonts w:hAnsi="Bookman Old Style" w:ascii="Bookman Old Style"/>
          <w:sz w:val="24"/>
          <w:szCs w:val="24"/>
          <w:lang w:val="pl-PL"/>
        </w:rPr>
        <w:t>Primorska 5</w:t>
      </w:r>
      <w:r>
        <w:rPr>
          <w:rFonts w:hAnsi="Bookman Old Style" w:ascii="Bookman Old Style"/>
        </w:rPr>
        <w:t xml:space="preserve">, </w:t>
      </w:r>
    </w:p>
    <w:p w:rsidRDefault="003F7CDB" w:rsidP="003F7CDB" w:rsidR="003F7CDB" w:rsidRPr="00B608F4">
      <w:pPr>
        <w:rPr>
          <w:rFonts w:hAnsi="Bookman Old Style" w:ascii="Bookman Old Style"/>
        </w:rPr>
      </w:pPr>
      <w:r w:rsidRPr="00B608F4">
        <w:rPr>
          <w:rFonts w:hAnsi="Bookman Old Style" w:ascii="Bookman Old Style"/>
          <w:sz w:val="24"/>
        </w:rPr>
        <w:t xml:space="preserve">OIB: </w:t>
      </w:r>
      <w:r>
        <w:rPr>
          <w:rFonts w:hAnsi="Bookman Old Style" w:ascii="Bookman Old Style"/>
          <w:sz w:val="24"/>
        </w:rPr>
        <w:t>14006247481</w:t>
      </w:r>
    </w:p>
    <w:p w:rsidRDefault="003F7CDB" w:rsidP="003F7CDB" w:rsidR="003F7CDB">
      <w:pPr>
        <w:jc w:val="center"/>
        <w:rPr>
          <w:rFonts w:hAnsi="Bookman Old Style" w:ascii="Bookman Old Style"/>
          <w:sz w:val="24"/>
          <w:szCs w:val="24"/>
          <w:lang w:val="pl-PL"/>
        </w:rPr>
      </w:pPr>
    </w:p>
    <w:p w:rsidRDefault="003F7CDB" w:rsidP="003F7CDB" w:rsidR="003F7CDB" w:rsidRPr="008C7A84">
      <w:pPr>
        <w:jc w:val="center"/>
        <w:rPr>
          <w:rFonts w:hAnsi="Bookman Old Style" w:ascii="Bookman Old Style"/>
          <w:sz w:val="24"/>
          <w:szCs w:val="24"/>
          <w:lang w:val="pl-PL"/>
        </w:rPr>
      </w:pPr>
    </w:p>
    <w:p w:rsidRDefault="003F7CDB" w:rsidP="003F7CDB" w:rsidR="003F7CDB" w:rsidRPr="008C7A84">
      <w:pPr>
        <w:rPr>
          <w:rFonts w:hAnsi="Bookman Old Style" w:ascii="Bookman Old Style"/>
          <w:sz w:val="24"/>
          <w:szCs w:val="24"/>
          <w:lang w:val="pl-PL"/>
        </w:rPr>
      </w:pPr>
      <w:r w:rsidRPr="001E558F">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Pr>
          <w:rFonts w:hAnsi="Bookman Old Style" w:ascii="Bookman Old Style"/>
          <w:sz w:val="24"/>
          <w:szCs w:val="24"/>
          <w:lang w:val="pl-PL"/>
        </w:rPr>
        <w:t>26.01.</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26</w:t>
      </w:r>
      <w:r w:rsidRPr="008C7A84">
        <w:rPr>
          <w:rFonts w:hAnsi="Bookman Old Style" w:ascii="Bookman Old Style"/>
          <w:sz w:val="24"/>
          <w:szCs w:val="24"/>
          <w:lang w:val="pl-PL"/>
        </w:rPr>
        <w:t>.0</w:t>
      </w:r>
      <w:r>
        <w:rPr>
          <w:rFonts w:hAnsi="Bookman Old Style" w:ascii="Bookman Old Style"/>
          <w:sz w:val="24"/>
          <w:szCs w:val="24"/>
          <w:lang w:val="pl-PL"/>
        </w:rPr>
        <w:t>4.2018. godine.</w:t>
      </w:r>
    </w:p>
    <w:p w:rsidRDefault="003F7CDB" w:rsidP="003F7CDB" w:rsidR="003F7CDB" w:rsidRPr="008C7A84">
      <w:pPr>
        <w:spacing w:after="0"/>
        <w:rPr>
          <w:rFonts w:hAnsi="Bookman Old Style" w:ascii="Bookman Old Style"/>
          <w:sz w:val="24"/>
          <w:szCs w:val="24"/>
          <w:lang w:val="pl-PL"/>
        </w:rPr>
      </w:pPr>
    </w:p>
    <w:p w:rsidRDefault="00D04278" w:rsidP="00D04278" w:rsidR="003F7CDB">
      <w:pPr>
        <w:pStyle w:val="Tijeloteksta"/>
      </w:pPr>
      <w:r>
        <w:t xml:space="preserve">- </w:t>
      </w:r>
      <w:r w:rsidR="003F7CDB">
        <w:t>Razlučni vjerovnik je pokrenuo ovršne postupke za prodaju imovine stečajnog dužnika prije otvaranja stečajnog postupka. Izvješće o ovršnim postupcima dano je po glavom II. točkom 3.</w:t>
      </w:r>
    </w:p>
    <w:p w:rsidRDefault="00D04278" w:rsidP="00D04278" w:rsidR="00D04278">
      <w:pPr>
        <w:pStyle w:val="Tijeloteksta"/>
      </w:pPr>
    </w:p>
    <w:p w:rsidRDefault="00D04278" w:rsidP="00D04278" w:rsidR="00D04278">
      <w:pPr>
        <w:pStyle w:val="Tijeloteksta"/>
      </w:pPr>
      <w:r>
        <w:t>- Sačinjena su godišnja financijska izvješća (bilanca, račun dobiti i gubitka te bilješke uz bilancu), i ista su dostavljena nadležnim organima u rokovima kako je to određeno zakonom.</w:t>
      </w:r>
    </w:p>
    <w:p w:rsidRDefault="003F7CDB" w:rsidP="003F7CDB" w:rsidR="003F7CDB">
      <w:pPr>
        <w:spacing w:after="0"/>
        <w:jc w:val="both"/>
        <w:rPr>
          <w:rFonts w:hAnsi="Bookman Old Style" w:ascii="Bookman Old Style"/>
          <w:sz w:val="24"/>
          <w:szCs w:val="24"/>
          <w:lang w:val="pl-PL"/>
        </w:rPr>
      </w:pPr>
    </w:p>
    <w:p w:rsidRDefault="003F7CDB" w:rsidP="003F7CDB" w:rsidR="003F7CDB" w:rsidRPr="008C7A84">
      <w:pPr>
        <w:spacing w:after="0"/>
        <w:jc w:val="both"/>
        <w:rPr>
          <w:rFonts w:hAnsi="Bookman Old Style" w:ascii="Bookman Old Style"/>
          <w:sz w:val="24"/>
          <w:szCs w:val="24"/>
          <w:lang w:val="pl-PL"/>
        </w:rPr>
      </w:pPr>
    </w:p>
    <w:p w:rsidRDefault="003F7CDB" w:rsidP="003F7CDB" w:rsidR="003F7CDB"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3F7CDB" w:rsidP="003F7CDB" w:rsidR="003F7CDB"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3F7CDB" w:rsidP="003F7CDB" w:rsidR="003F7CDB" w:rsidRPr="008C7A84">
      <w:pPr>
        <w:rPr>
          <w:rFonts w:hAnsi="Bookman Old Style" w:ascii="Bookman Old Style"/>
          <w:sz w:val="24"/>
          <w:szCs w:val="24"/>
          <w:lang w:val="pl-PL"/>
        </w:rPr>
      </w:pPr>
    </w:p>
    <w:p w:rsidRDefault="003F7CDB" w:rsidP="003F7CDB" w:rsidR="003F7CDB"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3F7CDB" w:rsidP="003F7CDB" w:rsidR="003F7CDB" w:rsidRPr="008C7A84">
      <w:pPr>
        <w:spacing w:after="0"/>
        <w:jc w:val="both"/>
        <w:rPr>
          <w:rFonts w:eastAsia="Times New Roman" w:hAnsi="Bookman Old Style" w:ascii="Bookman Old Style"/>
          <w:b/>
          <w:sz w:val="24"/>
          <w:szCs w:val="20"/>
          <w:lang w:eastAsia="hr-HR" w:val="pl-PL"/>
        </w:rPr>
      </w:pPr>
    </w:p>
    <w:p w:rsidRDefault="003F7CDB" w:rsidP="003F7CDB" w:rsidR="003F7CDB" w:rsidRPr="00C2542B">
      <w:pPr>
        <w:numPr>
          <w:ilvl w:val="0"/>
          <w:numId w:val="1"/>
        </w:numPr>
        <w:spacing w:after="0"/>
        <w:jc w:val="both"/>
        <w:rPr>
          <w:rFonts w:eastAsia="Times New Roman" w:hAnsi="Bookman Old Style" w:ascii="Bookman Old Style"/>
          <w:b/>
          <w:sz w:val="24"/>
          <w:szCs w:val="20"/>
          <w:lang w:eastAsia="hr-HR" w:val="pl-PL"/>
        </w:rPr>
      </w:pPr>
      <w:r w:rsidRPr="00C2542B">
        <w:rPr>
          <w:rFonts w:eastAsia="Times New Roman" w:hAnsi="Bookman Old Style" w:ascii="Bookman Old Style"/>
          <w:b/>
          <w:sz w:val="24"/>
          <w:szCs w:val="20"/>
          <w:lang w:eastAsia="hr-HR" w:val="pl-PL"/>
        </w:rPr>
        <w:t xml:space="preserve">NEKRETNINE: </w:t>
      </w:r>
    </w:p>
    <w:p w:rsidRDefault="003F7CDB" w:rsidP="003F7CDB" w:rsidR="003F7CDB"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1. Nekretnina upisana u zemljišnu knjigu zemljišnoknjižnog odjela ZAGREB, Općinski građanski sud u Zagrebu, z.k.ul. 10769, k.o. 335606 VRAPČE i to ORANICA, SAVSKA OPATOVINA, površine 2218m2, sagrađena na kat. čest. 375/14 k.o. Vrapče, i to suvlasnički dio: 380/2218 </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Temeljem solemniziranog Sporazuma radi osiguranja novčane tražbine zasnivanjem založnog prava na nekretninama od 23.04.2008. uknjiženo je založno pravo radi osiguranja tražbine u iznosu od HRK 142.570.096,50 odnosno protuvrijednosti 19.500,000,00 EUR po srednjem tečaju HNB na dan sastavljanja ugovora, uvećano za kamate u ukupnom iznosu od HRK 57.208.071,73 u protuvrijednosti EUR 7.824.624,00 po srednjem tečaju HNB na dan sastavljanja ugovora, i sve ostale troškove radi osiguranja </w:t>
      </w:r>
      <w:r w:rsidRPr="00B608F4">
        <w:rPr>
          <w:rFonts w:eastAsia="Times New Roman" w:hAnsi="Bookman Old Style" w:ascii="Bookman Old Style"/>
          <w:sz w:val="24"/>
          <w:szCs w:val="24"/>
          <w:lang w:eastAsia="hr-HR"/>
        </w:rPr>
        <w:lastRenderedPageBreak/>
        <w:t>novčane tražbine, za korist: ALPE ADRIA POSLOVODSTVO D.O.O., OIB:99488126785, SLAVONSKA AVENIJA BR. 6/A, ZAGREB</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2. Nekretnina upisana u zemljišnu knjigu zemljišnoknjižnog odjela ZAGREB, Općinski građanski sud u Zagrebu, z.k.ul. 17734, k.o.  GRAD ZAGREB i to ORANICA i PUT, SAVSKA OPATOVINA; ORANICA površine 2580m2 i PUT površine 43m2, sagrađena na kat. čest. 365 k.o. Vrapče i to: suvlasnički dio: 73/782</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nekretninama od 09. 04. 2010. godine, predbilježuje se založno pravo u iznosu od 4.500.000,50 EUR sa svim ugovorenim uvjetima i potraživanjima, za korist: ZVEZA BANK REGIONALNA ZADRUGA Z OMEJENIM JAMSTVOM, BANK UND REVISIONSVERBAND, OIB: 24250429800, GEN.M.B.H., PAULITSCHGASSE 5-7, A-9010 KLAGENFURT/CELOVEC</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3. Nekretnina upisana u zemljišnu knjigu zemljišnoknjižnog odjela ZAGREB, Općinski građanski sud u Zagrebu, z.k.ul. 17761, k.o. 335606 VRAPČE i to ORANICA površine 1077 čhv, sagrađena na kat. čest. 403 k.o. Vrapče i to: suvlasnički dio 1022/1077</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23. travnja 2008. godine solemniziran pos posl. br. OV-9989/2008 dana 24. travnja 2008. godine, uknjižuje se založno pravo u iznosu od 142.570.096,50 HRK odnosno protuvrijednost 19.500.000,00 EUR-a po srednjem tečaju HNB-a na dan sastavljanja ugovora, uvećano za kamate u ukupnom iznosu od 57.208.071,73 HRK u protuvrijednosti EUR 7.824,624,00 EUR po srednjem tečaju HNB na dan sastavljanja ugovora, i sve ostale troškove, radi osiguranja novčane tražbine, za korist: </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10. prosinca 2009. godine, uknjižuje se založno pravo radi osiguranja novčane tražbine, u iznosu od 142.570.096,50 HRK odnosno protuvrijednost 19.500.000,00 EUR-a po srednjem tečaju </w:t>
      </w:r>
      <w:r w:rsidRPr="00B608F4">
        <w:rPr>
          <w:rFonts w:eastAsia="Times New Roman" w:hAnsi="Bookman Old Style" w:ascii="Bookman Old Style"/>
          <w:sz w:val="24"/>
          <w:szCs w:val="24"/>
          <w:lang w:eastAsia="hr-HR"/>
        </w:rPr>
        <w:lastRenderedPageBreak/>
        <w:t xml:space="preserve">HNB-a na dan sastavljanja ugovora, uvećano za iznos ugovorene kamate te interkalarne kamate za period odgode plaćanja, kao i eventualne zatezne kamate i sve eventualne troškove, za korist: </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Ugovora o međusobnom poslovnom odnosu, pristupu dugu i zasnivanju založnog prava od 25. svibnja 2012. godine, uknjižuje se založno pravo u iznosu od 46.900.000,00 kn s ugovorenim naknadama, troškovima i kamatama u visini od 9,50% za korist:</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DALEKOVOD D.D., OIB:4791124222, ZAGREB, ULICA MARIJANA ČAVIĆA 4</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4.</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6713, k.o. 335606 VRAPČE i to ORANICA I PUT PETELIŠĆE U OPATOVINI, ukupno površine 500čhv, sagrađena na kat. čest. 401/2 k.o. Vrapče i to: suvlasnički dio: 87/100</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soiguranja novčanih tražbina zasnivanjem založnog prava na nekretninama od 09.04.2010. godine, uknjižuje se založno pravo u iznosu od 4.500,000,00 EUR sa svim ugovorenim uvjetima i potraživanjima, za korist:</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ZVEZA BANK REGIONALNA ZADRUGA Z OMEJENIM JAMSTVOM, BANK UND REVISIONSVERBAND, OIB: 24250429800, GEN.M.B.H., PAULITSCHGASSE 5-7, A-9010 KLAGENFURT/CELOVEC</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5.</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10340, k.o. 335606 VRAPČE i to ORANICA površine 171 čhv, sagrađena na kat. čest. 401/3 k.o. Vrapče i to: suvlasnički dio: 2/57</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nekretnini od 28.12.2007. godine, uknjižuje se založno pravo u iznosu od 142.570.096,50 kuna s pripadajućim kamatama, naknadama i drugim troškovima, za korist:</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ALPE-ADRIA POSLOVODSTVO D.O.O., OIB:99488126785, SLAVONSKA AVENIJA BR. 6/A, ZAGREB</w:t>
      </w: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Ugovora o međusobnom poslovnom odnosu, pristupu dugu i zasnivanju založnog prava od 25. svibnja 2012. godine, uknjižuje se založno pravo u iznosu od 46.900.000,00 kn s ugovorenim naknadama, troškovima i kamatama u visini od 9,50% za korist:</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DALEKOVOD D.D., OIB:4791124222, ZAGREB, ULICA MARIJANA ČAVIĆA 4</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POKRETNINE</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POSTUPCI U TIJEKU</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1.Ovr-593/13</w:t>
      </w:r>
      <w:r w:rsidRPr="007A0A51">
        <w:rPr>
          <w:rFonts w:eastAsia="Times New Roman" w:hAnsi="Bookman Old Style" w:ascii="Bookman Old Style"/>
          <w:sz w:val="24"/>
          <w:szCs w:val="24"/>
          <w:lang w:eastAsia="hr-HR"/>
        </w:rPr>
        <w:t>; predlagatelj osiguranja: Alpe-Adria Poslovodstvo d.o.o., iz Zagreba, Slavonska avenija 6a i protivnik osiguranja: Opatovina projekt d.o.o. iz Sesveta, Primorska 5, radi: ovrhe</w:t>
      </w:r>
    </w:p>
    <w:p w:rsidRDefault="003F7CDB" w:rsidP="003F7CDB" w:rsidR="003F7CDB"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2.Ovr-3095/17</w:t>
      </w:r>
      <w:r w:rsidRPr="007A0A51">
        <w:rPr>
          <w:rFonts w:eastAsia="Times New Roman" w:hAnsi="Bookman Old Style" w:ascii="Bookman Old Style"/>
          <w:sz w:val="24"/>
          <w:szCs w:val="24"/>
          <w:lang w:eastAsia="hr-HR"/>
        </w:rPr>
        <w:t>;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od 19. travnja 2017. godine, kojim je Općinski građanski sud u Zagrebu utvrdio prekid postupka u ovoj pravnoj stvari budući da je nad 6. ovršenikom Fames nekretnine d.o.o. otvoren stečajni postupak, pozvao stečajnog upravitelja 6. ovršenika Pavao Grizelj iz Zagreba, Dragutina Golika 34, OIB:71007328639 da preuzme postupak u ovoj pravnoj stvari, te se nastavlja postupak u ovoj pravnoj stvari.</w:t>
      </w:r>
    </w:p>
    <w:p w:rsidRDefault="003F7CDB" w:rsidP="003F7CDB" w:rsidR="003F7CDB"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3.Ovr-2507/13;</w:t>
      </w:r>
      <w:r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w:t>
      </w:r>
      <w:r w:rsidRPr="007A0A51">
        <w:rPr>
          <w:rFonts w:eastAsia="Times New Roman" w:hAnsi="Bookman Old Style" w:ascii="Bookman Old Style"/>
          <w:sz w:val="24"/>
          <w:szCs w:val="24"/>
          <w:lang w:eastAsia="hr-HR"/>
        </w:rPr>
        <w:lastRenderedPageBreak/>
        <w:t>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na nekretninama ovršenika, od 30. ožujka 2017. godine, kojim je Općinski sud u Zagrebu odredio spajanje spisa; poslovni broj Ovr-2131/14 na spis Ovr-2507/13.</w:t>
      </w:r>
    </w:p>
    <w:p w:rsidRDefault="003F7CDB" w:rsidP="003F7CDB" w:rsidR="003F7CDB"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7A0A51">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4.Ovr-2508/13</w:t>
      </w:r>
      <w:r w:rsidRPr="007A0A51">
        <w:rPr>
          <w:rFonts w:eastAsia="Times New Roman" w:hAnsi="Bookman Old Style" w:ascii="Bookman Old Style"/>
          <w:sz w:val="24"/>
          <w:szCs w:val="24"/>
          <w:lang w:eastAsia="hr-HR"/>
        </w:rPr>
        <w:t>;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30. ožujka 2016. godine, kojim je Općinski građanski sud u Zagrebu utvrdio prekid postupka u ovoj pravnoj stvari u odnosu na 4. ovršenika, oglasio se stvarno nenadležnim za postupanje u ovoj pravnoj stvari u odnosu na 4. ovršenika, te predmet ustupa Trgovačkom sudu u Zagrebu kao stvarno nadležnom sudu.</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sz w:val="24"/>
          <w:szCs w:val="24"/>
          <w:lang w:eastAsia="hr-HR"/>
        </w:rPr>
        <w:t>-Ovr-2508/13;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29. rujna 2016. godine, kojim je Općinski građanski sud u Zagrebu pozvao stečajnog upravitelja 4. ovršenika Zdravka Krznara iz Zagreba, Sveti duh 123, OIB:50405381305, da preuzme postupak, te da se postupak nastavlja.</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U ovom postupku e</w:t>
      </w:r>
      <w:r w:rsidRPr="00F7283A">
        <w:rPr>
          <w:rFonts w:eastAsia="Times New Roman" w:hAnsi="Bookman Old Style" w:ascii="Bookman Old Style"/>
          <w:sz w:val="24"/>
          <w:szCs w:val="24"/>
          <w:lang w:eastAsia="hr-HR"/>
        </w:rPr>
        <w:t>laboratom o procijeni tržišne vrijednosti nekretnina, od lipnja 2016. godine, kojeg je izradio Andrej Babić, dipl.ing.građ., Jadranovo d.o.o., ukupna vrijednost udjela zemljišta u kunama iznosi:</w:t>
      </w: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t xml:space="preserve">-za nekretninu upisanu u zemljišnu knjigu zemljišnoknjižnog odjela ZAGREB, Općinski građanski sud u Zagrebu, </w:t>
      </w:r>
      <w:r w:rsidRPr="00F7283A">
        <w:rPr>
          <w:rFonts w:eastAsia="Times New Roman" w:hAnsi="Bookman Old Style" w:ascii="Bookman Old Style"/>
          <w:b/>
          <w:sz w:val="24"/>
          <w:szCs w:val="24"/>
          <w:lang w:eastAsia="hr-HR"/>
        </w:rPr>
        <w:t>z.k.ul. 17734, k.o.</w:t>
      </w:r>
      <w:r w:rsidRPr="00F7283A">
        <w:rPr>
          <w:rFonts w:eastAsia="Times New Roman" w:hAnsi="Bookman Old Style" w:ascii="Bookman Old Style"/>
          <w:sz w:val="24"/>
          <w:szCs w:val="24"/>
          <w:lang w:eastAsia="hr-HR"/>
        </w:rPr>
        <w:t xml:space="preserve">  GRAD ZAGREB i to ORANICA i PUT, SAVSKA OPATOVINA; ORANICA površine 2580m2 i PUT površine 43m2, sagrađena na kat. čest. 365 k.o. Vrapče – 2.094,317,00kn</w:t>
      </w: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 suvlasnički dio: 73/782</w:t>
      </w: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-za nekretninu upisanu u zemljišnu knjigu zemljišnoknjižnog odjela ZAGREB, Općinski građanski sud u Zagrebu, </w:t>
      </w:r>
      <w:r w:rsidRPr="00F7283A">
        <w:rPr>
          <w:rFonts w:eastAsia="Times New Roman" w:hAnsi="Bookman Old Style" w:ascii="Bookman Old Style"/>
          <w:b/>
          <w:sz w:val="24"/>
          <w:szCs w:val="24"/>
          <w:lang w:eastAsia="hr-HR"/>
        </w:rPr>
        <w:t>z.k.ul. 6713</w:t>
      </w:r>
      <w:r w:rsidRPr="00F7283A">
        <w:rPr>
          <w:rFonts w:eastAsia="Times New Roman" w:hAnsi="Bookman Old Style" w:ascii="Bookman Old Style"/>
          <w:sz w:val="24"/>
          <w:szCs w:val="24"/>
          <w:lang w:eastAsia="hr-HR"/>
        </w:rPr>
        <w:t>, k.o. 335606 VRAPČE i to ORANICA I PUT PETELIŠĆE U OPATOVINI, ukupno površine 500 čhv, sagrađena na kat. čest. 401</w:t>
      </w:r>
      <w:r>
        <w:rPr>
          <w:rFonts w:eastAsia="Times New Roman" w:hAnsi="Bookman Old Style" w:ascii="Bookman Old Style"/>
          <w:sz w:val="24"/>
          <w:szCs w:val="24"/>
          <w:lang w:eastAsia="hr-HR"/>
        </w:rPr>
        <w:t>/2 k.o. Vrapče – 2.235,120,00kn</w:t>
      </w: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lastRenderedPageBreak/>
        <w:t>MONERIS NEKRETNINE: d.o.o.:suvlasnički dio: 87/100</w:t>
      </w: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-Očitovanjem ovršenika Opatovina projekt d.o.o, Matara Nekretnine d.o.o., Expugnator Nekretnine d.o.o.,Fames Nekretnine d.o.o., Aequus Nekretnine d.o.o., Moneris Nekretnine d.o.o., Finiens Nekretnine d.o.o.,Curis Nekretnine d.o.o., od 14. srpnja 2</w:t>
      </w:r>
      <w:r>
        <w:rPr>
          <w:rFonts w:eastAsia="Times New Roman" w:hAnsi="Bookman Old Style" w:ascii="Bookman Old Style"/>
          <w:sz w:val="24"/>
          <w:szCs w:val="24"/>
          <w:lang w:eastAsia="hr-HR"/>
        </w:rPr>
        <w:t xml:space="preserve">016. godine, ovršenici su predložili </w:t>
      </w:r>
      <w:r w:rsidRPr="00F7283A">
        <w:rPr>
          <w:rFonts w:eastAsia="Times New Roman" w:hAnsi="Bookman Old Style" w:ascii="Bookman Old Style"/>
          <w:sz w:val="24"/>
          <w:szCs w:val="24"/>
          <w:lang w:eastAsia="hr-HR"/>
        </w:rPr>
        <w:t>da se predmetni Nalaz i mišljenje o procjeni tržišne vrijednosti nekretnina od lipnja 2016. godine u cijelosti odbaci.</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-Odgovorom na podnesak osam ovršenika, od 16. rujna 2016. godine, stalni sudski vještak Andrej Babić, dipl.ing.građ., a vezano za izrađeni Nalaz i mišljenje o procjeni tržišne vrijednosti nekretnina od lipnja 2016. godine, u cjelosti ostaje pri izrađenom Nalazu i mišljenju.</w:t>
      </w:r>
    </w:p>
    <w:p w:rsidRDefault="003F7CDB" w:rsidP="003F7CDB" w:rsidR="003F7CDB"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5.Ovr-2611/16</w:t>
      </w:r>
      <w:r w:rsidRPr="007A0A51">
        <w:rPr>
          <w:rFonts w:eastAsia="Times New Roman" w:hAnsi="Bookman Old Style" w:ascii="Bookman Old Style"/>
          <w:sz w:val="24"/>
          <w:szCs w:val="24"/>
          <w:lang w:eastAsia="hr-HR"/>
        </w:rPr>
        <w:t>;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odlučujući o žalbi ovrhovoditelja protiv rješenja Općinskog građanskog suda u Zagrebu, poslovni broj 2508/13 od 30. ožujka 2016 godine, Županijski sud u Zagrebu je 05. srpnja 2016. godine odbio kao djelomično neosnovanu žalbu ovrhovoditelja, te potvrdio rješenje Općinskog građanskog suda u Zagrebu, posl.br. Ovr-2508/13 od 30. ožujka 2016. godine u dijelu pod točkom I. izreke, te uvažio kao djelomično osnovanu žalbu ovrhovoditelja, čime je ukinuo gore citirano rješenje Općinskog građanskog suda u Zagrebu, posl.br. Ovr-2508/13 od 30. ožujka 2016. godine u dijelu pod točkom II. i III. izreke, te predmet vratio prvostupanjskom sudu na daljnji postupak.</w:t>
      </w: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3F7CDB" w:rsidP="003F7CDB" w:rsidR="003F7CDB">
      <w:pPr>
        <w:spacing w:after="0"/>
        <w:jc w:val="both"/>
        <w:rPr>
          <w:rFonts w:hAnsi="Bookman Old Style" w:ascii="Bookman Old Style"/>
          <w:szCs w:val="24"/>
          <w:lang w:val="pl-PL"/>
        </w:rPr>
      </w:pPr>
    </w:p>
    <w:tbl>
      <w:tblPr>
        <w:tblW w:type="dxa" w:w="9434"/>
        <w:tblInd w:type="dxa" w:w="94"/>
        <w:tblLook w:val="04A0" w:noVBand="1" w:noHBand="0" w:lastColumn="0" w:firstColumn="1" w:lastRow="0" w:firstRow="1"/>
      </w:tblPr>
      <w:tblGrid>
        <w:gridCol w:w="2012"/>
        <w:gridCol w:w="813"/>
        <w:gridCol w:w="813"/>
        <w:gridCol w:w="813"/>
        <w:gridCol w:w="813"/>
        <w:gridCol w:w="222"/>
        <w:gridCol w:w="4050"/>
      </w:tblGrid>
      <w:tr w:rsidTr="003F7CDB" w:rsidR="003F7CDB" w:rsidRPr="003F7CDB">
        <w:trPr>
          <w:trHeight w:val="255"/>
        </w:trPr>
        <w:tc>
          <w:tcPr>
            <w:tcW w:type="dxa" w:w="9434"/>
            <w:gridSpan w:val="7"/>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Nastavno </w:t>
            </w:r>
            <w:r w:rsidRPr="003F7CDB">
              <w:rPr>
                <w:rFonts w:cs="Arial" w:eastAsia="Times New Roman" w:hAnsi="Arial" w:ascii="Arial"/>
                <w:sz w:val="20"/>
                <w:szCs w:val="20"/>
                <w:lang w:eastAsia="hr-HR"/>
              </w:rPr>
              <w:t>dajemo pregled priljeva i odljeva sredstava sa žiro-računa stečajnog dužnika</w:t>
            </w:r>
          </w:p>
        </w:tc>
      </w:tr>
      <w:tr w:rsidTr="003F7CDB" w:rsidR="003F7CDB" w:rsidRPr="003F7CDB">
        <w:trPr>
          <w:trHeight w:val="255"/>
        </w:trPr>
        <w:tc>
          <w:tcPr>
            <w:tcW w:type="dxa" w:w="5264"/>
            <w:gridSpan w:val="5"/>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u razdoblju od  26.01.2018.godine do 25.04.2018. godine.</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18"/>
                <w:szCs w:val="18"/>
                <w:lang w:eastAsia="hr-HR"/>
              </w:rPr>
            </w:pPr>
            <w:r w:rsidRPr="003F7CDB">
              <w:rPr>
                <w:rFonts w:cs="Arial" w:eastAsia="Times New Roman" w:hAnsi="Arial" w:ascii="Arial"/>
                <w:sz w:val="18"/>
                <w:szCs w:val="18"/>
                <w:lang w:eastAsia="hr-HR"/>
              </w:rPr>
              <w:t>Red. žiro račun</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1.</w:t>
            </w: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STANJE NA RAČUNU NA DAN 26.01.2018. GODINE</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328,20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1626"/>
            <w:gridSpan w:val="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žiro račun</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159,70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1626"/>
            <w:gridSpan w:val="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 xml:space="preserve">blagajna </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168,50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2.</w:t>
            </w: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 xml:space="preserve">PRILJEV SREDSTAVA </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500,03</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1626"/>
            <w:gridSpan w:val="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HPB-kamate</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0,03</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Priliv s drugih računa</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Priliv od prodaje imovine</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Prilov od  od pozajmica</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500,00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3.</w:t>
            </w: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KONTROLNI ZBROJ (1+2)</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828,23</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4.</w:t>
            </w: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ODLJEV SREDSTAVA</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69,40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 xml:space="preserve">Troškovi oglasa za prodaju </w:t>
            </w:r>
            <w:r w:rsidRPr="003F7CDB">
              <w:rPr>
                <w:rFonts w:cs="Arial" w:eastAsia="Times New Roman" w:hAnsi="Arial" w:ascii="Arial"/>
                <w:sz w:val="20"/>
                <w:szCs w:val="20"/>
                <w:lang w:eastAsia="hr-HR"/>
              </w:rPr>
              <w:lastRenderedPageBreak/>
              <w:t>imovine</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 xml:space="preserve">Troškovi poštarine </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Materijalni troškovi</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Administrativni troškovi</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Troškovi FINE i statistike</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69,40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Troškovi vođenja knjigovodstva</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Sudske pristojbe u predmetu P-2849/2016</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Troškovi odvjetnika</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1626"/>
            <w:gridSpan w:val="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Povrat pozajmica</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Ostali troškovi (biljezi, kopiranje i sl.)</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Troškovi procjene imovine</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Komunalna i vodna naknada, pričuva</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0,00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5.</w:t>
            </w:r>
          </w:p>
        </w:tc>
        <w:tc>
          <w:tcPr>
            <w:tcW w:type="dxa" w:w="3252"/>
            <w:gridSpan w:val="4"/>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STANJE NA RAČUNU NA DAN 25.04.2018.GODINE</w:t>
            </w: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758,83</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1626"/>
            <w:gridSpan w:val="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žiro račun</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590,33</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sz w:val="20"/>
                <w:szCs w:val="20"/>
                <w:lang w:eastAsia="hr-HR"/>
              </w:rPr>
            </w:pPr>
          </w:p>
        </w:tc>
        <w:tc>
          <w:tcPr>
            <w:tcW w:type="dxa" w:w="1626"/>
            <w:gridSpan w:val="2"/>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r w:rsidRPr="003F7CDB">
              <w:rPr>
                <w:rFonts w:cs="Arial" w:eastAsia="Times New Roman" w:hAnsi="Arial" w:ascii="Arial"/>
                <w:sz w:val="20"/>
                <w:szCs w:val="20"/>
                <w:lang w:eastAsia="hr-HR"/>
              </w:rPr>
              <w:t>blagajna</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sz w:val="20"/>
                <w:szCs w:val="20"/>
                <w:lang w:eastAsia="hr-HR"/>
              </w:rPr>
            </w:pPr>
            <w:r w:rsidRPr="003F7CDB">
              <w:rPr>
                <w:rFonts w:cs="Arial" w:eastAsia="Times New Roman" w:hAnsi="Arial" w:ascii="Arial"/>
                <w:sz w:val="20"/>
                <w:szCs w:val="20"/>
                <w:lang w:eastAsia="hr-HR"/>
              </w:rPr>
              <w:t>168,50</w:t>
            </w:r>
          </w:p>
        </w:tc>
      </w:tr>
      <w:tr w:rsidTr="003F7CDB" w:rsidR="003F7CDB" w:rsidRPr="003F7CDB">
        <w:trPr>
          <w:trHeight w:val="255"/>
        </w:trPr>
        <w:tc>
          <w:tcPr>
            <w:tcW w:type="dxa" w:w="2012"/>
            <w:tcBorders>
              <w:top w:val="nil"/>
              <w:left w:val="nil"/>
              <w:bottom w:val="nil"/>
              <w:right w:val="nil"/>
            </w:tcBorders>
            <w:shd w:fill="auto" w:color="auto" w:val="clear"/>
            <w:noWrap/>
            <w:vAlign w:val="bottom"/>
            <w:hideMark/>
          </w:tcPr>
          <w:p w:rsidRDefault="003F7CDB" w:rsidP="003F7CDB" w:rsidR="003F7CDB" w:rsidRPr="003F7CDB">
            <w:pPr>
              <w:spacing w:after="0"/>
              <w:jc w:val="center"/>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6.</w:t>
            </w:r>
          </w:p>
        </w:tc>
        <w:tc>
          <w:tcPr>
            <w:tcW w:type="dxa" w:w="2439"/>
            <w:gridSpan w:val="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KONTROLNI ZBROJ (4+5)</w:t>
            </w:r>
          </w:p>
        </w:tc>
        <w:tc>
          <w:tcPr>
            <w:tcW w:type="dxa" w:w="813"/>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120"/>
            <w:tcBorders>
              <w:top w:val="nil"/>
              <w:left w:val="nil"/>
              <w:bottom w:val="nil"/>
              <w:right w:val="nil"/>
            </w:tcBorders>
            <w:shd w:fill="auto" w:color="auto" w:val="clear"/>
            <w:noWrap/>
            <w:vAlign w:val="bottom"/>
            <w:hideMark/>
          </w:tcPr>
          <w:p w:rsidRDefault="003F7CDB" w:rsidP="003F7CDB" w:rsidR="003F7CDB" w:rsidRPr="003F7CDB">
            <w:pPr>
              <w:spacing w:after="0"/>
              <w:rPr>
                <w:rFonts w:cs="Arial" w:eastAsia="Times New Roman" w:hAnsi="Arial" w:ascii="Arial"/>
                <w:b/>
                <w:bCs/>
                <w:sz w:val="20"/>
                <w:szCs w:val="20"/>
                <w:lang w:eastAsia="hr-HR"/>
              </w:rPr>
            </w:pPr>
          </w:p>
        </w:tc>
        <w:tc>
          <w:tcPr>
            <w:tcW w:type="dxa" w:w="4050"/>
            <w:tcBorders>
              <w:top w:val="nil"/>
              <w:left w:val="nil"/>
              <w:bottom w:val="nil"/>
              <w:right w:val="nil"/>
            </w:tcBorders>
            <w:shd w:fill="auto" w:color="auto" w:val="clear"/>
            <w:noWrap/>
            <w:vAlign w:val="bottom"/>
            <w:hideMark/>
          </w:tcPr>
          <w:p w:rsidRDefault="003F7CDB" w:rsidP="003F7CDB" w:rsidR="003F7CDB" w:rsidRPr="003F7CDB">
            <w:pPr>
              <w:spacing w:after="0"/>
              <w:jc w:val="right"/>
              <w:rPr>
                <w:rFonts w:cs="Arial" w:eastAsia="Times New Roman" w:hAnsi="Arial" w:ascii="Arial"/>
                <w:b/>
                <w:bCs/>
                <w:sz w:val="20"/>
                <w:szCs w:val="20"/>
                <w:lang w:eastAsia="hr-HR"/>
              </w:rPr>
            </w:pPr>
            <w:r w:rsidRPr="003F7CDB">
              <w:rPr>
                <w:rFonts w:cs="Arial" w:eastAsia="Times New Roman" w:hAnsi="Arial" w:ascii="Arial"/>
                <w:b/>
                <w:bCs/>
                <w:sz w:val="20"/>
                <w:szCs w:val="20"/>
                <w:lang w:eastAsia="hr-HR"/>
              </w:rPr>
              <w:t>828,23</w:t>
            </w:r>
          </w:p>
        </w:tc>
      </w:tr>
    </w:tbl>
    <w:p w:rsidRDefault="003F7CDB" w:rsidP="003F7CDB" w:rsidR="003F7CDB" w:rsidRPr="004C57AD">
      <w:pPr>
        <w:spacing w:after="0"/>
        <w:jc w:val="both"/>
        <w:rPr>
          <w:rFonts w:hAnsi="Bookman Old Style" w:ascii="Bookman Old Style"/>
          <w:szCs w:val="24"/>
          <w:lang w:val="pl-PL"/>
        </w:rPr>
      </w:pPr>
    </w:p>
    <w:p w:rsidRDefault="003F7CDB" w:rsidP="003F7CDB" w:rsidR="003F7CDB" w:rsidRPr="004C57AD">
      <w:pPr>
        <w:spacing w:after="0"/>
        <w:jc w:val="both"/>
        <w:rPr>
          <w:rFonts w:hAnsi="Bookman Old Style" w:ascii="Bookman Old Style"/>
          <w:szCs w:val="24"/>
          <w:lang w:val="pl-PL"/>
        </w:rPr>
      </w:pPr>
    </w:p>
    <w:p w:rsidRDefault="003F7CDB" w:rsidP="003F7CDB" w:rsidR="003F7CDB">
      <w:pPr>
        <w:spacing w:after="0"/>
        <w:jc w:val="both"/>
        <w:rPr>
          <w:rFonts w:hAnsi="Bookman Old Style" w:ascii="Bookman Old Style"/>
          <w:sz w:val="24"/>
          <w:szCs w:val="24"/>
          <w:lang w:val="pl-PL"/>
        </w:rPr>
      </w:pPr>
    </w:p>
    <w:p w:rsidRDefault="003F7CDB" w:rsidP="003F7CDB" w:rsidR="003F7CDB">
      <w:pPr>
        <w:spacing w:after="0"/>
        <w:jc w:val="both"/>
        <w:rPr>
          <w:rFonts w:hAnsi="Bookman Old Style" w:ascii="Bookman Old Style"/>
          <w:sz w:val="24"/>
          <w:szCs w:val="24"/>
          <w:lang w:val="pl-PL"/>
        </w:rPr>
      </w:pPr>
    </w:p>
    <w:p w:rsidRDefault="003F7CDB" w:rsidP="003F7CDB" w:rsidR="003F7CDB" w:rsidRPr="003F7CDB">
      <w:pPr>
        <w:spacing w:after="0"/>
        <w:jc w:val="both"/>
        <w:rPr>
          <w:rFonts w:hAnsi="Bookman Old Style" w:ascii="Bookman Old Style"/>
          <w:b/>
          <w:sz w:val="24"/>
          <w:szCs w:val="24"/>
          <w:lang w:val="pl-PL"/>
        </w:rPr>
      </w:pPr>
      <w:r w:rsidRPr="003F7CDB">
        <w:rPr>
          <w:rFonts w:hAnsi="Bookman Old Style" w:ascii="Bookman Old Style"/>
          <w:b/>
          <w:sz w:val="24"/>
          <w:szCs w:val="24"/>
          <w:lang w:val="pl-PL"/>
        </w:rPr>
        <w:t>III. RADNJE  KOJE ĆE SE PODUZETI U NAREDNOM RAZDOBLJU</w:t>
      </w:r>
    </w:p>
    <w:p w:rsidRDefault="003F7CDB" w:rsidP="003F7CDB" w:rsidR="003F7CDB">
      <w:pPr>
        <w:spacing w:after="0"/>
        <w:jc w:val="both"/>
        <w:rPr>
          <w:rFonts w:hAnsi="Bookman Old Style" w:ascii="Bookman Old Style"/>
          <w:sz w:val="24"/>
          <w:szCs w:val="24"/>
          <w:lang w:val="pl-PL"/>
        </w:rPr>
      </w:pPr>
    </w:p>
    <w:p w:rsidRDefault="003F7CDB" w:rsidP="003F7CDB" w:rsidR="003F7CDB">
      <w:pPr>
        <w:spacing w:after="0"/>
        <w:jc w:val="both"/>
        <w:rPr>
          <w:rFonts w:hAnsi="Bookman Old Style" w:ascii="Bookman Old Style"/>
          <w:sz w:val="24"/>
          <w:szCs w:val="24"/>
          <w:lang w:val="pl-PL"/>
        </w:rPr>
      </w:pPr>
    </w:p>
    <w:p w:rsidRDefault="003F7CDB" w:rsidP="003F7CDB" w:rsidR="003F7CDB">
      <w:pPr>
        <w:jc w:val="both"/>
        <w:rPr>
          <w:rFonts w:hAnsi="Bookman Old Style" w:ascii="Bookman Old Style"/>
          <w:sz w:val="24"/>
          <w:szCs w:val="24"/>
          <w:lang w:val="pl-PL"/>
        </w:rPr>
      </w:pPr>
      <w:r>
        <w:rPr>
          <w:rFonts w:hAnsi="Bookman Old Style" w:ascii="Bookman Old Style"/>
          <w:sz w:val="24"/>
          <w:szCs w:val="24"/>
          <w:lang w:val="pl-PL"/>
        </w:rPr>
        <w:t>S obzirom da se imovina prodaje u ovršnom postupku koji se vodi pred Općinskim građanskim sudom u Zagrebu čeka se zakazivanje dražbi.</w:t>
      </w:r>
    </w:p>
    <w:p w:rsidRDefault="003F7CDB" w:rsidP="003F7CDB" w:rsidR="003F7CDB">
      <w:pPr>
        <w:rPr>
          <w:rFonts w:hAnsi="Bookman Old Style" w:ascii="Bookman Old Style"/>
          <w:sz w:val="24"/>
          <w:szCs w:val="24"/>
          <w:lang w:val="pl-PL"/>
        </w:rPr>
      </w:pPr>
    </w:p>
    <w:p w:rsidRDefault="003F7CDB" w:rsidP="003F7CDB" w:rsidR="003F7CDB">
      <w:pPr>
        <w:rPr>
          <w:rFonts w:hAnsi="Bookman Old Style" w:ascii="Bookman Old Style"/>
          <w:sz w:val="24"/>
          <w:szCs w:val="24"/>
          <w:lang w:val="pl-PL"/>
        </w:rPr>
      </w:pPr>
    </w:p>
    <w:p w:rsidRDefault="003F7CDB" w:rsidP="003F7CDB" w:rsidR="003F7CDB">
      <w:pPr>
        <w:rPr>
          <w:rFonts w:hAnsi="Bookman Old Style" w:ascii="Bookman Old Style"/>
          <w:sz w:val="24"/>
          <w:szCs w:val="24"/>
          <w:lang w:val="pl-PL"/>
        </w:rPr>
      </w:pPr>
    </w:p>
    <w:p w:rsidRDefault="003F7CDB" w:rsidP="003F7CDB" w:rsidR="003F7CDB" w:rsidRPr="0093029A">
      <w:pPr>
        <w:rPr>
          <w:rFonts w:hAnsi="Bookman Old Style" w:ascii="Bookman Old Style"/>
          <w:sz w:val="24"/>
          <w:szCs w:val="24"/>
          <w:lang w:val="pl-PL"/>
        </w:rPr>
      </w:pPr>
    </w:p>
    <w:p w:rsidRDefault="003F7CDB" w:rsidP="003F7CDB" w:rsidR="003F7CDB"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3F7CDB" w:rsidP="003F7CDB" w:rsidR="003F7CDB" w:rsidRPr="0093029A">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26.04.2018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0B489B" w:rsidR="000B489B"/>
    <w:sectPr w:rsidSect="00EC73AC" w:rsidR="000B489B">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976B10"/>
    <w:multiLevelType w:val="hybridMultilevel"/>
    <w:tmpl w:val="6B749E94"/>
    <w:lvl w:tplc="C2E8EAFC"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CDB"/>
    <w:rsid w:val="000B489B"/>
    <w:rsid w:val="001E558F"/>
    <w:rsid w:val="003F7CDB"/>
    <w:rsid w:val="00757F75"/>
    <w:rsid w:val="00947017"/>
    <w:rsid w:val="00D042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7CD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F7CDB"/>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3F7CDB"/>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757F75"/>
    <w:rPr>
      <w:color w:val="808080"/>
      <w:bdr w:space="0" w:sz="0" w:color="auto" w:val="none"/>
      <w:shd w:fill="auto" w:color="auto" w:val="clear"/>
    </w:rPr>
  </w:style>
  <w:style w:customStyle="true" w:styleId="eSPISCCParagraphDefaultFont" w:type="character">
    <w:name w:val="eSPIS_CC_Paragraph Default Font"/>
    <w:basedOn w:val="Zadanifontodlomka"/>
    <w:rsid w:val="00757F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57F75"/>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57F75"/>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57F75"/>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7CD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F7CDB"/>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3F7CDB"/>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757F75"/>
    <w:rPr>
      <w:color w:val="808080"/>
      <w:bdr w:color="auto" w:space="0" w:sz="0" w:val="none"/>
      <w:shd w:color="auto" w:fill="auto" w:val="clear"/>
    </w:rPr>
  </w:style>
  <w:style w:customStyle="1" w:styleId="eSPISCCParagraphDefaultFont" w:type="character">
    <w:name w:val="eSPIS_CC_Paragraph Default Font"/>
    <w:basedOn w:val="Zadanifontodlomka"/>
    <w:rsid w:val="00757F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7F75"/>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57F75"/>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57F75"/>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6228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2014</properties:Words>
  <properties:Characters>12891</properties:Characters>
  <properties:Lines>446</properties:Lines>
  <properties:Paragraphs>117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2018-04-30T08:27:00Z</dcterms:created>
  <dc:creator>natalija</dc:creator>
  <cp:lastModifiedBy>Vinka Mihalinčić</cp:lastModifiedBy>
  <cp:lastPrinted>2018-04-24T14:05:00Z</cp:lastPrinted>
  <dcterms:modified xmlns:xsi="http://www.w3.org/2001/XMLSchema-instance" xsi:type="dcterms:W3CDTF">2018-04-30T08:27:00Z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St-6288/2016-33 / Podnesak - Izvješće stečajnog upravitelja (Izvješće - 26.1.2018.-26.4.2018_.docx)</vt:lpwstr>
  </prop:property>
  <prop:property name="CC_coloring" pid="4" fmtid="{D5CDD505-2E9C-101B-9397-08002B2CF9AE}">
    <vt:bool>false</vt:bool>
  </prop:property>
  <prop:property name="BrojStranica" pid="5" fmtid="{D5CDD505-2E9C-101B-9397-08002B2CF9AE}">
    <vt:i4>7</vt:i4>
  </prop:property>
</prop:Properties>
</file>