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a45ca" w14:paraId="bea45ca" w:rsidRDefault="00C912C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1562100</wp:posOffset>
            </wp:positionH>
            <wp:positionV relativeFrom="page">
              <wp:posOffset>662940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C912CB" w:rsidR="00AE649C" w:rsidRPr="00B76F3C">
      <w:pPr>
        <w:pStyle w:val="NormaleSPIS"/>
        <w:ind w:firstLine="0"/>
      </w:pPr>
    </w:p>
    <w:p w:rsidRDefault="00C912CB" w:rsidP="00C912CB" w:rsidR="00C912CB">
      <w:pPr>
        <w:spacing w:after="0"/>
        <w:jc w:val="both"/>
      </w:pPr>
      <w:r>
        <w:t xml:space="preserve">          </w:t>
      </w:r>
      <w:r>
        <w:t>Republika Hrvatska</w:t>
      </w:r>
    </w:p>
    <w:p w:rsidRDefault="00C912CB" w:rsidP="00C912CB" w:rsidR="00C912CB">
      <w:pPr>
        <w:tabs>
          <w:tab w:pos="3338" w:val="left"/>
        </w:tabs>
        <w:spacing w:after="0"/>
        <w:jc w:val="both"/>
      </w:pPr>
      <w:r>
        <w:t xml:space="preserve">     Trgovački sud u Bjelovaru</w:t>
      </w:r>
      <w:r>
        <w:tab/>
      </w:r>
    </w:p>
    <w:p w:rsidRDefault="00C912CB" w:rsidP="00C912CB" w:rsidR="00C912CB" w:rsidRPr="00C912CB">
      <w:pPr>
        <w:spacing w:after="0"/>
        <w:jc w:val="both"/>
      </w:pPr>
      <w:r>
        <w:t xml:space="preserve">Bjelovar, Šetalište dr. I. </w:t>
      </w:r>
      <w:proofErr w:type="spellStart"/>
      <w:r>
        <w:t>Lebovića</w:t>
      </w:r>
      <w:proofErr w:type="spellEnd"/>
      <w:r>
        <w:t xml:space="preserve"> 42</w:t>
      </w:r>
    </w:p>
    <w:p w:rsidRDefault="00C912CB" w:rsidP="00C912CB" w:rsidR="00C912CB" w:rsidRPr="00C912CB">
      <w:pPr>
        <w:overflowPunct w:val="false"/>
        <w:autoSpaceDE w:val="false"/>
        <w:autoSpaceDN w:val="false"/>
        <w:adjustRightInd w:val="false"/>
        <w:spacing w:after="0"/>
        <w:ind w:firstLine="851"/>
        <w:jc w:val="right"/>
        <w:rPr>
          <w:rFonts w:cs="Times New Roman" w:eastAsia="Times New Roman"/>
          <w:noProof/>
          <w:szCs w:val="20"/>
          <w:lang w:eastAsia="hr-HR"/>
        </w:rPr>
      </w:pPr>
      <w:bookmarkStart w:name="_GoBack" w:id="0"/>
      <w:bookmarkEnd w:id="0"/>
      <w:r w:rsidRPr="00C912CB">
        <w:rPr>
          <w:rFonts w:cs="Times New Roman" w:eastAsia="Times New Roman"/>
          <w:noProof/>
          <w:szCs w:val="20"/>
          <w:lang w:eastAsia="hr-HR"/>
        </w:rPr>
        <w:t>Poslovni broj: 5 St-116/2018-2</w:t>
      </w: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C912CB" w:rsidP="00C912CB" w:rsidR="00C912CB" w:rsidRPr="00C912CB">
      <w:pPr>
        <w:overflowPunct w:val="false"/>
        <w:autoSpaceDE w:val="false"/>
        <w:autoSpaceDN w:val="false"/>
        <w:adjustRightInd w:val="false"/>
        <w:spacing w:after="0"/>
        <w:jc w:val="center"/>
        <w:rPr>
          <w:rFonts w:cs="Times New Roman" w:eastAsia="Times New Roman"/>
          <w:noProof/>
          <w:szCs w:val="20"/>
          <w:lang w:eastAsia="hr-HR"/>
        </w:rPr>
      </w:pPr>
      <w:r w:rsidRPr="00C912CB">
        <w:rPr>
          <w:rFonts w:cs="Times New Roman" w:eastAsia="Times New Roman"/>
          <w:noProof/>
          <w:szCs w:val="20"/>
          <w:lang w:eastAsia="hr-HR"/>
        </w:rPr>
        <w:t>R E P U B L I K A  H R V A T S K A</w:t>
      </w:r>
    </w:p>
    <w:p w:rsidRDefault="00C912CB" w:rsidP="00C912CB" w:rsidR="00C912CB" w:rsidRPr="00C912CB">
      <w:pPr>
        <w:overflowPunct w:val="false"/>
        <w:autoSpaceDE w:val="false"/>
        <w:autoSpaceDN w:val="false"/>
        <w:adjustRightInd w:val="false"/>
        <w:spacing w:after="0"/>
        <w:jc w:val="center"/>
        <w:rPr>
          <w:rFonts w:cs="Times New Roman" w:eastAsia="Times New Roman"/>
          <w:noProof/>
          <w:szCs w:val="20"/>
          <w:lang w:eastAsia="hr-HR"/>
        </w:rPr>
      </w:pPr>
    </w:p>
    <w:p w:rsidRDefault="00C912CB" w:rsidP="00C912CB" w:rsidR="00C912CB" w:rsidRPr="00C912CB">
      <w:pPr>
        <w:overflowPunct w:val="false"/>
        <w:autoSpaceDE w:val="false"/>
        <w:autoSpaceDN w:val="false"/>
        <w:adjustRightInd w:val="false"/>
        <w:spacing w:after="0"/>
        <w:jc w:val="center"/>
        <w:rPr>
          <w:rFonts w:cs="Times New Roman" w:eastAsia="Times New Roman"/>
          <w:noProof/>
          <w:szCs w:val="20"/>
          <w:lang w:eastAsia="hr-HR"/>
        </w:rPr>
      </w:pPr>
      <w:r w:rsidRPr="00C912CB">
        <w:rPr>
          <w:rFonts w:cs="Times New Roman" w:eastAsia="Times New Roman"/>
          <w:noProof/>
          <w:szCs w:val="20"/>
          <w:lang w:eastAsia="hr-HR"/>
        </w:rPr>
        <w:t>R J E Š E N J E</w:t>
      </w: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noProof/>
          <w:szCs w:val="20"/>
          <w:lang w:eastAsia="hr-HR"/>
        </w:rPr>
      </w:pPr>
      <w:r w:rsidRPr="00C912CB">
        <w:rPr>
          <w:rFonts w:cs="Times New Roman" w:eastAsia="Times New Roman"/>
          <w:noProof/>
          <w:szCs w:val="20"/>
          <w:lang w:eastAsia="hr-HR"/>
        </w:rPr>
        <w:t xml:space="preserve">Trgovački sud u Bjelovaru, po stečajnoj sutkinji Mariji Petrina Kubica, odlučujući o prijedlogu za otvaranje </w:t>
      </w:r>
      <w:r w:rsidRPr="00C912CB">
        <w:rPr>
          <w:rFonts w:cs="Times New Roman" w:eastAsia="Times New Roman"/>
          <w:szCs w:val="20"/>
          <w:lang w:eastAsia="hr-HR"/>
        </w:rPr>
        <w:t xml:space="preserve">stečajnog postupka nad dužnikom GORICA d.o.o. za proizvodnju, turizam, ugostiteljstvo, trgovinu i usluge, Zdenci, Kolodvorska </w:t>
      </w:r>
      <w:proofErr w:type="spellStart"/>
      <w:r w:rsidRPr="00C912CB">
        <w:rPr>
          <w:rFonts w:cs="Times New Roman" w:eastAsia="Times New Roman"/>
          <w:szCs w:val="20"/>
          <w:lang w:eastAsia="hr-HR"/>
        </w:rPr>
        <w:t>bb</w:t>
      </w:r>
      <w:proofErr w:type="spellEnd"/>
      <w:r w:rsidRPr="00C912CB">
        <w:rPr>
          <w:rFonts w:cs="Times New Roman" w:eastAsia="Times New Roman"/>
          <w:szCs w:val="20"/>
          <w:lang w:eastAsia="hr-HR"/>
        </w:rPr>
        <w:t xml:space="preserve">, MBS: 010031803, OIB: 15819891909, 10. travnja </w:t>
      </w:r>
      <w:r w:rsidRPr="00C912CB">
        <w:rPr>
          <w:rFonts w:cs="Times New Roman" w:eastAsia="Times New Roman"/>
          <w:noProof/>
          <w:szCs w:val="20"/>
          <w:lang w:eastAsia="hr-HR"/>
        </w:rPr>
        <w:t xml:space="preserve">2018.  </w:t>
      </w:r>
    </w:p>
    <w:p w:rsidRDefault="00C912CB" w:rsidP="00C912CB" w:rsidR="00C912CB" w:rsidRPr="00C912CB">
      <w:pPr>
        <w:overflowPunct w:val="false"/>
        <w:autoSpaceDE w:val="false"/>
        <w:autoSpaceDN w:val="false"/>
        <w:adjustRightInd w:val="false"/>
        <w:spacing w:after="0"/>
        <w:jc w:val="both"/>
        <w:rPr>
          <w:rFonts w:cs="Times New Roman" w:eastAsia="SimSun"/>
          <w:szCs w:val="20"/>
          <w:lang w:eastAsia="zh-CN"/>
        </w:rPr>
      </w:pPr>
      <w:r w:rsidRPr="00C912CB">
        <w:rPr>
          <w:rFonts w:cs="Times New Roman" w:eastAsia="Times New Roman"/>
          <w:noProof/>
          <w:szCs w:val="20"/>
          <w:lang w:eastAsia="hr-HR"/>
        </w:rPr>
        <w:tab/>
      </w:r>
    </w:p>
    <w:p w:rsidRDefault="00C912CB" w:rsidP="00C912CB" w:rsidR="00C912CB" w:rsidRPr="00C912CB">
      <w:pPr>
        <w:overflowPunct w:val="false"/>
        <w:autoSpaceDE w:val="false"/>
        <w:autoSpaceDN w:val="false"/>
        <w:adjustRightInd w:val="false"/>
        <w:spacing w:after="0"/>
        <w:jc w:val="center"/>
        <w:rPr>
          <w:rFonts w:cs="Times New Roman" w:eastAsia="Times New Roman"/>
          <w:szCs w:val="20"/>
          <w:lang w:eastAsia="hr-HR"/>
        </w:rPr>
      </w:pPr>
      <w:r w:rsidRPr="00C912CB">
        <w:rPr>
          <w:rFonts w:cs="Times New Roman" w:eastAsia="Times New Roman"/>
          <w:szCs w:val="20"/>
          <w:lang w:eastAsia="hr-HR"/>
        </w:rPr>
        <w:t>r i j e š i o   j e</w:t>
      </w:r>
    </w:p>
    <w:p w:rsidRDefault="00C912CB" w:rsidP="00C912CB" w:rsidR="00C912CB" w:rsidRPr="00C912CB">
      <w:pPr>
        <w:overflowPunct w:val="false"/>
        <w:autoSpaceDE w:val="false"/>
        <w:autoSpaceDN w:val="false"/>
        <w:adjustRightInd w:val="false"/>
        <w:spacing w:after="0"/>
        <w:rPr>
          <w:rFonts w:cs="Times New Roman" w:eastAsia="Times New Roman"/>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Times New Roman" w:eastAsia="SimSun"/>
          <w:szCs w:val="20"/>
          <w:lang w:eastAsia="zh-CN"/>
        </w:rPr>
      </w:pPr>
      <w:r w:rsidRPr="00C912CB">
        <w:rPr>
          <w:rFonts w:cs="Times New Roman" w:eastAsia="Times New Roman"/>
          <w:szCs w:val="20"/>
          <w:lang w:eastAsia="hr-HR"/>
        </w:rPr>
        <w:t xml:space="preserve">1. Pokreće se postupak radi utvrđivanja uvjeta za otvaranje stečajnog postupka nad dužnikom GORICA d.o.o. za proizvodnju, turizam, ugostiteljstvo, trgovinu i usluge, Zdenci, Kolodvorska </w:t>
      </w:r>
      <w:proofErr w:type="spellStart"/>
      <w:r w:rsidRPr="00C912CB">
        <w:rPr>
          <w:rFonts w:cs="Times New Roman" w:eastAsia="Times New Roman"/>
          <w:szCs w:val="20"/>
          <w:lang w:eastAsia="hr-HR"/>
        </w:rPr>
        <w:t>bb</w:t>
      </w:r>
      <w:proofErr w:type="spellEnd"/>
      <w:r w:rsidRPr="00C912CB">
        <w:rPr>
          <w:rFonts w:cs="Times New Roman" w:eastAsia="Times New Roman"/>
          <w:szCs w:val="20"/>
          <w:lang w:eastAsia="hr-HR"/>
        </w:rPr>
        <w:t>, MBS: 010031803, OIB: 15819891909.</w:t>
      </w:r>
    </w:p>
    <w:p w:rsidRDefault="00C912CB" w:rsidP="00C912CB" w:rsidR="00C912CB" w:rsidRPr="00C912CB">
      <w:pPr>
        <w:overflowPunct w:val="false"/>
        <w:autoSpaceDE w:val="false"/>
        <w:autoSpaceDN w:val="false"/>
        <w:adjustRightInd w:val="false"/>
        <w:spacing w:after="0"/>
        <w:ind w:left="1946"/>
        <w:contextualSpacing/>
        <w:jc w:val="both"/>
        <w:rPr>
          <w:rFonts w:cs="Times New Roman" w:eastAsia="Times New Roman"/>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szCs w:val="20"/>
          <w:lang w:eastAsia="hr-HR"/>
        </w:rPr>
      </w:pPr>
      <w:r w:rsidRPr="00C912CB">
        <w:rPr>
          <w:rFonts w:cs="Times New Roman" w:eastAsia="Times New Roman"/>
          <w:szCs w:val="20"/>
          <w:lang w:eastAsia="hr-HR"/>
        </w:rPr>
        <w:t xml:space="preserve">2. Saziva se ročište radi izjašnjenja o prijedlogu i rasprave o uvjetima za otvaranje stečajnog postupka za dan 10. svibnja 2018. u 11,15 sati u ovome sudu u Bjelovaru, Šetalište dr. </w:t>
      </w:r>
      <w:proofErr w:type="spellStart"/>
      <w:r w:rsidRPr="00C912CB">
        <w:rPr>
          <w:rFonts w:cs="Times New Roman" w:eastAsia="Times New Roman"/>
          <w:szCs w:val="20"/>
          <w:lang w:eastAsia="hr-HR"/>
        </w:rPr>
        <w:t>Ivše</w:t>
      </w:r>
      <w:proofErr w:type="spellEnd"/>
      <w:r w:rsidRPr="00C912CB">
        <w:rPr>
          <w:rFonts w:cs="Times New Roman" w:eastAsia="Times New Roman"/>
          <w:szCs w:val="20"/>
          <w:lang w:eastAsia="hr-HR"/>
        </w:rPr>
        <w:t xml:space="preserve"> </w:t>
      </w:r>
      <w:proofErr w:type="spellStart"/>
      <w:r w:rsidRPr="00C912CB">
        <w:rPr>
          <w:rFonts w:cs="Times New Roman" w:eastAsia="Times New Roman"/>
          <w:szCs w:val="20"/>
          <w:lang w:eastAsia="hr-HR"/>
        </w:rPr>
        <w:t>Lebovića</w:t>
      </w:r>
      <w:proofErr w:type="spellEnd"/>
      <w:r w:rsidRPr="00C912CB">
        <w:rPr>
          <w:rFonts w:cs="Times New Roman" w:eastAsia="Times New Roman"/>
          <w:szCs w:val="20"/>
          <w:lang w:eastAsia="hr-HR"/>
        </w:rPr>
        <w:t xml:space="preserve"> 42, sudnica br. 1, na koje se pozivaju dostavom ovoga rješenja:</w:t>
      </w:r>
    </w:p>
    <w:p w:rsidRDefault="00C912CB" w:rsidP="00C912CB" w:rsidR="00C912CB" w:rsidRPr="00C912CB">
      <w:pPr>
        <w:overflowPunct w:val="false"/>
        <w:autoSpaceDE w:val="false"/>
        <w:autoSpaceDN w:val="false"/>
        <w:adjustRightInd w:val="false"/>
        <w:spacing w:after="0"/>
        <w:ind w:firstLine="851"/>
        <w:rPr>
          <w:rFonts w:cs="Times New Roman" w:eastAsia="Times New Roman"/>
          <w:szCs w:val="20"/>
          <w:lang w:eastAsia="hr-HR"/>
        </w:rPr>
      </w:pPr>
    </w:p>
    <w:p w:rsidRDefault="00C912CB" w:rsidP="00C912CB" w:rsidR="00C912CB" w:rsidRPr="00C912CB">
      <w:pPr>
        <w:overflowPunct w:val="false"/>
        <w:autoSpaceDE w:val="false"/>
        <w:autoSpaceDN w:val="false"/>
        <w:adjustRightInd w:val="false"/>
        <w:spacing w:after="0"/>
        <w:ind w:firstLine="851"/>
        <w:rPr>
          <w:rFonts w:cs="Times New Roman" w:eastAsia="Times New Roman"/>
          <w:szCs w:val="20"/>
          <w:lang w:eastAsia="hr-HR"/>
        </w:rPr>
      </w:pPr>
      <w:r w:rsidRPr="00C912CB">
        <w:rPr>
          <w:rFonts w:cs="Times New Roman" w:eastAsia="Times New Roman"/>
          <w:szCs w:val="20"/>
          <w:lang w:eastAsia="hr-HR"/>
        </w:rPr>
        <w:t xml:space="preserve">- zakonski zastupnik dužnika Katarina </w:t>
      </w:r>
      <w:proofErr w:type="spellStart"/>
      <w:r w:rsidRPr="00C912CB">
        <w:rPr>
          <w:rFonts w:cs="Times New Roman" w:eastAsia="Times New Roman"/>
          <w:szCs w:val="20"/>
          <w:lang w:eastAsia="hr-HR"/>
        </w:rPr>
        <w:t>Barukčić</w:t>
      </w:r>
      <w:proofErr w:type="spellEnd"/>
      <w:r w:rsidRPr="00C912CB">
        <w:rPr>
          <w:rFonts w:cs="Times New Roman" w:eastAsia="Times New Roman"/>
          <w:szCs w:val="20"/>
          <w:lang w:eastAsia="hr-HR"/>
        </w:rPr>
        <w:t xml:space="preserve"> </w:t>
      </w:r>
    </w:p>
    <w:p w:rsidRDefault="00C912CB" w:rsidP="00C912CB" w:rsidR="00C912CB" w:rsidRPr="00C912CB">
      <w:pPr>
        <w:overflowPunct w:val="false"/>
        <w:autoSpaceDE w:val="false"/>
        <w:autoSpaceDN w:val="false"/>
        <w:adjustRightInd w:val="false"/>
        <w:spacing w:after="0"/>
        <w:ind w:firstLine="851"/>
        <w:rPr>
          <w:rFonts w:cs="Times New Roman" w:eastAsia="Times New Roman"/>
          <w:szCs w:val="20"/>
          <w:lang w:eastAsia="hr-HR"/>
        </w:rPr>
      </w:pPr>
      <w:r w:rsidRPr="00C912CB">
        <w:rPr>
          <w:rFonts w:cs="Times New Roman" w:eastAsia="Times New Roman"/>
          <w:szCs w:val="20"/>
          <w:lang w:eastAsia="hr-HR"/>
        </w:rPr>
        <w:t>- Financijska agencija.</w:t>
      </w:r>
    </w:p>
    <w:p w:rsidRDefault="00C912CB" w:rsidP="00C912CB" w:rsidR="00C912CB" w:rsidRPr="00C912CB">
      <w:pPr>
        <w:overflowPunct w:val="false"/>
        <w:autoSpaceDE w:val="false"/>
        <w:autoSpaceDN w:val="false"/>
        <w:adjustRightInd w:val="false"/>
        <w:spacing w:after="0"/>
        <w:ind w:firstLine="851"/>
        <w:rPr>
          <w:rFonts w:cs="Times New Roman" w:eastAsia="Times New Roman"/>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szCs w:val="20"/>
          <w:lang w:eastAsia="hr-HR"/>
        </w:rPr>
      </w:pPr>
      <w:r w:rsidRPr="00C912CB">
        <w:rPr>
          <w:rFonts w:cs="Times New Roman" w:eastAsia="Times New Roman"/>
          <w:szCs w:val="20"/>
          <w:lang w:eastAsia="hr-HR"/>
        </w:rPr>
        <w:t xml:space="preserve">3. Nalaže se Financijskoj agenciji da naloži poslovnim bankama prijenos zaplijenjenih novčanih sredstava na ime predujma za namirenje troškova stečajnog postupka u iznosu od 5.000,00 kn, s računa dužnika u Fond za namirenje troškova stečajnog postupka koji se vodi kod Trgovačkog suda u Bjelovaru </w:t>
      </w:r>
      <w:r w:rsidRPr="00C912CB">
        <w:rPr>
          <w:rFonts w:cs="Times New Roman" w:eastAsia="Times New Roman"/>
          <w:noProof/>
          <w:szCs w:val="20"/>
          <w:lang w:eastAsia="hr-HR"/>
        </w:rPr>
        <w:t xml:space="preserve">IBAN: HR6123900011300000630 model </w:t>
      </w:r>
      <w:r w:rsidRPr="00C912CB">
        <w:rPr>
          <w:rFonts w:cs="Times New Roman" w:eastAsia="Times New Roman"/>
          <w:noProof/>
          <w:szCs w:val="20"/>
          <w:lang w:eastAsia="hr-HR" w:val="en-GB"/>
        </w:rPr>
        <w:t>HR05 540-116</w:t>
      </w:r>
      <w:r w:rsidRPr="00C912CB">
        <w:rPr>
          <w:rFonts w:cs="Times New Roman" w:eastAsia="Times New Roman"/>
          <w:szCs w:val="20"/>
          <w:lang w:eastAsia="hr-HR" w:val="en-GB"/>
        </w:rPr>
        <w:t>-18</w:t>
      </w:r>
      <w:r w:rsidRPr="00C912CB">
        <w:rPr>
          <w:rFonts w:cs="Times New Roman" w:eastAsia="Times New Roman"/>
          <w:szCs w:val="20"/>
          <w:lang w:eastAsia="hr-HR"/>
        </w:rPr>
        <w:t xml:space="preserve">.     </w:t>
      </w:r>
    </w:p>
    <w:p w:rsidRDefault="00C912CB" w:rsidP="00C912CB" w:rsidR="00C912CB" w:rsidRPr="00C912CB">
      <w:pPr>
        <w:overflowPunct w:val="false"/>
        <w:autoSpaceDE w:val="false"/>
        <w:autoSpaceDN w:val="false"/>
        <w:adjustRightInd w:val="false"/>
        <w:spacing w:after="0"/>
        <w:rPr>
          <w:rFonts w:cs="Times New Roman" w:eastAsia="SimSun"/>
          <w:szCs w:val="20"/>
          <w:lang w:eastAsia="zh-CN"/>
        </w:rPr>
      </w:pPr>
    </w:p>
    <w:p w:rsidRDefault="00C912CB" w:rsidP="00C912CB" w:rsidR="00C912CB" w:rsidRPr="00C912CB">
      <w:pPr>
        <w:overflowPunct w:val="false"/>
        <w:autoSpaceDE w:val="false"/>
        <w:autoSpaceDN w:val="false"/>
        <w:adjustRightInd w:val="false"/>
        <w:spacing w:after="0"/>
        <w:jc w:val="center"/>
        <w:rPr>
          <w:rFonts w:cs="Times New Roman" w:eastAsia="SimSun"/>
          <w:szCs w:val="20"/>
          <w:lang w:eastAsia="zh-CN"/>
        </w:rPr>
      </w:pPr>
      <w:r w:rsidRPr="00C912CB">
        <w:rPr>
          <w:rFonts w:cs="Times New Roman" w:eastAsia="SimSun"/>
          <w:szCs w:val="20"/>
          <w:lang w:eastAsia="zh-CN"/>
        </w:rPr>
        <w:t>Obrazloženje</w:t>
      </w:r>
    </w:p>
    <w:p w:rsidRDefault="00C912CB" w:rsidP="00C912CB" w:rsidR="00C912CB" w:rsidRPr="00C912CB">
      <w:pPr>
        <w:overflowPunct w:val="false"/>
        <w:autoSpaceDE w:val="false"/>
        <w:autoSpaceDN w:val="false"/>
        <w:adjustRightInd w:val="false"/>
        <w:spacing w:after="0"/>
        <w:jc w:val="both"/>
        <w:rPr>
          <w:rFonts w:cs="Times New Roman" w:eastAsia="Times New Roman"/>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noProof/>
          <w:szCs w:val="20"/>
          <w:lang w:eastAsia="hr-HR"/>
        </w:rPr>
      </w:pPr>
      <w:r w:rsidRPr="00C912CB">
        <w:rPr>
          <w:rFonts w:cs="Times New Roman" w:eastAsia="Times New Roman"/>
          <w:noProof/>
          <w:szCs w:val="20"/>
          <w:lang w:eastAsia="hr-HR"/>
        </w:rPr>
        <w:t xml:space="preserve">Financijska agencija je, na temelju čl.429. st.1. Stečajnog zakona ("Narodne novine" broj 71/15 i 104/17, dalje: SZ), 28. rujna 2017. podnijela ovom sudu zahtjev za provedbu skraćenog stečajnog postupka nad dužnikom </w:t>
      </w:r>
      <w:r w:rsidRPr="00C912CB">
        <w:rPr>
          <w:rFonts w:cs="Times New Roman" w:eastAsia="Times New Roman"/>
          <w:szCs w:val="20"/>
          <w:lang w:eastAsia="hr-HR"/>
        </w:rPr>
        <w:t>GORICA d.o.o. za proizvodnju, turizam, ugostiteljstvo, trgovinu i usluge, Zdenci, navodeći da na dan 22. rujna 2017. dužnik u Očevidniku redoslijeda osnova za plaćanje ima evidentirane neizvršene osnove za plaćanje u neprekinutom razdoblju od 120 dana, u ukupnom iznosu od 119.060,56 kn, u koji iznos je uračunata kamata i naknada Financijske agencije za provedbu ovrhe na novčanim sredstvima</w:t>
      </w:r>
      <w:r w:rsidRPr="00C912CB">
        <w:rPr>
          <w:rFonts w:cs="Times New Roman" w:eastAsia="Times New Roman"/>
          <w:noProof/>
          <w:szCs w:val="20"/>
          <w:lang w:eastAsia="hr-HR"/>
        </w:rPr>
        <w:t>.</w:t>
      </w: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szCs w:val="20"/>
          <w:lang w:eastAsia="hr-HR"/>
        </w:rPr>
      </w:pPr>
      <w:r w:rsidRPr="00C912CB">
        <w:rPr>
          <w:rFonts w:cs="Times New Roman" w:eastAsia="Times New Roman"/>
          <w:szCs w:val="20"/>
          <w:lang w:eastAsia="hr-HR"/>
        </w:rPr>
        <w:lastRenderedPageBreak/>
        <w:t xml:space="preserve">Po zahtjevu FINE sud je temeljem odredbe čl.430., 431. i 434. SZ oglasom koji je objavljen na mrežnoj stranici e-oglasna ploča Trgovačkog suda u Bjelovaru dana 24. listopada 2017., pozvao osobu ovlaštenu za zastupanje dužnika da u roku od 15 dana od objave oglasa na mrežnoj stranici e-oglasne ploče podnese sudu javnobilježnički ovjerovljen popis imovine i obveza na propisanom obrascu. </w:t>
      </w: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szCs w:val="20"/>
          <w:lang w:eastAsia="hr-HR"/>
        </w:rPr>
      </w:pPr>
      <w:r w:rsidRPr="00C912CB">
        <w:rPr>
          <w:rFonts w:cs="Times New Roman" w:eastAsia="Times New Roman"/>
          <w:szCs w:val="20"/>
          <w:lang w:eastAsia="hr-HR"/>
        </w:rPr>
        <w:t xml:space="preserve">Prokurist dužnika Mato </w:t>
      </w:r>
      <w:proofErr w:type="spellStart"/>
      <w:r w:rsidRPr="00C912CB">
        <w:rPr>
          <w:rFonts w:cs="Times New Roman" w:eastAsia="Times New Roman"/>
          <w:szCs w:val="20"/>
          <w:lang w:eastAsia="hr-HR"/>
        </w:rPr>
        <w:t>Barukčić</w:t>
      </w:r>
      <w:proofErr w:type="spellEnd"/>
      <w:r w:rsidRPr="00C912CB">
        <w:rPr>
          <w:rFonts w:cs="Times New Roman" w:eastAsia="Times New Roman"/>
          <w:szCs w:val="20"/>
          <w:lang w:eastAsia="hr-HR"/>
        </w:rPr>
        <w:t xml:space="preserve"> je 17. studenog 2017. dostavio sudu popis imovine i obveza dužnika, iz kojeg proizlazi da dužnik ima imovinu (nekretnine i pokretnine) koja je zasigurno dovoljna za namirenje troškova stečajnog postupka. Stoga se ne može smatrati da je dužnik nesposoban za plaćanje i nisu ispunjeni uvjeti za donošenje rješenja o otvaranju i zaključenju skraćenog stečajnog postupka. Slijedom navedenog je sud, temeljem čl.433. SZ-a, rješenjem od 28. prosinca 2017. skraćeni stečajni postupak obustavio.</w:t>
      </w: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szCs w:val="20"/>
          <w:lang w:eastAsia="hr-HR"/>
        </w:rPr>
      </w:pPr>
      <w:r w:rsidRPr="00C912CB">
        <w:rPr>
          <w:rFonts w:cs="Times New Roman" w:eastAsia="Times New Roman"/>
          <w:szCs w:val="20"/>
          <w:lang w:eastAsia="hr-HR"/>
        </w:rPr>
        <w:t xml:space="preserve">Po pravomoćnosti rješenja od 28. prosinca 2017. sud je dužan donijeti odluku o pokretanju prethodnog postupka odnosno otvaranju stečajnog postupka nad dužnikom. </w:t>
      </w:r>
    </w:p>
    <w:p w:rsidRDefault="00C912CB" w:rsidP="00C912CB" w:rsidR="00C912CB" w:rsidRPr="00C912CB">
      <w:pPr>
        <w:overflowPunct w:val="false"/>
        <w:autoSpaceDE w:val="false"/>
        <w:autoSpaceDN w:val="false"/>
        <w:adjustRightInd w:val="false"/>
        <w:spacing w:after="0"/>
        <w:jc w:val="both"/>
        <w:rPr>
          <w:rFonts w:cs="Times New Roman" w:eastAsia="Times New Roman"/>
          <w:noProof/>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szCs w:val="20"/>
          <w:lang w:eastAsia="hr-HR"/>
        </w:rPr>
      </w:pPr>
      <w:r w:rsidRPr="00C912CB">
        <w:rPr>
          <w:rFonts w:cs="Times New Roman" w:eastAsia="Times New Roman"/>
          <w:szCs w:val="20"/>
          <w:lang w:eastAsia="hr-HR"/>
        </w:rPr>
        <w:t xml:space="preserve">Kako iz zahtjeva za provedbu skraćenog stečajnog postupka proizlazi vjerojatnost postojanja stečajnog razloga nesposobnosti za plaćanje iz čl.6. st.2. SZ-a, sud je temeljem čl.115. st.1. SZ-a, donio rješenje o pokretanju prethodnog postupka radi utvrđivanja pretpostavki za otvaranje stečajnog postupka.  </w:t>
      </w: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szCs w:val="20"/>
          <w:lang w:eastAsia="hr-HR"/>
        </w:rPr>
      </w:pPr>
      <w:r w:rsidRPr="00C912CB">
        <w:rPr>
          <w:rFonts w:cs="Times New Roman" w:eastAsia="Times New Roman"/>
          <w:szCs w:val="20"/>
          <w:lang w:eastAsia="hr-HR"/>
        </w:rPr>
        <w:t xml:space="preserve">Temeljem čl.123. st.1. i čl.128. st.1. i 5. SZ zakazano je ročište radi izjašnjenja o prijedlogu i rasprave o uvjetima za otvaranje stečajnog postupka na koje su pozvani zakonski zastupnik dužnika i Fina. </w:t>
      </w: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Times New Roman" w:eastAsia="Times New Roman"/>
          <w:szCs w:val="20"/>
          <w:lang w:eastAsia="hr-HR"/>
        </w:rPr>
      </w:pPr>
      <w:r w:rsidRPr="00C912CB">
        <w:rPr>
          <w:rFonts w:cs="Times New Roman" w:eastAsia="Times New Roman"/>
          <w:szCs w:val="20"/>
          <w:lang w:eastAsia="hr-HR"/>
        </w:rPr>
        <w:t>Sukladno čl.112. st.6. SZ sud je naložio Fini zaplijenjena sredstva na ime predujma za namirenje troškova stečajnog postupka doznačiti na račun suda, kako bi se mogli namiriti troškovi koji će tijekom ovog postupka nastati.</w:t>
      </w:r>
    </w:p>
    <w:p w:rsidRDefault="00C912CB" w:rsidP="00C912CB" w:rsidR="00C912CB" w:rsidRPr="00C912CB">
      <w:pPr>
        <w:overflowPunct w:val="false"/>
        <w:autoSpaceDE w:val="false"/>
        <w:autoSpaceDN w:val="false"/>
        <w:adjustRightInd w:val="false"/>
        <w:spacing w:after="0"/>
        <w:jc w:val="both"/>
        <w:rPr>
          <w:rFonts w:cs="Times New Roman" w:eastAsia="Times New Roman"/>
          <w:noProof/>
          <w:szCs w:val="20"/>
          <w:lang w:eastAsia="hr-HR"/>
        </w:rPr>
      </w:pPr>
    </w:p>
    <w:p w:rsidRDefault="00C912CB" w:rsidP="00C912CB" w:rsidR="00C912CB" w:rsidRPr="00C912CB">
      <w:pPr>
        <w:overflowPunct w:val="false"/>
        <w:autoSpaceDE w:val="false"/>
        <w:autoSpaceDN w:val="false"/>
        <w:adjustRightInd w:val="false"/>
        <w:spacing w:after="0"/>
        <w:jc w:val="center"/>
        <w:rPr>
          <w:rFonts w:cs="Times New Roman" w:eastAsia="Times New Roman"/>
          <w:szCs w:val="20"/>
          <w:lang w:eastAsia="hr-HR"/>
        </w:rPr>
      </w:pPr>
      <w:r w:rsidRPr="00C912CB">
        <w:rPr>
          <w:rFonts w:cs="Times New Roman" w:eastAsia="Times New Roman"/>
          <w:szCs w:val="20"/>
          <w:lang w:eastAsia="hr-HR"/>
        </w:rPr>
        <w:t>U Bjelovaru 10. travnja 2018.</w:t>
      </w:r>
    </w:p>
    <w:p w:rsidRDefault="00C912CB" w:rsidP="00C912CB" w:rsidR="00C912CB" w:rsidRPr="00C912CB">
      <w:pPr>
        <w:overflowPunct w:val="false"/>
        <w:autoSpaceDE w:val="false"/>
        <w:autoSpaceDN w:val="false"/>
        <w:adjustRightInd w:val="false"/>
        <w:spacing w:after="0"/>
        <w:jc w:val="center"/>
        <w:rPr>
          <w:rFonts w:cs="Times New Roman" w:eastAsia="Times New Roman"/>
          <w:szCs w:val="20"/>
          <w:lang w:eastAsia="hr-HR"/>
        </w:rPr>
      </w:pPr>
    </w:p>
    <w:p w:rsidRDefault="00C912CB" w:rsidP="00C912CB" w:rsidR="00C912CB" w:rsidRPr="00C912CB">
      <w:pPr>
        <w:overflowPunct w:val="false"/>
        <w:autoSpaceDE w:val="false"/>
        <w:autoSpaceDN w:val="false"/>
        <w:adjustRightInd w:val="false"/>
        <w:spacing w:after="0"/>
        <w:jc w:val="center"/>
        <w:rPr>
          <w:rFonts w:cs="Times New Roman" w:eastAsia="Times New Roman"/>
          <w:szCs w:val="20"/>
          <w:lang w:eastAsia="hr-HR"/>
        </w:rPr>
      </w:pPr>
    </w:p>
    <w:p w:rsidRDefault="00C912CB" w:rsidP="00C912CB" w:rsidR="00C912CB" w:rsidRPr="00C912CB">
      <w:pPr>
        <w:overflowPunct w:val="false"/>
        <w:autoSpaceDE w:val="false"/>
        <w:autoSpaceDN w:val="false"/>
        <w:adjustRightInd w:val="false"/>
        <w:spacing w:after="0"/>
        <w:ind w:firstLine="4820"/>
        <w:rPr>
          <w:rFonts w:cs="Times New Roman" w:eastAsia="Times New Roman"/>
          <w:szCs w:val="20"/>
          <w:lang w:eastAsia="hr-HR"/>
        </w:rPr>
      </w:pPr>
      <w:r w:rsidRPr="00C912CB">
        <w:rPr>
          <w:rFonts w:cs="Times New Roman" w:eastAsia="Times New Roman"/>
          <w:szCs w:val="20"/>
          <w:lang w:eastAsia="hr-HR"/>
        </w:rPr>
        <w:t xml:space="preserve">       Stečajna sutkinja</w:t>
      </w:r>
    </w:p>
    <w:p w:rsidRDefault="00C912CB" w:rsidP="00C912CB" w:rsidR="00C912CB" w:rsidRPr="00C912CB">
      <w:pPr>
        <w:overflowPunct w:val="false"/>
        <w:autoSpaceDE w:val="false"/>
        <w:autoSpaceDN w:val="false"/>
        <w:adjustRightInd w:val="false"/>
        <w:spacing w:after="0"/>
        <w:rPr>
          <w:rFonts w:cs="Times New Roman" w:eastAsia="Times New Roman"/>
          <w:szCs w:val="20"/>
          <w:lang w:eastAsia="hr-HR"/>
        </w:rPr>
      </w:pPr>
      <w:r w:rsidRPr="00C912CB">
        <w:rPr>
          <w:rFonts w:cs="Times New Roman" w:eastAsia="Times New Roman"/>
          <w:szCs w:val="20"/>
          <w:lang w:eastAsia="hr-HR"/>
        </w:rPr>
        <w:t xml:space="preserve">                                                                                Marija Petrina Kubica v.r.</w:t>
      </w:r>
    </w:p>
    <w:p w:rsidRDefault="00C912CB" w:rsidP="00C912CB" w:rsidR="00C912CB" w:rsidRPr="00C912CB">
      <w:pPr>
        <w:overflowPunct w:val="false"/>
        <w:autoSpaceDE w:val="false"/>
        <w:autoSpaceDN w:val="false"/>
        <w:adjustRightInd w:val="false"/>
        <w:spacing w:after="0"/>
        <w:rPr>
          <w:rFonts w:cs="Times New Roman" w:eastAsia="Times New Roman"/>
          <w:szCs w:val="20"/>
          <w:lang w:eastAsia="hr-HR"/>
        </w:rPr>
      </w:pPr>
    </w:p>
    <w:p w:rsidRDefault="00C912CB" w:rsidP="00C912CB" w:rsidR="00C912CB" w:rsidRPr="00C912C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C912CB">
        <w:rPr>
          <w:rFonts w:cs="Times New Roman" w:eastAsia="Times New Roman"/>
          <w:noProof/>
          <w:szCs w:val="20"/>
          <w:lang w:eastAsia="hr-HR"/>
        </w:rPr>
        <w:t>Za točnost otpravka - ovlašteni službenik</w:t>
      </w:r>
    </w:p>
    <w:p w:rsidRDefault="00C912CB" w:rsidP="00C912CB" w:rsidR="00C912CB" w:rsidRPr="00C912C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C912CB">
        <w:rPr>
          <w:rFonts w:cs="Times New Roman" w:eastAsia="Times New Roman"/>
          <w:noProof/>
          <w:szCs w:val="20"/>
          <w:lang w:eastAsia="hr-HR"/>
        </w:rPr>
        <w:t xml:space="preserve">                  Željka Vitez</w:t>
      </w:r>
    </w:p>
    <w:p w:rsidRDefault="00C912CB" w:rsidP="00C912CB" w:rsidR="00C912CB" w:rsidRPr="00C912CB">
      <w:pPr>
        <w:overflowPunct w:val="false"/>
        <w:autoSpaceDE w:val="false"/>
        <w:autoSpaceDN w:val="false"/>
        <w:adjustRightInd w:val="false"/>
        <w:spacing w:after="0"/>
        <w:rPr>
          <w:rFonts w:cs="Times New Roman" w:eastAsia="Times New Roman"/>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Arial" w:eastAsia="Times New Roman" w:hAnsi="Arial" w:ascii="Arial"/>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Arial" w:eastAsia="Times New Roman" w:hAnsi="Arial" w:ascii="Arial"/>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Arial" w:eastAsia="Times New Roman" w:hAnsi="Arial" w:ascii="Arial"/>
          <w:szCs w:val="20"/>
          <w:lang w:eastAsia="hr-HR"/>
        </w:rPr>
      </w:pPr>
    </w:p>
    <w:p w:rsidRDefault="00C912CB" w:rsidP="00C912CB" w:rsidR="00C912CB" w:rsidRPr="00C912CB">
      <w:pPr>
        <w:overflowPunct w:val="false"/>
        <w:autoSpaceDE w:val="false"/>
        <w:autoSpaceDN w:val="false"/>
        <w:adjustRightInd w:val="false"/>
        <w:spacing w:after="0"/>
        <w:ind w:firstLine="851"/>
        <w:jc w:val="both"/>
        <w:rPr>
          <w:rFonts w:cs="Arial" w:eastAsia="Times New Roman" w:hAnsi="Arial" w:ascii="Arial"/>
          <w:szCs w:val="20"/>
          <w:lang w:eastAsia="hr-HR"/>
        </w:rPr>
      </w:pPr>
    </w:p>
    <w:p w:rsidRDefault="00C912CB" w:rsidP="00C912CB" w:rsidR="00C912CB" w:rsidRPr="00C912CB">
      <w:pPr>
        <w:overflowPunct w:val="false"/>
        <w:autoSpaceDE w:val="false"/>
        <w:autoSpaceDN w:val="false"/>
        <w:adjustRightInd w:val="false"/>
        <w:spacing w:after="0"/>
        <w:rPr>
          <w:rFonts w:cs="Times New Roman" w:eastAsia="Times New Roman"/>
          <w:szCs w:val="20"/>
          <w:lang w:eastAsia="hr-HR"/>
        </w:rPr>
      </w:pPr>
      <w:r w:rsidRPr="00C912CB">
        <w:rPr>
          <w:rFonts w:cs="Times New Roman" w:eastAsia="Times New Roman"/>
          <w:szCs w:val="20"/>
          <w:lang w:eastAsia="hr-HR"/>
        </w:rPr>
        <w:t xml:space="preserve">         </w:t>
      </w:r>
    </w:p>
    <w:p w:rsidRDefault="00C912CB" w:rsidP="00C912CB" w:rsidR="00C912CB" w:rsidRPr="00C912CB">
      <w:pPr>
        <w:overflowPunct w:val="false"/>
        <w:autoSpaceDE w:val="false"/>
        <w:autoSpaceDN w:val="false"/>
        <w:adjustRightInd w:val="false"/>
        <w:spacing w:after="0"/>
        <w:jc w:val="both"/>
        <w:rPr>
          <w:rFonts w:cs="Times New Roman" w:eastAsia="Times New Roman"/>
          <w:szCs w:val="20"/>
          <w:lang w:eastAsia="hr-HR"/>
        </w:rPr>
      </w:pPr>
      <w:r w:rsidRPr="00C912CB">
        <w:rPr>
          <w:rFonts w:cs="Times New Roman" w:eastAsia="Times New Roman"/>
          <w:szCs w:val="20"/>
          <w:lang w:eastAsia="hr-HR"/>
        </w:rPr>
        <w:t>Uputa o pravnom lijeku: Protiv ovog rješenja nije dopuštena posebna žalba (čl.115. st.1. SZ).</w:t>
      </w:r>
    </w:p>
    <w:p w:rsidRDefault="00AE649C" w:rsidP="004F27AE" w:rsidR="00AE649C" w:rsidRPr="00B76F3C">
      <w:pPr>
        <w:pStyle w:val="NormaleSPIS"/>
      </w:pPr>
    </w:p>
    <w:sectPr w:rsidSect="00C912C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3175108"/>
      <w:docPartObj>
        <w:docPartGallery w:val="Page Numbers (Top of Page)"/>
        <w:docPartUnique/>
      </w:docPartObj>
    </w:sdtPr>
    <w:sdtContent>
      <w:p w:rsidRDefault="00C912CB" w:rsidP="00C912CB" w:rsidR="00C912CB">
        <w:pPr>
          <w:pStyle w:val="Zaglavlje"/>
          <w:spacing w:after="0"/>
          <w:jc w:val="center"/>
        </w:pPr>
        <w:r>
          <w:fldChar w:fldCharType="begin"/>
        </w:r>
        <w:r>
          <w:instrText>PAGE   \* MERGEFORMAT</w:instrText>
        </w:r>
        <w:r>
          <w:fldChar w:fldCharType="separate"/>
        </w:r>
        <w:r>
          <w:t>2</w:t>
        </w:r>
        <w:r>
          <w:fldChar w:fldCharType="end"/>
        </w:r>
      </w:p>
    </w:sdtContent>
  </w:sdt>
  <w:p w:rsidRDefault="00C912CB" w:rsidP="00C912CB" w:rsidR="008333A9">
    <w:pPr>
      <w:overflowPunct w:val="false"/>
      <w:autoSpaceDE w:val="false"/>
      <w:autoSpaceDN w:val="false"/>
      <w:adjustRightInd w:val="false"/>
      <w:spacing w:after="0"/>
      <w:ind w:firstLine="851"/>
      <w:jc w:val="right"/>
      <w:rPr>
        <w:rFonts w:cs="Times New Roman" w:eastAsia="Times New Roman"/>
        <w:noProof/>
        <w:szCs w:val="20"/>
        <w:lang w:eastAsia="hr-HR"/>
      </w:rPr>
    </w:pPr>
    <w:r w:rsidRPr="00C912CB">
      <w:rPr>
        <w:rFonts w:cs="Times New Roman" w:eastAsia="Times New Roman"/>
        <w:noProof/>
        <w:szCs w:val="20"/>
        <w:lang w:eastAsia="hr-HR"/>
      </w:rPr>
      <w:t>Poslovni broj: 5 St-116/2018-2</w:t>
    </w:r>
  </w:p>
  <w:p w:rsidRDefault="00C912CB" w:rsidP="00C912CB" w:rsidR="00C912CB" w:rsidRPr="00C912CB">
    <w:pPr>
      <w:overflowPunct w:val="false"/>
      <w:autoSpaceDE w:val="false"/>
      <w:autoSpaceDN w:val="false"/>
      <w:adjustRightInd w:val="false"/>
      <w:spacing w:after="0"/>
      <w:ind w:firstLine="851"/>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12CB"/>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9147116">
      <w:bodyDiv w:val="true"/>
      <w:marLeft w:val="0"/>
      <w:marRight w:val="0"/>
      <w:marTop w:val="0"/>
      <w:marBottom w:val="0"/>
      <w:divBdr>
        <w:top w:space="0" w:sz="0" w:color="auto" w:val="none"/>
        <w:left w:space="0" w:sz="0" w:color="auto" w:val="none"/>
        <w:bottom w:space="0" w:sz="0" w:color="auto" w:val="none"/>
        <w:right w:space="0" w:sz="0" w:color="auto" w:val="none"/>
      </w:divBdr>
    </w:div>
    <w:div w:id="1410880453">
      <w:bodyDiv w:val="true"/>
      <w:marLeft w:val="0"/>
      <w:marRight w:val="0"/>
      <w:marTop w:val="0"/>
      <w:marBottom w:val="0"/>
      <w:divBdr>
        <w:top w:space="0" w:sz="0" w:color="auto" w:val="none"/>
        <w:left w:space="0" w:sz="0" w:color="auto" w:val="none"/>
        <w:bottom w:space="0" w:sz="0" w:color="auto" w:val="none"/>
        <w:right w:space="0" w:sz="0" w:color="auto" w:val="none"/>
      </w:divBdr>
    </w:div>
    <w:div w:id="16012598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St-116/2018-2</izvorni_sadrzaj>
    <derivirana_varijabla naziv="DomainObject.Oznaka_1">St-116/2018-2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St-116/2018</izvorni_sadrzaj>
    <derivirana_varijabla naziv="DomainObject.Predmet.OznakaBroj_1">St-116/2018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GORICA d.o.o. za proizvodnju, turizam, ugostiteljstvo, trgovinu i usluge</izvorni_sadrzaj>
    <derivirana_varijabla naziv="DomainObject.Predmet.StrankaFormated_1">  GORICA d.o.o. za proizvodnju, turizam, ugostiteljstvo, trgovinu i usluge</derivirana_varijabla>
  </DomainObject.Predmet.StrankaFormated>
  <DomainObject.Predmet.StrankaFormatedOIB>
    <izvorni_sadrzaj>  GORICA d.o.o. za proizvodnju, turizam, ugostiteljstvo, trgovinu i usluge, OIB 15819891909</izvorni_sadrzaj>
    <derivirana_varijabla naziv="DomainObject.Predmet.StrankaFormatedOIB_1">  GORICA d.o.o. za proizvodnju, turizam, ugostiteljstvo, trgovinu i usluge, OIB 15819891909</derivirana_varijabla>
  </DomainObject.Predmet.StrankaFormatedOIB>
  <DomainObject.Predmet.StrankaFormatedWithAdress>
    <izvorni_sadrzaj> GORICA d.o.o. za proizvodnju, turizam, ugostiteljstvo, trgovinu i usluge, Kolodvorska/bb, 33513 Zdenci</izvorni_sadrzaj>
    <derivirana_varijabla naziv="DomainObject.Predmet.StrankaFormatedWithAdress_1"> GORICA d.o.o. za proizvodnju, turizam, ugostiteljstvo, trgovinu i usluge, Kolodvorska/bb, 33513 Zdenci</derivirana_varijabla>
  </DomainObject.Predmet.StrankaFormatedWithAdress>
  <DomainObject.Predmet.StrankaFormatedWithAdressOIB>
    <izvorni_sadrzaj> GORICA d.o.o. za proizvodnju, turizam, ugostiteljstvo, trgovinu i usluge, OIB 15819891909, Kolodvorska/bb, 33513 Zdenci</izvorni_sadrzaj>
    <derivirana_varijabla naziv="DomainObject.Predmet.StrankaFormatedWithAdressOIB_1"> GORICA d.o.o. za proizvodnju, turizam, ugostiteljstvo, trgovinu i usluge, OIB 15819891909, Kolodvorska/bb, 33513 Zdenci</derivirana_varijabla>
  </DomainObject.Predmet.StrankaFormatedWithAdressOIB>
  <DomainObject.Predmet.StrankaWithAdress>
    <izvorni_sadrzaj>GORICA d.o.o. za proizvodnju, turizam, ugostiteljstvo, trgovinu i usluge Kolodvorska/bb,33513 Zdenci</izvorni_sadrzaj>
    <derivirana_varijabla naziv="DomainObject.Predmet.StrankaWithAdress_1">GORICA d.o.o. za proizvodnju, turizam, ugostiteljstvo, trgovinu i usluge Kolodvorska/bb,33513 Zdenci</derivirana_varijabla>
  </DomainObject.Predmet.StrankaWithAdress>
  <DomainObject.Predmet.StrankaWithAdressOIB>
    <izvorni_sadrzaj>GORICA d.o.o. za proizvodnju, turizam, ugostiteljstvo, trgovinu i usluge, OIB 15819891909, Kolodvorska/bb,33513 Zdenci</izvorni_sadrzaj>
    <derivirana_varijabla naziv="DomainObject.Predmet.StrankaWithAdressOIB_1">GORICA d.o.o. za proizvodnju, turizam, ugostiteljstvo, trgovinu i usluge, OIB 15819891909, Kolodvorska/bb,33513 Zdenci</derivirana_varijabla>
  </DomainObject.Predmet.StrankaWithAdressOIB>
  <DomainObject.Predmet.StrankaNazivFormated>
    <izvorni_sadrzaj>GORICA d.o.o. za proizvodnju, turizam, ugostiteljstvo, trgovinu i usluge</izvorni_sadrzaj>
    <derivirana_varijabla naziv="DomainObject.Predmet.StrankaNazivFormated_1">GORICA d.o.o. za proizvodnju, turizam, ugostiteljstvo, trgovinu i usluge</derivirana_varijabla>
  </DomainObject.Predmet.StrankaNazivFormated>
  <DomainObject.Predmet.StrankaNazivFormatedOIB>
    <izvorni_sadrzaj>GORICA d.o.o. za proizvodnju, turizam, ugostiteljstvo, trgovinu i usluge, OIB 15819891909</izvorni_sadrzaj>
    <derivirana_varijabla naziv="DomainObject.Predmet.StrankaNazivFormatedOIB_1">GORICA d.o.o. za proizvodnju, turizam, ugostiteljstvo, trgovinu i usluge, OIB 15819891909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GORICA d.o.o. za proizvodnju, turizam, ugostiteljstvo, trgovinu i usluge</item>
    </izvorni_sadrzaj>
    <derivirana_varijabla naziv="DomainObject.Predmet.StrankaListFormated_1">
      <item>GORICA d.o.o. za proizvodnju, turizam, ugostiteljstvo, trgovinu i usluge</item>
    </derivirana_varijabla>
  </DomainObject.Predmet.StrankaListFormated>
  <DomainObject.Predmet.StrankaListFormatedOIB>
    <izvorni_sadrzaj>
      <item>GORICA d.o.o. za proizvodnju, turizam, ugostiteljstvo, trgovinu i usluge, OIB 15819891909</item>
    </izvorni_sadrzaj>
    <derivirana_varijabla naziv="DomainObject.Predmet.StrankaListFormatedOIB_1">
      <item>GORICA d.o.o. za proizvodnju, turizam, ugostiteljstvo, trgovinu i usluge, OIB 15819891909</item>
    </derivirana_varijabla>
  </DomainObject.Predmet.StrankaListFormatedOIB>
  <DomainObject.Predmet.StrankaListFormatedWithAdress>
    <izvorni_sadrzaj>
      <item>GORICA d.o.o. za proizvodnju, turizam, ugostiteljstvo, trgovinu i usluge, Kolodvorska/bb, 33513 Zdenci</item>
    </izvorni_sadrzaj>
    <derivirana_varijabla naziv="DomainObject.Predmet.StrankaListFormatedWithAdress_1">
      <item>GORICA d.o.o. za proizvodnju, turizam, ugostiteljstvo, trgovinu i usluge, Kolodvorska/bb, 33513 Zdenci</item>
    </derivirana_varijabla>
  </DomainObject.Predmet.StrankaListFormatedWithAdress>
  <DomainObject.Predmet.StrankaListFormatedWithAdressOIB>
    <izvorni_sadrzaj>
      <item>GORICA d.o.o. za proizvodnju, turizam, ugostiteljstvo, trgovinu i usluge, OIB 15819891909, Kolodvorska/bb, 33513 Zdenci</item>
    </izvorni_sadrzaj>
    <derivirana_varijabla naziv="DomainObject.Predmet.StrankaListFormatedWithAdressOIB_1">
      <item>GORICA d.o.o. za proizvodnju, turizam, ugostiteljstvo, trgovinu i usluge, OIB 15819891909, Kolodvorska/bb, 33513 Zdenci</item>
    </derivirana_varijabla>
  </DomainObject.Predmet.StrankaListFormatedWithAdressOIB>
  <DomainObject.Predmet.StrankaListNazivFormated>
    <izvorni_sadrzaj>
      <item>GORICA d.o.o. za proizvodnju, turizam, ugostiteljstvo, trgovinu i usluge</item>
    </izvorni_sadrzaj>
    <derivirana_varijabla naziv="DomainObject.Predmet.StrankaListNazivFormated_1">
      <item>GORICA d.o.o. za proizvodnju, turizam, ugostiteljstvo, trgovinu i usluge</item>
    </derivirana_varijabla>
  </DomainObject.Predmet.StrankaListNazivFormated>
  <DomainObject.Predmet.StrankaListNazivFormatedOIB>
    <izvorni_sadrzaj>
      <item>GORICA d.o.o. za proizvodnju, turizam, ugostiteljstvo, trgovinu i usluge, OIB 15819891909</item>
    </izvorni_sadrzaj>
    <derivirana_varijabla naziv="DomainObject.Predmet.StrankaListNazivFormatedOIB_1">
      <item>GORICA d.o.o. za proizvodnju, turizam, ugostiteljstvo, trgovinu i usluge, OIB 15819891909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Katarina Barukčić</item>
    </izvorni_sadrzaj>
    <derivirana_varijabla naziv="DomainObject.Predmet.OstaliListFormated_1">
      <item>Katarina Barukčić</item>
    </derivirana_varijabla>
  </DomainObject.Predmet.OstaliListFormated>
  <DomainObject.Predmet.OstaliListFormatedOIB>
    <izvorni_sadrzaj>
      <item>Katarina Barukčić, OIB 96837094596</item>
    </izvorni_sadrzaj>
    <derivirana_varijabla naziv="DomainObject.Predmet.OstaliListFormatedOIB_1">
      <item>Katarina Barukčić, OIB 96837094596</item>
    </derivirana_varijabla>
  </DomainObject.Predmet.OstaliListFormatedOIB>
  <DomainObject.Predmet.OstaliListFormatedWithAdress>
    <izvorni_sadrzaj>
      <item>Katarina Barukčić, Petra Preradovića 7, 33515 Orahovica</item>
    </izvorni_sadrzaj>
    <derivirana_varijabla naziv="DomainObject.Predmet.OstaliListFormatedWithAdress_1">
      <item>Katarina Barukčić, Petra Preradovića 7, 33515 Orahovica</item>
    </derivirana_varijabla>
  </DomainObject.Predmet.OstaliListFormatedWithAdress>
  <DomainObject.Predmet.OstaliListFormatedWithAdressOIB>
    <izvorni_sadrzaj>
      <item>Katarina Barukčić, OIB 96837094596, Petra Preradovića 7, 33515 Orahovica</item>
    </izvorni_sadrzaj>
    <derivirana_varijabla naziv="DomainObject.Predmet.OstaliListFormatedWithAdressOIB_1">
      <item>Katarina Barukčić, OIB 96837094596, Petra Preradovića 7, 33515 Orahovica</item>
    </derivirana_varijabla>
  </DomainObject.Predmet.OstaliListFormatedWithAdressOIB>
  <DomainObject.Predmet.OstaliListNazivFormated>
    <izvorni_sadrzaj>
      <item>Katarina Barukčić</item>
    </izvorni_sadrzaj>
    <derivirana_varijabla naziv="DomainObject.Predmet.OstaliListNazivFormated_1">
      <item>Katarina Barukčić</item>
    </derivirana_varijabla>
  </DomainObject.Predmet.OstaliListNazivFormated>
  <DomainObject.Predmet.OstaliListNazivFormatedOIB>
    <izvorni_sadrzaj>
      <item>Katarina Barukčić, OIB 96837094596</item>
    </izvorni_sadrzaj>
    <derivirana_varijabla naziv="DomainObject.Predmet.OstaliListNazivFormatedOIB_1">
      <item>Katarina Barukčić, OIB 96837094596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St-116/2018-2</izvorni_sadrzaj>
    <derivirana_varijabla naziv="DomainObject.PoslovniBrojDokumenta_1">St-116/2018-2</derivirana_varijabla>
  </DomainObject.PoslovniBrojDokumenta>
  <DomainObject.Predmet.StrankaIDrugi>
    <izvorni_sadrzaj>GORICA d.o.o. za proizvodnju, turizam, ugostiteljstvo, trgovinu i usluge</izvorni_sadrzaj>
    <derivirana_varijabla naziv="DomainObject.Predmet.StrankaIDrugi_1">GORICA d.o.o. za proizvodnju, turizam, ugostiteljstvo,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GORICA d.o.o. za proizvodnju, turizam, ugostiteljstvo, trgovinu i usluge, OIB 15819891909, Kolodvorska/bb, 33513 Zdenci</izvorni_sadrzaj>
    <derivirana_varijabla naziv="DomainObject.Predmet.StrankaIDrugiAdressOIB_1">GORICA d.o.o. za proizvodnju, turizam, ugostiteljstvo, trgovinu i usluge, OIB 15819891909, Kolodvorska/bb, 33513 Zdenci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Katarina Barukčić</item>
      <item>GORICA d.o.o. za proizvodnju, turizam, ugostiteljstvo, trgovinu i usluge</item>
    </izvorni_sadrzaj>
    <derivirana_varijabla naziv="DomainObject.Predmet.SudioniciListNaziv_1">
      <item>Katarina Barukčić</item>
      <item>GORICA d.o.o. za proizvodnju, turizam, ugostiteljstvo, trgovinu i usluge</item>
    </derivirana_varijabla>
  </DomainObject.Predmet.SudioniciListNaziv>
  <DomainObject.Predmet.SudioniciListAdressOIB>
    <izvorni_sadrzaj>
      <item>Katarina Barukčić, OIB 96837094596, Petra Preradovića 7,33515 Orahovica</item>
      <item>GORICA d.o.o. za proizvodnju, turizam, ugostiteljstvo, trgovinu i usluge, OIB 15819891909, Kolodvorska/bb,33513 Zdenci</item>
    </izvorni_sadrzaj>
    <derivirana_varijabla naziv="DomainObject.Predmet.SudioniciListAdressOIB_1">
      <item>Katarina Barukčić, OIB 96837094596, Petra Preradovića 7,33515 Orahovica</item>
      <item>GORICA d.o.o. za proizvodnju, turizam, ugostiteljstvo, trgovinu i usluge, OIB 15819891909, Kolodvorska/bb,33513 Zdenci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E42156-385E-4B73-9B95-D6BEF780BF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605</properties:Words>
  <properties:Characters>3422</properties:Characters>
  <properties:Lines>92</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2018-04-10T12:48:00Z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St-116/2018-2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