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03f2" w14:paraId="18803f2" w:rsidRDefault="00962877" w:rsidP="00962877" w:rsidR="00962877">
      <w:pPr>
        <w:pStyle w:val="Bezproreda"/>
        <w:jc w:val="center"/>
        <w15:collapsed w:val="false"/>
        <w:rPr>
          <w:rFonts w:hAnsi="Century Gothic" w:ascii="Century Gothic"/>
          <w:noProof/>
        </w:rPr>
      </w:pPr>
      <w:bookmarkStart w:name="_GoBack" w:id="0"/>
      <w:bookmarkEnd w:id="0"/>
      <w:r>
        <w:rPr>
          <w:rFonts w:hAnsi="Century Gothic" w:ascii="Century Gothic"/>
        </w:rPr>
        <w:t>MEDI TORANJ društvo s ograničenom odgovornošću</w:t>
      </w:r>
      <w:r>
        <w:rPr>
          <w:rFonts w:hAnsi="Century Gothic" w:ascii="Century Gothic"/>
          <w:noProof/>
        </w:rPr>
        <w:t xml:space="preserve"> za medicinsku djelatnost, </w:t>
      </w:r>
    </w:p>
    <w:p w:rsidRDefault="00962877" w:rsidP="00962877" w:rsidR="00962877">
      <w:pPr>
        <w:pStyle w:val="Bezproreda"/>
        <w:jc w:val="center"/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usluge i trgovinu u stečaju, Zagreb, Ksaverska cesta 59</w:t>
      </w:r>
    </w:p>
    <w:p w:rsidRDefault="00962877" w:rsidP="00962877" w:rsidR="00962877">
      <w:pPr>
        <w:pStyle w:val="Bezproreda"/>
        <w:jc w:val="center"/>
        <w:rPr>
          <w:rFonts w:hAnsi="Century Gothic" w:ascii="Century Gothic"/>
          <w:color w:themeShade="BF" w:themeColor="accent2" w:val="943634"/>
        </w:rPr>
      </w:pPr>
      <w:r>
        <w:rPr>
          <w:rFonts w:hAnsi="Century Gothic" w:ascii="Century Gothic"/>
        </w:rPr>
        <w:t xml:space="preserve">OIB: </w:t>
      </w:r>
      <w:r>
        <w:rPr>
          <w:rFonts w:hAnsi="Century Gothic" w:ascii="Century Gothic"/>
          <w:noProof/>
        </w:rPr>
        <w:t>29683817092</w:t>
      </w:r>
      <w:r>
        <w:rPr>
          <w:rFonts w:hAnsi="Century Gothic" w:ascii="Century Gothic"/>
        </w:rPr>
        <w:t xml:space="preserve">,  MBS: </w:t>
      </w:r>
      <w:r>
        <w:rPr>
          <w:rFonts w:hAnsi="Century Gothic" w:ascii="Century Gothic"/>
          <w:lang w:val="pl-PL"/>
        </w:rPr>
        <w:t>080753391,  1</w:t>
      </w:r>
      <w:r>
        <w:rPr>
          <w:rFonts w:hAnsi="Century Gothic" w:ascii="Century Gothic"/>
        </w:rPr>
        <w:t xml:space="preserve"> St-389/2017</w:t>
      </w:r>
    </w:p>
    <w:p w:rsidRDefault="00962877" w:rsidP="00962877" w:rsidR="00962877">
      <w:pPr>
        <w:pStyle w:val="Bezproreda"/>
        <w:jc w:val="both"/>
        <w:rPr>
          <w:rFonts w:hAnsi="Century Gothic" w:ascii="Century Gothic"/>
          <w:color w:themeShade="BF" w:themeColor="accent2" w:val="943634"/>
          <w:u w:val="double"/>
        </w:rPr>
      </w:pPr>
      <w:r>
        <w:rPr>
          <w:rFonts w:hAnsi="Century Gothic" w:ascii="Century Gothic"/>
          <w:color w:themeShade="BF" w:themeColor="accent2" w:val="943634"/>
          <w:u w:val="double"/>
        </w:rPr>
        <w:t>_______________________________________________________________________________</w:t>
      </w:r>
    </w:p>
    <w:p w:rsidRDefault="00962877" w:rsidP="00962877" w:rsidR="00962877">
      <w:pPr>
        <w:spacing w:lineRule="auto" w:line="240" w:after="80"/>
        <w:rPr>
          <w:rFonts w:cs="Times New Roman" w:eastAsia="Calibri" w:hAnsi="Times New Roman" w:ascii="Times New Roman"/>
          <w:b/>
          <w:sz w:val="28"/>
        </w:rPr>
      </w:pPr>
    </w:p>
    <w:p w:rsidRDefault="00962877" w:rsidP="00962877" w:rsidR="00962877">
      <w:pPr>
        <w:jc w:val="center"/>
        <w:rPr>
          <w:rFonts w:hAnsi="Century Gothic" w:ascii="Century Gothic"/>
          <w:b/>
          <w:sz w:val="24"/>
          <w:szCs w:val="24"/>
        </w:rPr>
      </w:pPr>
      <w:r>
        <w:rPr>
          <w:rFonts w:cs="Times New Roman" w:eastAsia="Calibri" w:hAnsi="Century Gothic" w:ascii="Century Gothic"/>
          <w:sz w:val="24"/>
          <w:szCs w:val="24"/>
          <w:lang w:val="pl-PL"/>
        </w:rPr>
        <w:t xml:space="preserve"> </w:t>
      </w:r>
      <w:r>
        <w:rPr>
          <w:rFonts w:hAnsi="Century Gothic" w:ascii="Century Gothic"/>
          <w:b/>
          <w:sz w:val="24"/>
          <w:szCs w:val="24"/>
        </w:rPr>
        <w:t xml:space="preserve">POPIS VJEROVNIKA   </w:t>
      </w:r>
    </w:p>
    <w:p w:rsidRDefault="00962877" w:rsidP="00962877" w:rsidR="00962877">
      <w:pPr>
        <w:spacing w:lineRule="auto" w:line="240" w:after="80"/>
        <w:rPr>
          <w:rFonts w:cs="Times New Roman" w:eastAsia="Times New Roman" w:hAnsi="Century Gothic" w:ascii="Century Gothic"/>
          <w:b/>
          <w:sz w:val="24"/>
          <w:szCs w:val="24"/>
        </w:rPr>
      </w:pPr>
      <w:r>
        <w:rPr>
          <w:rFonts w:cs="Times New Roman" w:eastAsia="Times New Roman" w:hAnsi="Century Gothic" w:ascii="Century Gothic"/>
          <w:b/>
          <w:sz w:val="24"/>
          <w:szCs w:val="24"/>
        </w:rPr>
        <w:t>I</w:t>
      </w:r>
      <w:r>
        <w:rPr>
          <w:rFonts w:cs="Times New Roman" w:eastAsia="Times New Roman" w:hAnsi="Century Gothic" w:ascii="Century Gothic"/>
          <w:b/>
          <w:sz w:val="24"/>
          <w:szCs w:val="24"/>
        </w:rPr>
        <w:tab/>
        <w:t>Stečajni vjerovnici II višeg isplatnog reda</w:t>
      </w:r>
    </w:p>
    <w:p w:rsidRDefault="00962877" w:rsidP="00962877" w:rsidR="00962877">
      <w:pPr>
        <w:spacing w:lineRule="auto" w:line="240" w:after="80"/>
        <w:rPr>
          <w:rFonts w:cs="Times New Roman" w:eastAsia="Times New Roman" w:hAnsi="Century Gothic" w:ascii="Century Gothic"/>
          <w:b/>
          <w:sz w:val="24"/>
          <w:szCs w:val="24"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68"/>
        <w:gridCol w:w="2032"/>
        <w:gridCol w:w="1486"/>
        <w:gridCol w:w="1417"/>
        <w:gridCol w:w="1462"/>
        <w:gridCol w:w="2023"/>
      </w:tblGrid>
      <w:tr w:rsidTr="00962877" w:rsidR="00962877">
        <w:tc>
          <w:tcPr>
            <w:tcW w:type="pct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A6" w:themeFill="background1" w:fill="A6A6A6" w:color="auto" w:val="clear"/>
            <w:vAlign w:val="center"/>
            <w:hideMark/>
          </w:tcPr>
          <w:p w:rsidRDefault="00962877" w:rsidR="00962877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</w:rPr>
              <w:t xml:space="preserve">Redni broj  </w:t>
            </w:r>
          </w:p>
        </w:tc>
        <w:tc>
          <w:tcPr>
            <w:tcW w:type="pct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A6" w:themeFill="background1" w:fill="A6A6A6" w:color="auto" w:val="clear"/>
            <w:vAlign w:val="center"/>
            <w:hideMark/>
          </w:tcPr>
          <w:p w:rsidRDefault="00962877" w:rsidR="00962877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A6" w:themeFill="background1" w:fill="A6A6A6" w:color="auto" w:val="clear"/>
            <w:vAlign w:val="center"/>
            <w:hideMark/>
          </w:tcPr>
          <w:p w:rsidRDefault="00962877" w:rsidR="00962877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A6" w:themeFill="background1" w:fill="A6A6A6" w:color="auto" w:val="clear"/>
            <w:vAlign w:val="center"/>
            <w:hideMark/>
          </w:tcPr>
          <w:p w:rsidRDefault="00962877" w:rsidR="00962877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</w:rPr>
              <w:t>Adresa / sjedište vjerovnika</w:t>
            </w:r>
          </w:p>
        </w:tc>
        <w:tc>
          <w:tcPr>
            <w:tcW w:type="pct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A6" w:themeFill="background1" w:fill="A6A6A6" w:color="auto" w:val="clear"/>
            <w:vAlign w:val="center"/>
            <w:hideMark/>
          </w:tcPr>
          <w:p w:rsidRDefault="00962877" w:rsidR="00962877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</w:rPr>
              <w:t>Iznos prijavljene tražbine (kn)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type="pct" w:w="1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A6" w:themeFill="background1" w:fill="A6A6A6" w:color="auto" w:val="clear"/>
            <w:vAlign w:val="center"/>
            <w:hideMark/>
          </w:tcPr>
          <w:p w:rsidRDefault="00962877" w:rsidR="00962877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</w:rPr>
              <w:t>Pravna osnova prijavljene tražbine</w:t>
            </w:r>
          </w:p>
        </w:tc>
      </w:tr>
      <w:tr w:rsidTr="00962877" w:rsidR="00962877">
        <w:tc>
          <w:tcPr>
            <w:tcW w:type="pct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ind w:right="-283"/>
              <w:jc w:val="center"/>
              <w:rPr>
                <w:rFonts w:hAnsi="Century Gothic" w:ascii="Century Gothic"/>
                <w:sz w:val="20"/>
                <w:szCs w:val="20"/>
                <w:lang w:val="pl-PL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pct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62877" w:rsidR="00962877">
            <w:pPr>
              <w:spacing w:after="0"/>
              <w:ind w:right="-283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ZAGREBAČKI HOLDING d.o.o.</w:t>
            </w:r>
            <w:r>
              <w:rPr>
                <w:rFonts w:hAnsi="Century Gothic" w:ascii="Century Gothic"/>
                <w:sz w:val="20"/>
                <w:szCs w:val="20"/>
              </w:rPr>
              <w:t xml:space="preserve"> Podružnica Čistoća, </w:t>
            </w:r>
          </w:p>
          <w:p w:rsidRDefault="00962877" w:rsidR="00962877">
            <w:pPr>
              <w:spacing w:after="0"/>
              <w:ind w:right="-283"/>
              <w:rPr>
                <w:rFonts w:hAnsi="Century Gothic" w:ascii="Century Gothic"/>
                <w:sz w:val="20"/>
                <w:szCs w:val="20"/>
                <w:lang w:val="pl-PL"/>
              </w:rPr>
            </w:pP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ind w:right="-283"/>
              <w:rPr>
                <w:rFonts w:hAnsi="Century Gothic" w:ascii="Century Gothic"/>
                <w:sz w:val="20"/>
                <w:szCs w:val="20"/>
                <w:lang w:val="pl-PL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85584865987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ind w:right="-283"/>
              <w:rPr>
                <w:rFonts w:hAnsi="Century Gothic" w:ascii="Century Gothic"/>
                <w:sz w:val="20"/>
                <w:szCs w:val="20"/>
                <w:lang w:val="pl-PL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Ulica grada Vukovara 41</w:t>
            </w:r>
          </w:p>
        </w:tc>
        <w:tc>
          <w:tcPr>
            <w:tcW w:type="pct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ind w:right="-283"/>
              <w:jc w:val="center"/>
              <w:rPr>
                <w:rFonts w:hAnsi="Century Gothic" w:ascii="Century Gothic"/>
                <w:sz w:val="20"/>
                <w:szCs w:val="20"/>
                <w:lang w:val="pl-PL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7.048,72</w:t>
            </w:r>
          </w:p>
        </w:tc>
        <w:tc>
          <w:tcPr>
            <w:tcW w:type="pct" w:w="1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ind w:right="-283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 xml:space="preserve">Izvod otvorenih </w:t>
            </w:r>
          </w:p>
          <w:p w:rsidRDefault="00962877" w:rsidR="00962877">
            <w:pPr>
              <w:spacing w:after="0"/>
              <w:ind w:right="-283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 xml:space="preserve">stavaka od 23.10.2017., </w:t>
            </w:r>
          </w:p>
          <w:p w:rsidRDefault="00962877" w:rsidR="00962877">
            <w:pPr>
              <w:spacing w:after="0"/>
              <w:ind w:right="-283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 xml:space="preserve">obračun kamata, </w:t>
            </w:r>
          </w:p>
          <w:p w:rsidRDefault="00962877" w:rsidR="00962877">
            <w:pPr>
              <w:spacing w:after="0"/>
              <w:ind w:right="-283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 xml:space="preserve">Rješenja o ovrsi </w:t>
            </w:r>
          </w:p>
          <w:p w:rsidRDefault="00962877" w:rsidR="00962877">
            <w:pPr>
              <w:spacing w:after="0"/>
              <w:ind w:right="-283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 xml:space="preserve">Ovrv-30601/15 od </w:t>
            </w:r>
          </w:p>
          <w:p w:rsidRDefault="00962877" w:rsidR="00962877">
            <w:pPr>
              <w:spacing w:after="0"/>
              <w:ind w:right="-283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 xml:space="preserve">22.10.2015., </w:t>
            </w:r>
          </w:p>
          <w:p w:rsidRDefault="00962877" w:rsidR="00962877">
            <w:pPr>
              <w:spacing w:after="0"/>
              <w:ind w:right="-106"/>
              <w:rPr>
                <w:rFonts w:hAnsi="Century Gothic" w:ascii="Century Gothic"/>
                <w:sz w:val="20"/>
                <w:szCs w:val="20"/>
                <w:lang w:val="pl-PL"/>
              </w:rPr>
            </w:pPr>
            <w:r>
              <w:rPr>
                <w:rFonts w:hAnsi="Century Gothic" w:ascii="Century Gothic"/>
                <w:sz w:val="20"/>
                <w:szCs w:val="20"/>
              </w:rPr>
              <w:t xml:space="preserve">Ovrv-23934 od 13.04.2016. </w:t>
            </w:r>
          </w:p>
        </w:tc>
      </w:tr>
      <w:tr w:rsidTr="00962877" w:rsidR="00962877">
        <w:trPr>
          <w:trHeight w:val="2776"/>
        </w:trPr>
        <w:tc>
          <w:tcPr>
            <w:tcW w:type="pct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ind w:right="-283"/>
              <w:jc w:val="center"/>
              <w:rPr>
                <w:rFonts w:hAnsi="Century Gothic" w:ascii="Century Gothic"/>
                <w:sz w:val="20"/>
                <w:szCs w:val="20"/>
                <w:lang w:val="pl-PL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pct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ind w:right="-283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 xml:space="preserve">REPUBLIKA HRVATSKA, Ministrstvo financija, </w:t>
            </w:r>
          </w:p>
          <w:p w:rsidRDefault="00962877" w:rsidR="00962877">
            <w:pPr>
              <w:spacing w:after="0"/>
              <w:ind w:right="-283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Porezna uprava,</w:t>
            </w:r>
          </w:p>
          <w:p w:rsidRDefault="00962877" w:rsidR="00962877">
            <w:pPr>
              <w:spacing w:after="0"/>
              <w:ind w:right="-283"/>
              <w:rPr>
                <w:rFonts w:hAnsi="Century Gothic" w:ascii="Century Gothic"/>
                <w:sz w:val="20"/>
                <w:szCs w:val="20"/>
                <w:lang w:val="pl-PL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Područni ured Zagreb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ind w:right="-283"/>
              <w:rPr>
                <w:rFonts w:hAnsi="Century Gothic" w:ascii="Century Gothic"/>
                <w:sz w:val="20"/>
                <w:szCs w:val="20"/>
                <w:lang w:val="pl-PL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18683136487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ind w:right="-283"/>
              <w:rPr>
                <w:rFonts w:hAnsi="Century Gothic" w:ascii="Century Gothic"/>
                <w:sz w:val="20"/>
                <w:szCs w:val="20"/>
                <w:lang w:val="pl-PL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Katančićeva 5/A, Zagreb</w:t>
            </w:r>
          </w:p>
        </w:tc>
        <w:tc>
          <w:tcPr>
            <w:tcW w:type="pct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ind w:right="-283"/>
              <w:jc w:val="center"/>
              <w:rPr>
                <w:rFonts w:hAnsi="Century Gothic" w:ascii="Century Gothic"/>
                <w:sz w:val="20"/>
                <w:szCs w:val="20"/>
                <w:lang w:val="pl-PL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51.320,92</w:t>
            </w:r>
          </w:p>
        </w:tc>
        <w:tc>
          <w:tcPr>
            <w:tcW w:type="pct" w:w="1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ind w:right="-106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Ovjereni izlisti iz ISPU za račune 1783, 5262, 4227, 4251</w:t>
            </w:r>
          </w:p>
          <w:p w:rsidRDefault="00962877" w:rsidR="00962877">
            <w:pPr>
              <w:spacing w:after="0"/>
              <w:ind w:right="-106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Rješenje o osiguranju Općinskog suda u</w:t>
            </w:r>
          </w:p>
          <w:p w:rsidRDefault="00962877" w:rsidR="00962877">
            <w:pPr>
              <w:spacing w:after="0"/>
              <w:ind w:right="-106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Zadru, posl. broj: Ovr-859/2017. od  23.05.2017.</w:t>
            </w:r>
          </w:p>
        </w:tc>
      </w:tr>
      <w:tr w:rsidTr="00962877" w:rsidR="00962877">
        <w:tc>
          <w:tcPr>
            <w:tcW w:type="pct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pct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KJIGOVODSTVENI URED VIDAK d.o.o.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93922724841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Virovska 2, Zagreb</w:t>
            </w:r>
          </w:p>
        </w:tc>
        <w:tc>
          <w:tcPr>
            <w:tcW w:type="pct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22.110,25</w:t>
            </w:r>
          </w:p>
        </w:tc>
        <w:tc>
          <w:tcPr>
            <w:tcW w:type="pct" w:w="1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Ugovor o vršenju knjigovodstvenih usluga, rješenje o ovrsi, rješenje o osiguranju</w:t>
            </w:r>
          </w:p>
          <w:p w:rsidRDefault="00962877" w:rsidR="00962877">
            <w:pPr>
              <w:spacing w:after="0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Općinskog suda u Zadru Ovr-915/2017</w:t>
            </w:r>
          </w:p>
        </w:tc>
      </w:tr>
      <w:tr w:rsidTr="00962877" w:rsidR="00962877">
        <w:tc>
          <w:tcPr>
            <w:tcW w:type="pct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4,</w:t>
            </w:r>
          </w:p>
        </w:tc>
        <w:tc>
          <w:tcPr>
            <w:tcW w:type="pct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GRAD ZAGREB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61817894937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Trg Stjepana Radića 1, Zagreb</w:t>
            </w:r>
          </w:p>
        </w:tc>
        <w:tc>
          <w:tcPr>
            <w:tcW w:type="pct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5.374,86</w:t>
            </w:r>
          </w:p>
        </w:tc>
        <w:tc>
          <w:tcPr>
            <w:tcW w:type="pct" w:w="1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Izvadak iz poslovnih knjiga, kamatni listovi, Rješenja o ovrsi</w:t>
            </w:r>
            <w:r>
              <w:t xml:space="preserve"> </w:t>
            </w:r>
            <w:r>
              <w:rPr>
                <w:rFonts w:hAnsi="Century Gothic" w:ascii="Century Gothic"/>
                <w:sz w:val="20"/>
                <w:szCs w:val="20"/>
              </w:rPr>
              <w:t xml:space="preserve">Klasa: UP/I-373-04/15-03/387 od 13.11.2015. Klasa: UP/I-373-04/16-03/321 od </w:t>
            </w:r>
            <w:r>
              <w:rPr>
                <w:rFonts w:hAnsi="Century Gothic" w:ascii="Century Gothic"/>
                <w:sz w:val="20"/>
                <w:szCs w:val="20"/>
              </w:rPr>
              <w:lastRenderedPageBreak/>
              <w:t>03.11.2016.</w:t>
            </w:r>
          </w:p>
        </w:tc>
      </w:tr>
      <w:tr w:rsidTr="00962877" w:rsidR="00962877">
        <w:tc>
          <w:tcPr>
            <w:tcW w:type="pct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lastRenderedPageBreak/>
              <w:t>5.</w:t>
            </w:r>
          </w:p>
        </w:tc>
        <w:tc>
          <w:tcPr>
            <w:tcW w:type="pct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BKS BANK AG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95202348925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A-9020, Klagenfurt, St, Veiter Ring 43, Austria</w:t>
            </w:r>
          </w:p>
        </w:tc>
        <w:tc>
          <w:tcPr>
            <w:tcW w:type="pct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920.823,04</w:t>
            </w:r>
          </w:p>
        </w:tc>
        <w:tc>
          <w:tcPr>
            <w:tcW w:type="pct" w:w="1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pStyle w:val="Bezproreda"/>
              <w:spacing w:lineRule="auto" w:line="256"/>
              <w:rPr>
                <w:rFonts w:hAnsi="Century Gothic" w:ascii="Century Gothic"/>
                <w:sz w:val="18"/>
                <w:szCs w:val="18"/>
              </w:rPr>
            </w:pPr>
            <w:r>
              <w:rPr>
                <w:rFonts w:hAnsi="Century Gothic" w:ascii="Century Gothic"/>
                <w:sz w:val="18"/>
                <w:szCs w:val="18"/>
              </w:rPr>
              <w:t xml:space="preserve">računi, ugovori i aneksi, zadužnica, obračuni zateznih kamata, Zadužnica  ovjerena  kod  javnog  bilježnika  Vesne  Pučar  iz  Zagreba,  Miramarska  24, broj  ovjere:  OV-22368/15  od  dana  18.  prosinca  2015.  godine, Ugovor  o  kratkoročnom  kreditu,  broj  kreditnog  računa:  030-51001128  i  Sporazum radi  osiguranja  novčane  tražbine  zasnivanjem  založnog  prava  (hipoteka)  na  nekretnini od  dana  28.08.2013.  godine,  ovjeren  kod  javnog  bilježnika  Vesne  Pučar  iz  Zagreba, pod  brojem  ovjere:  ov-13581/12  od  dana  31.07.2012.  godine Aneks  broj  7  Ugovor  o  kratkoročnom  kreditu,  broj  kreditnog  računa:  030-51001128  i Sporazum  radi  osiguranja  novčane  tražbine  zasnivanjem  založnog  prava  (hipoteka)  na nekretnini  od  danal8.12.2015.  godine,  solemniziranog  kod  javnog  bilježnika  Vesne Pučar  iz  Zagreba,  pod  brojem  ovjere:  OV-22367/15  od  dana  18.12.2015.  godine Aneks  broj  6  Ugovor  o  kratkoročnom  kreditu,  broj  kreditnog  računa:  </w:t>
            </w:r>
            <w:r>
              <w:rPr>
                <w:rFonts w:hAnsi="Century Gothic" w:ascii="Century Gothic"/>
                <w:sz w:val="18"/>
                <w:szCs w:val="18"/>
              </w:rPr>
              <w:lastRenderedPageBreak/>
              <w:t xml:space="preserve">030-51001128  i Sporazum  radi  osiguranja  novčane  tražbine  zasnivanjem  založnog  prava  (hipoteka)  na nekretnini  od  dana  30.10.2015.  godine,  solemniziranog  kod  javnog  bilježnika  Vesne Pučar  iz  Zagreba,  pod  brojem  ovjere:  OV-18129/15  od  dana  30.10.2015.  godine Aneks  broj  5  Ugovor  o  kratkoročnom  kreditu,  broj  kreditnog  računa:  030-51001128  i Sporazum  radi  osiguranja  novčane  tražbine  zasnivanjem  založnog  prava  (hipoteka)  na nekretnini  od  dana  16.07.2015.  godine,  solemniziranog  kod  javnog  bilježnika  Vesne Pučar  iz  Zagreba,  pod  brojem  ovjere:  OV-11742/15  od  dana  16.07.2015.  godine Aneks  broj  4  Ugovor  o  kratkoročnom  kreditu,  broj  kreditnog  računa:  030-51001128  i Sporazum  radi  osiguranja  novčane  tražbine  zasnivanjem  založnog  prava  (hipoteka)  na nekretnini  od  dana  29.04.2015.  godine,  solemniziranog  kod  javnog  bilježnika  Olga Sokolić  Ožbolt  iz  Rijeke,  pod  brojem  ovjere:  OV-  2791/14  od  dana  31.10.2014.  godine Aneks  broj  3  </w:t>
            </w:r>
            <w:r>
              <w:rPr>
                <w:rFonts w:hAnsi="Century Gothic" w:ascii="Century Gothic"/>
                <w:sz w:val="18"/>
                <w:szCs w:val="18"/>
              </w:rPr>
              <w:lastRenderedPageBreak/>
              <w:t xml:space="preserve">Ugovor  o  kratkoročnom  kreditu,  broj  kreditnog  računa:  030-51001128  i Sporazum  radi  osiguranja  novčane  tražbine  zasnivanjem  založnog  prava  (hipoteka)  na nekretnini  od  dana  16.10.2014.  godine,  solemniziranog  kod  javnog  bilježnika  Olga Sokolić  Ožbolt  iz  Rijeke,  pod  brojem  ovjere:  OV-  897/14  od  dana  06.06.2014.  godine Aneks  broj  2  Ugovor  o  kratkoročnom  kreditu,  broj  kreditnog  računa:  030-51001128  i Sporazum  radi  osiguranja  novčane  tražbine  zasnivanjem  založnog  prava  (hipoteka)  na nekretnini  od  dana  19.03.2014.  godine,  solemniziranog  kod  javnog  bilježnika  Olga  Sokolić  Ožbolt  iz  Rijeke,  pod  brojem  ovjere:  OV-  3875/13  od  dana  10.09.2013.  godine  </w:t>
            </w:r>
          </w:p>
          <w:p w:rsidRDefault="00962877" w:rsidR="00962877">
            <w:pPr>
              <w:pStyle w:val="Bezproreda"/>
              <w:spacing w:lineRule="auto" w:line="256"/>
            </w:pPr>
            <w:r>
              <w:rPr>
                <w:rFonts w:hAnsi="Century Gothic" w:ascii="Century Gothic"/>
                <w:sz w:val="18"/>
                <w:szCs w:val="18"/>
              </w:rPr>
              <w:t xml:space="preserve">Aneks  broj  1  Ugovor  o  kratkoročnom  kreditu,  broj  kreditnog  računa:  030-51001128  I Sporazum  radi  osiguranja  novčane  tražbine  zasnivanjem  založnog  prava  (hipoteka)  na nekretnini  od  dana  23.09.2013.  godine,  solemniziranog  kod  javnog  bilježnika  Olga Sokolić  Ožbolt  </w:t>
            </w:r>
            <w:r>
              <w:rPr>
                <w:rFonts w:hAnsi="Century Gothic" w:ascii="Century Gothic"/>
                <w:sz w:val="18"/>
                <w:szCs w:val="18"/>
              </w:rPr>
              <w:lastRenderedPageBreak/>
              <w:t>iz  Rijeke,  pod  brojem  ovjere:  OV-  16510/13  od  dana  23.09.2013. godine</w:t>
            </w:r>
          </w:p>
        </w:tc>
      </w:tr>
      <w:tr w:rsidTr="00962877" w:rsidR="00962877">
        <w:tc>
          <w:tcPr>
            <w:tcW w:type="pct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lastRenderedPageBreak/>
              <w:t>6.</w:t>
            </w:r>
          </w:p>
        </w:tc>
        <w:tc>
          <w:tcPr>
            <w:tcW w:type="pct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MARIJA STOLIĆ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80796065378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Ulica Ane Vidović 14, Zadar</w:t>
            </w:r>
          </w:p>
        </w:tc>
        <w:tc>
          <w:tcPr>
            <w:tcW w:type="pct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ind w:right="-52" w:left="-68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1.247.791,70</w:t>
            </w:r>
          </w:p>
        </w:tc>
        <w:tc>
          <w:tcPr>
            <w:tcW w:type="pct" w:w="1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pStyle w:val="Bezproreda"/>
              <w:spacing w:lineRule="auto" w:line="256"/>
              <w:rPr>
                <w:rFonts w:hAnsi="Century Gothic" w:ascii="Century Gothic"/>
                <w:sz w:val="18"/>
                <w:szCs w:val="18"/>
              </w:rPr>
            </w:pPr>
            <w:r>
              <w:rPr>
                <w:rFonts w:cs="Times New Roman" w:eastAsia="Calibri" w:hAnsi="Century Gothic" w:ascii="Century Gothic"/>
                <w:sz w:val="20"/>
                <w:szCs w:val="20"/>
              </w:rPr>
              <w:t>Sporazum o reguliranju vjerovničko-dužničkih odnosa od 26. srpnja 2016.g.</w:t>
            </w:r>
          </w:p>
        </w:tc>
      </w:tr>
    </w:tbl>
    <w:p w:rsidRDefault="00962877" w:rsidP="00962877" w:rsidR="00962877"/>
    <w:p w:rsidRDefault="00962877" w:rsidP="00962877" w:rsidR="00962877">
      <w:pPr>
        <w:spacing w:lineRule="auto" w:line="240" w:after="80"/>
        <w:rPr>
          <w:rFonts w:cs="Times New Roman" w:eastAsia="Times New Roman" w:hAnsi="Century Gothic" w:ascii="Century Gothic"/>
          <w:b/>
          <w:sz w:val="24"/>
          <w:szCs w:val="24"/>
        </w:rPr>
      </w:pPr>
      <w:r>
        <w:rPr>
          <w:rFonts w:cs="Times New Roman" w:eastAsia="Times New Roman" w:hAnsi="Century Gothic" w:ascii="Century Gothic"/>
          <w:b/>
          <w:sz w:val="24"/>
          <w:szCs w:val="24"/>
        </w:rPr>
        <w:t xml:space="preserve">II. </w:t>
      </w:r>
      <w:r>
        <w:rPr>
          <w:rFonts w:cs="Times New Roman" w:eastAsia="Times New Roman" w:hAnsi="Century Gothic" w:ascii="Century Gothic"/>
          <w:b/>
          <w:sz w:val="24"/>
          <w:szCs w:val="24"/>
        </w:rPr>
        <w:tab/>
        <w:t>Vjerovnici s pravom odvojenog namirenja</w:t>
      </w:r>
    </w:p>
    <w:p w:rsidRDefault="00962877" w:rsidP="00962877" w:rsidR="00962877">
      <w:pPr>
        <w:spacing w:lineRule="auto" w:line="240" w:after="80"/>
        <w:rPr>
          <w:rFonts w:cs="Times New Roman" w:eastAsia="Times New Roman" w:hAnsi="Century Gothic" w:ascii="Century Gothic"/>
          <w:sz w:val="20"/>
          <w:szCs w:val="20"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87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85"/>
        <w:gridCol w:w="1293"/>
        <w:gridCol w:w="1472"/>
        <w:gridCol w:w="1297"/>
        <w:gridCol w:w="1251"/>
        <w:gridCol w:w="1245"/>
        <w:gridCol w:w="1906"/>
        <w:gridCol w:w="1668"/>
      </w:tblGrid>
      <w:tr w:rsidTr="00962877" w:rsidR="00962877">
        <w:tc>
          <w:tcPr>
            <w:tcW w:type="pct" w:w="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A6" w:themeFill="background1" w:fill="A6A6A6" w:color="auto" w:val="clear"/>
            <w:vAlign w:val="center"/>
          </w:tcPr>
          <w:p w:rsidRDefault="00962877" w:rsidR="00962877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</w:rPr>
              <w:t xml:space="preserve">Redni broj </w:t>
            </w:r>
          </w:p>
          <w:p w:rsidRDefault="00962877" w:rsidR="00962877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A6" w:themeFill="background1" w:fill="A6A6A6" w:color="auto" w:val="clear"/>
            <w:vAlign w:val="center"/>
            <w:hideMark/>
          </w:tcPr>
          <w:p w:rsidRDefault="00962877" w:rsidR="00962877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A6" w:themeFill="background1" w:fill="A6A6A6" w:color="auto" w:val="clear"/>
            <w:vAlign w:val="center"/>
            <w:hideMark/>
          </w:tcPr>
          <w:p w:rsidRDefault="00962877" w:rsidR="00962877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A6" w:themeFill="background1" w:fill="A6A6A6" w:color="auto" w:val="clear"/>
            <w:vAlign w:val="center"/>
            <w:hideMark/>
          </w:tcPr>
          <w:p w:rsidRDefault="00962877" w:rsidR="00962877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A6" w:themeFill="background1" w:fill="A6A6A6" w:color="auto" w:val="clear"/>
            <w:vAlign w:val="center"/>
            <w:hideMark/>
          </w:tcPr>
          <w:p w:rsidRDefault="00962877" w:rsidR="00962877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A6" w:themeFill="background1" w:fill="A6A6A6" w:color="auto" w:val="clear"/>
            <w:vAlign w:val="center"/>
            <w:hideMark/>
          </w:tcPr>
          <w:p w:rsidRDefault="00962877" w:rsidR="00962877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8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A6" w:themeFill="background1" w:fill="A6A6A6" w:color="auto" w:val="clear"/>
            <w:vAlign w:val="center"/>
            <w:hideMark/>
          </w:tcPr>
          <w:p w:rsidRDefault="00962877" w:rsidR="00962877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</w:rPr>
              <w:t>Pravna osnova tražbine osigurane razlučnim pravom</w:t>
            </w:r>
          </w:p>
        </w:tc>
        <w:tc>
          <w:tcPr>
            <w:tcW w:type="pct" w:w="7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A6" w:themeFill="background1" w:fill="A6A6A6" w:color="auto" w:val="clear"/>
            <w:vAlign w:val="center"/>
            <w:hideMark/>
          </w:tcPr>
          <w:p w:rsidRDefault="00962877" w:rsidR="00962877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</w:rPr>
              <w:t>Dio imovine na koji se odnosi razlučno pravo</w:t>
            </w:r>
          </w:p>
        </w:tc>
      </w:tr>
      <w:tr w:rsidTr="00962877" w:rsidR="00962877">
        <w:tc>
          <w:tcPr>
            <w:tcW w:type="pct" w:w="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2877" w:rsidR="00962877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BKS BANK AG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95202348925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rPr>
                <w:rFonts w:hAnsi="Century Gothic" w:ascii="Century Gothic"/>
                <w:noProof/>
                <w:sz w:val="20"/>
                <w:szCs w:val="20"/>
              </w:rPr>
            </w:pPr>
            <w:r>
              <w:rPr>
                <w:rFonts w:hAnsi="Century Gothic" w:ascii="Century Gothic"/>
                <w:noProof/>
                <w:sz w:val="20"/>
                <w:szCs w:val="20"/>
              </w:rPr>
              <w:t>A-9020, Klagenfurt, St, Veiter Ring 43, Austria</w:t>
            </w:r>
          </w:p>
        </w:tc>
        <w:tc>
          <w:tcPr>
            <w:tcW w:type="pct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spacing w:after="0"/>
              <w:ind w:right="-108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 xml:space="preserve">Općinski sud u Zadru, Zemljišno knjižni </w:t>
            </w:r>
          </w:p>
          <w:p w:rsidRDefault="00962877" w:rsidR="00962877">
            <w:pPr>
              <w:spacing w:after="0"/>
              <w:ind w:right="-108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 xml:space="preserve">odjel Zadar  </w:t>
            </w:r>
          </w:p>
        </w:tc>
        <w:tc>
          <w:tcPr>
            <w:tcW w:type="pct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2877" w:rsidR="00962877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824.630,00</w:t>
            </w:r>
          </w:p>
        </w:tc>
        <w:tc>
          <w:tcPr>
            <w:tcW w:type="pct" w:w="8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pStyle w:val="Bezproreda"/>
              <w:spacing w:lineRule="auto" w:line="256"/>
              <w:rPr>
                <w:rFonts w:hAnsi="Century Gothic" w:ascii="Century Gothic"/>
                <w:sz w:val="18"/>
                <w:szCs w:val="18"/>
              </w:rPr>
            </w:pPr>
            <w:r>
              <w:rPr>
                <w:rFonts w:hAnsi="Century Gothic" w:ascii="Century Gothic"/>
                <w:sz w:val="18"/>
                <w:szCs w:val="18"/>
              </w:rPr>
              <w:t xml:space="preserve">računi, ugovori i aneksi, zadužnica, obračuni zateznih kamata, Zadužnica  ovjerena  kod  javnog  bilježnika  Vesne  Pučar  iz  Zagreba,  Miramarska  24, broj  ovjere:  OV-22368/15  od  dana  18.  prosinca  2015.  godine, Ugovor  o  kratkoročnom  kreditu,  broj  kreditnog  računa:  030-51001128  i  Sporazum radi  osiguranja  novčane  tražbine  zasnivanjem  založnog  prava  (hipoteka)  na  nekretnini od  dana  28.08.2013.  godine,  ovjeren  kod  javnog  bilježnika  Vesne  Pučar  iz  Zagreba, pod  brojem  ovjere:  ov-13581/12  od  dana  31.07.2012.  godine Aneks  broj  </w:t>
            </w:r>
            <w:r>
              <w:rPr>
                <w:rFonts w:hAnsi="Century Gothic" w:ascii="Century Gothic"/>
                <w:sz w:val="18"/>
                <w:szCs w:val="18"/>
              </w:rPr>
              <w:lastRenderedPageBreak/>
              <w:t xml:space="preserve">7  Ugovor  o  kratkoročnom  kreditu,  broj  kreditnog  računa:  030-51001128  i Sporazum  radi  osiguranja  novčane  tražbine  zasnivanjem  založnog  prava  (hipoteka)  na nekretnini  od  danal8.12.2015.  godine,  solemniziranog  kod  javnog  bilježnika  Vesne Pučar  iz  Zagreba,  pod  brojem  ovjere:  OV-22367/15  od  dana  18.12.2015.  godine Aneks  broj  6  Ugovor  o  kratkoročnom  kreditu,  broj  kreditnog  računa:  030-51001128  i Sporazum  radi  osiguranja  novčane  tražbine  zasnivanjem  založnog  prava  (hipoteka)  na nekretnini  od  dana  30.10.2015.  godine,  solemniziranog  kod  javnog  bilježnika  Vesne Pučar  iz  Zagreba,  pod  brojem  ovjere:  OV-18129/15  od  dana  30.10.2015.  godine Aneks  broj  5  Ugovor  o  kratkoročnom  kreditu,  broj  kreditnog  računa:  030-51001128  i Sporazum  radi  osiguranja  novčane  tražbine  zasnivanjem  založnog  prava  (hipoteka)  na nekretnini  od  dana  16.07.2015.  </w:t>
            </w:r>
            <w:r>
              <w:rPr>
                <w:rFonts w:hAnsi="Century Gothic" w:ascii="Century Gothic"/>
                <w:sz w:val="18"/>
                <w:szCs w:val="18"/>
              </w:rPr>
              <w:lastRenderedPageBreak/>
              <w:t xml:space="preserve">godine,  solemniziranog  kod  javnog  bilježnika  Vesne Pučar  iz  Zagreba,  pod  brojem  ovjere:  OV-11742/15  od  dana  16.07.2015.  godine Aneks  broj  4  Ugovor  o  kratkoročnom  kreditu,  broj  kreditnog  računa:  030-51001128  i Sporazum  radi  osiguranja  novčane  tražbine  zasnivanjem  založnog  prava  (hipoteka)  na nekretnini  od  dana  29.04.2015.  godine,  solemniziranog  kod  javnog  bilježnika  Olga Sokolić  Ožbolt  iz  Rijeke,  pod  brojem  ovjere:  OV-  2791/14  od  dana  31.10.2014.  godine Aneks  broj  3  Ugovor  o  kratkoročnom  kreditu,  broj  kreditnog  računa:  030-51001128  i Sporazum  radi  osiguranja  novčane  tražbine  zasnivanjem  založnog  prava  (hipoteka)  na nekretnini  od  dana  16.10.2014.  godine,  solemniziranog  kod  javnog  bilježnika  Olga Sokolić  Ožbolt  iz  Rijeke,  pod  brojem  ovjere:  OV-  897/14  od  dana  06.06.2014.  godine Aneks  broj  2  Ugovor  o  kratkoročnom  kreditu,  broj  </w:t>
            </w:r>
            <w:r>
              <w:rPr>
                <w:rFonts w:hAnsi="Century Gothic" w:ascii="Century Gothic"/>
                <w:sz w:val="18"/>
                <w:szCs w:val="18"/>
              </w:rPr>
              <w:lastRenderedPageBreak/>
              <w:t xml:space="preserve">kreditnog  računa:  030-51001128  i Sporazum  radi  osiguranja  novčane  tražbine  zasnivanjem  založnog  prava  (hipoteka)  na nekretnini  od  dana  19.03.2014.  godine,  solemniziranog  kod  javnog  bilježnika  Olga  Sokolić  Ožbolt  iz  Rijeke,  pod  brojem  ovjere:  OV-  3875/13  od  dana  10.09.2013.  godine  </w:t>
            </w:r>
          </w:p>
          <w:p w:rsidRDefault="00962877" w:rsidR="00962877">
            <w:pPr>
              <w:spacing w:lineRule="auto" w:line="240" w:after="80"/>
              <w:rPr>
                <w:rFonts w:cs="Times New Roman" w:eastAsia="Times New Roman" w:hAnsi="Century Gothic" w:ascii="Century Gothic"/>
                <w:sz w:val="18"/>
                <w:szCs w:val="18"/>
              </w:rPr>
            </w:pPr>
            <w:r>
              <w:rPr>
                <w:rFonts w:hAnsi="Century Gothic" w:ascii="Century Gothic"/>
                <w:sz w:val="18"/>
                <w:szCs w:val="18"/>
              </w:rPr>
              <w:t>Aneks  broj  1  Ugovor  o  kratkoročnom  kreditu,  broj  kreditnog  računa:  030-51001128  I Sporazum  radi  osiguranja  novčane  tražbine  zasnivanjem  založnog  prava  (hipoteka)  na nekretnini  od  dana  23.09.2013.  godine,  solemniziranog  kod  javnog  bilježnika  Olga Sokolić  Ožbolt  iz  Rijeke,  pod  brojem  ovjere:  OV-  16510/13  od  dana  23.09.2013. godine</w:t>
            </w:r>
            <w:r>
              <w:rPr>
                <w:rFonts w:cs="Times New Roman" w:eastAsia="Times New Roman" w:hAnsi="Century Gothic" w:ascii="Century Gothic"/>
                <w:sz w:val="18"/>
                <w:szCs w:val="18"/>
              </w:rPr>
              <w:t xml:space="preserve">   </w:t>
            </w:r>
          </w:p>
        </w:tc>
        <w:tc>
          <w:tcPr>
            <w:tcW w:type="pct" w:w="7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2877" w:rsidR="00962877">
            <w:pPr>
              <w:pStyle w:val="Bezproreda"/>
              <w:spacing w:lineRule="auto" w:line="256"/>
              <w:rPr>
                <w:rFonts w:hAnsi="Century Gothic" w:ascii="Century Gothic"/>
                <w:sz w:val="18"/>
                <w:szCs w:val="18"/>
              </w:rPr>
            </w:pPr>
            <w:r>
              <w:rPr>
                <w:rFonts w:hAnsi="Century Gothic" w:ascii="Century Gothic"/>
                <w:sz w:val="18"/>
                <w:szCs w:val="18"/>
              </w:rPr>
              <w:lastRenderedPageBreak/>
              <w:t xml:space="preserve">nekretnina upisana u 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zemljišne knjige koje vodi Općinski sud u  Zadru, Zemljišno knjižni odjel, u zk. ul. br. 7395 k.o. Zadar, čkbr. 1803/2 kuća, garaža i dvor 522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dvor 349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kuća 138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zemljišta pod zgradom 35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neodvojivo povezano s vlasništvom posebnih dijelova nekretnine</w:t>
            </w:r>
            <w:r>
              <w:rPr>
                <w:rFonts w:hAnsi="Century Gothic" w:ascii="Century Gothic"/>
                <w:sz w:val="18"/>
                <w:szCs w:val="18"/>
              </w:rPr>
              <w:t xml:space="preserve"> kako slijedi:  </w:t>
            </w:r>
          </w:p>
          <w:p w:rsidRDefault="00962877" w:rsidR="00962877">
            <w:pPr>
              <w:pStyle w:val="Bezproreda"/>
              <w:spacing w:lineRule="auto" w:line="256"/>
              <w:rPr>
                <w:rFonts w:hAnsi="Century Gothic" w:ascii="Century Gothic"/>
                <w:sz w:val="18"/>
                <w:szCs w:val="18"/>
                <w:lang w:eastAsia="hr-HR"/>
              </w:rPr>
            </w:pPr>
            <w:r>
              <w:rPr>
                <w:rFonts w:hAnsi="Century Gothic" w:ascii="Century Gothic"/>
                <w:sz w:val="18"/>
                <w:szCs w:val="18"/>
                <w:lang w:eastAsia="hr-HR"/>
              </w:rPr>
              <w:t xml:space="preserve">- 5. suvlasnički dio: 291/1000 etažno vlasništvo (E-1) etažna jedinica oznake "S1"-stambeni prostor koji se nalazi u suterenu a sastoji se od ulaznog prostora, kuhinje s 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lastRenderedPageBreak/>
              <w:t>blagovaonicom i dnevnim boravkom, kupaonice i dvije spavaće sobe ukupne korisne površine 102,97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a korisne vrijednosti površine 102,97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. Sporedni dio stana "S1" je spremište korisne površine 2,55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 a korisne vrijednosti površine 0,89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. Ukupna korisna površina stambenog prostora "S1" i sporednog dijela je 105,52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a ukupna korisna vrijednost površina je 103,86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u grafičkom dijelu elaborata označeno crvenom bojom;</w:t>
            </w:r>
          </w:p>
          <w:p w:rsidRDefault="00962877" w:rsidR="00962877">
            <w:pPr>
              <w:pStyle w:val="Bezproreda"/>
              <w:spacing w:lineRule="auto" w:line="256"/>
              <w:rPr>
                <w:rFonts w:hAnsi="Century Gothic" w:ascii="Century Gothic"/>
                <w:sz w:val="18"/>
                <w:szCs w:val="18"/>
                <w:lang w:eastAsia="hr-HR"/>
              </w:rPr>
            </w:pP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- 6. suvlasnički dio: 300/1000 etažno vlasništvo (E-2) etažna jedinica oznake "S2"-stambeni prostor koji se nalazi u prizemlju i suterenu zgrade, a sastoji se u  prizemlju od ulaznog prostora s garderobom, kuhinjom s blagovaonicom i dnevnim boravkom, kupaonice i dvije spavaće sobe, korisne površine 81,44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 xml:space="preserve">, a korisne 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lastRenderedPageBreak/>
              <w:t>vrijednosti površine 81,44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. Sporedni dio stana "S2" u suterenu je garaža, korisne površine 20,37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a korisne vrijednosti površine 10,19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u prizemlju natkriveni i nenatkriveni dio terase, korisne površine 46,58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a korisne vrijednosti površine 15,11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. Ukupna korisna površina stambenog prostora "S2" i sporednog dijela je 148,39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 xml:space="preserve"> a ukupna korisna vrijednost površina je 106,73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u grafičkom dijelu elaborata označeno zelenom bojom;</w:t>
            </w:r>
          </w:p>
          <w:p w:rsidRDefault="00962877" w:rsidR="00962877">
            <w:pPr>
              <w:pStyle w:val="Bezproreda"/>
              <w:spacing w:lineRule="auto" w:line="256"/>
              <w:rPr>
                <w:rFonts w:hAnsi="Century Gothic" w:ascii="Century Gothic"/>
                <w:sz w:val="18"/>
                <w:szCs w:val="18"/>
                <w:lang w:eastAsia="hr-HR"/>
              </w:rPr>
            </w:pP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- 7. suvlasnički dio: 249/1000 etažno vlasništvo (E-3) etažno jedinica oznake "S3" –stambeni prostor koji se nalazi na prvom katu zgrade, a sastoji se od ulaznog prostora s garderobom, kuhinje s blagovaonicom i dnevnim boravkom, kupaonice i dvije spavaće sobe, korisne površine 81,44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a korisne vrijednosti površine 81,44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 xml:space="preserve">. Sporedni dio 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lastRenderedPageBreak/>
              <w:t>stana "S3" je natkrivena terasa, korisne površine 14,66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a korisne vrijednosti površine 7,33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. Ukupna korisna površina stambenog prostora "S3" i sporednog dijela je 96,10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a ukupna korisna vrijednost površina je 88,77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u grafičkom dijelu elaborata označeno plavom bojom;</w:t>
            </w:r>
          </w:p>
          <w:p w:rsidRDefault="00962877" w:rsidR="00962877">
            <w:pPr>
              <w:pStyle w:val="Bezproreda"/>
              <w:spacing w:lineRule="auto" w:line="256"/>
              <w:rPr>
                <w:rFonts w:cs="Tahoma" w:hAnsi="Century Gothic" w:ascii="Century Gothic"/>
                <w:sz w:val="18"/>
                <w:szCs w:val="18"/>
              </w:rPr>
            </w:pP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- 8. suvlasnički dio 160/1000 etažno vlasništvo (E-4) etažna jedinica oznake "S4" – stambeni prostor koji se nalazi na drugom katu, a sastoji se od kuhinje s  blagovaonicom i dnevnim boravkom, spavaće sobe, kupaonice, korisne površine 34,46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a korisne vrijednosti površine 34,20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. Sporedni dio stana "S4" su natkriveni i nenatkriveni dijelovi terase, korisne površine 71,55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a korisne vrijednosti površine 22,80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 xml:space="preserve">. Ukupna korisna površina stambenog prostora "S4" i sporednog dijela je 106,01 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lastRenderedPageBreak/>
              <w:t>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a ukupna korisna vrijednost površina je 57,00 m</w:t>
            </w:r>
            <w:r>
              <w:rPr>
                <w:rFonts w:hAnsi="Century Gothic" w:ascii="Century Gothic"/>
                <w:sz w:val="18"/>
                <w:szCs w:val="18"/>
                <w:vertAlign w:val="superscript"/>
                <w:lang w:eastAsia="hr-HR"/>
              </w:rPr>
              <w:t>2</w:t>
            </w:r>
            <w:r>
              <w:rPr>
                <w:rFonts w:hAnsi="Century Gothic" w:ascii="Century Gothic"/>
                <w:sz w:val="18"/>
                <w:szCs w:val="18"/>
                <w:lang w:eastAsia="hr-HR"/>
              </w:rPr>
              <w:t>, u grafičkom dijelu elaborata označeno narančastom bojom.</w:t>
            </w:r>
          </w:p>
        </w:tc>
      </w:tr>
    </w:tbl>
    <w:p w:rsidRDefault="00962877" w:rsidP="00962877" w:rsidR="00962877">
      <w:pPr>
        <w:rPr>
          <w:rFonts w:hAnsi="Century Gothic" w:ascii="Century Gothic"/>
          <w:sz w:val="24"/>
          <w:szCs w:val="24"/>
        </w:rPr>
      </w:pPr>
    </w:p>
    <w:p w:rsidRDefault="00962877" w:rsidP="00962877" w:rsidR="00962877">
      <w:pPr>
        <w:rPr>
          <w:rFonts w:hAnsi="Century Gothic" w:ascii="Century Gothic"/>
          <w:sz w:val="24"/>
          <w:szCs w:val="24"/>
        </w:rPr>
      </w:pPr>
      <w:r>
        <w:rPr>
          <w:rFonts w:hAnsi="Century Gothic" w:ascii="Century Gothic"/>
          <w:sz w:val="24"/>
          <w:szCs w:val="24"/>
        </w:rPr>
        <w:t>U Križevcima, 28. prosinca 2017.</w:t>
      </w:r>
    </w:p>
    <w:p w:rsidRDefault="00962877" w:rsidP="00962877" w:rsidR="00962877">
      <w:pPr>
        <w:jc w:val="center"/>
        <w:rPr>
          <w:rFonts w:hAnsi="Century Gothic" w:ascii="Century Gothic"/>
          <w:sz w:val="24"/>
          <w:szCs w:val="24"/>
        </w:rPr>
      </w:pPr>
      <w:r>
        <w:rPr>
          <w:rFonts w:hAnsi="Century Gothic" w:ascii="Century Gothic"/>
          <w:sz w:val="24"/>
          <w:szCs w:val="24"/>
        </w:rPr>
        <w:t xml:space="preserve">                                                                                          Stečajni upravitelj</w:t>
      </w:r>
    </w:p>
    <w:p w:rsidRDefault="00962877" w:rsidP="00962877" w:rsidR="00962877">
      <w:pPr>
        <w:ind w:left="5664"/>
        <w:jc w:val="center"/>
        <w:rPr>
          <w:rFonts w:hAnsi="Century Gothic" w:ascii="Century Gothic"/>
          <w:sz w:val="24"/>
          <w:szCs w:val="24"/>
        </w:rPr>
      </w:pPr>
      <w:r>
        <w:rPr>
          <w:rFonts w:hAnsi="Century Gothic" w:ascii="Century Gothic"/>
          <w:sz w:val="24"/>
          <w:szCs w:val="24"/>
        </w:rPr>
        <w:t xml:space="preserve">     Darko Šket</w:t>
      </w:r>
    </w:p>
    <w:p w:rsidRDefault="00962877" w:rsidP="00962877" w:rsidR="00962877">
      <w:pPr>
        <w:ind w:left="5664"/>
        <w:jc w:val="center"/>
        <w:rPr>
          <w:rFonts w:hAnsi="Century Gothic" w:ascii="Century Gothic"/>
          <w:sz w:val="24"/>
          <w:szCs w:val="24"/>
        </w:rPr>
      </w:pPr>
      <w:r>
        <w:rPr>
          <w:rFonts w:eastAsiaTheme="minorEastAsia" w:cs="Tahoma" w:hAnsi="Century Gothic" w:ascii="Century Gothic"/>
          <w:noProof/>
          <w:lang w:eastAsia="hr-HR"/>
        </w:rPr>
        <w:drawing>
          <wp:inline distR="0" distL="0" distB="0" distT="0">
            <wp:extent cy="1264920" cx="1496060"/>
            <wp:effectExtent b="0" r="8890" t="0" l="0"/>
            <wp:docPr descr="../IMG_3953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../IMG_3953.jp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64920" cx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78E" w:rsidR="0054178E"/>
    <w:sectPr w:rsidR="005417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B04" w:rsidP="00962877" w:rsidR="009D7B04">
      <w:pPr>
        <w:spacing w:lineRule="auto" w:line="240" w:after="0"/>
      </w:pPr>
      <w:r>
        <w:separator/>
      </w:r>
    </w:p>
  </w:endnote>
  <w:endnote w:id="0" w:type="continuationSeparator">
    <w:p w:rsidRDefault="009D7B04" w:rsidP="00962877" w:rsidR="009D7B0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B04" w:rsidP="00962877" w:rsidR="009D7B04">
      <w:pPr>
        <w:spacing w:lineRule="auto" w:line="240" w:after="0"/>
      </w:pPr>
      <w:r>
        <w:separator/>
      </w:r>
    </w:p>
  </w:footnote>
  <w:footnote w:id="0" w:type="continuationSeparator">
    <w:p w:rsidRDefault="009D7B04" w:rsidP="00962877" w:rsidR="009D7B04">
      <w:pPr>
        <w:spacing w:lineRule="auto" w:line="240" w:after="0"/>
      </w:pPr>
      <w:r>
        <w:continuationSeparator/>
      </w:r>
    </w:p>
  </w:footnote>
  <w:footnote w:id="1">
    <w:p w:rsidRDefault="00962877" w:rsidP="00962877" w:rsidR="00962877">
      <w:pPr>
        <w:pStyle w:val="Tekstfusnote"/>
      </w:pPr>
      <w:r>
        <w:rPr>
          <w:rStyle w:val="Referencafusnote"/>
          <w:rFonts w:hAnsiTheme="minorHAnsi" w:asciiTheme="minorHAnsi"/>
        </w:rPr>
        <w:t xml:space="preserve"> </w:t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2877"/>
    <w:rsid w:val="0054178E"/>
    <w:rsid w:val="00962877"/>
    <w:rsid w:val="009D7B04"/>
    <w:rsid w:val="00BC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2877"/>
    <w:pPr>
      <w:spacing w:lineRule="auto" w:line="256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962877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962877"/>
    <w:rPr>
      <w:sz w:val="20"/>
      <w:szCs w:val="20"/>
    </w:rPr>
  </w:style>
  <w:style w:styleId="Bezproreda" w:type="paragraph">
    <w:name w:val="No Spacing"/>
    <w:uiPriority w:val="1"/>
    <w:qFormat/>
    <w:rsid w:val="00962877"/>
    <w:pPr>
      <w:spacing w:lineRule="auto" w:line="240" w:after="0"/>
    </w:pPr>
  </w:style>
  <w:style w:styleId="Referencafusnote" w:type="character">
    <w:name w:val="footnote reference"/>
    <w:uiPriority w:val="99"/>
    <w:semiHidden/>
    <w:unhideWhenUsed/>
    <w:rsid w:val="00962877"/>
    <w:rPr>
      <w:rFonts w:cs="Times New Roman" w:hAnsi="Times New Roman" w:ascii="Times New Roman" w:hint="default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287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287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54A"/>
    <w:rPr>
      <w:rFonts w:hAnsi="Century Gothic" w:ascii="Century Gothic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54A"/>
    <w:rPr>
      <w:rFonts w:cs="Times New Roman" w:hAnsi="Century Gothic" w:ascii="Century Gothic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54A"/>
    <w:rPr>
      <w:rFonts w:cs="Times New Roman" w:hAnsi="Century Gothic" w:ascii="Century Gothic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2877"/>
    <w:pPr>
      <w:spacing w:after="160" w:line="25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962877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962877"/>
    <w:rPr>
      <w:sz w:val="20"/>
      <w:szCs w:val="20"/>
    </w:rPr>
  </w:style>
  <w:style w:styleId="Bezproreda" w:type="paragraph">
    <w:name w:val="No Spacing"/>
    <w:uiPriority w:val="1"/>
    <w:qFormat/>
    <w:rsid w:val="00962877"/>
    <w:pPr>
      <w:spacing w:after="0" w:line="240" w:lineRule="auto"/>
    </w:pPr>
  </w:style>
  <w:style w:styleId="Referencafusnote" w:type="character">
    <w:name w:val="footnote reference"/>
    <w:uiPriority w:val="99"/>
    <w:semiHidden/>
    <w:unhideWhenUsed/>
    <w:rsid w:val="00962877"/>
    <w:rPr>
      <w:rFonts w:ascii="Times New Roman" w:cs="Times New Roman" w:hAnsi="Times New Roman" w:hint="default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287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287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54A"/>
    <w:rPr>
      <w:rFonts w:ascii="Century Gothic" w:hAnsi="Century Gothic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54A"/>
    <w:rPr>
      <w:rFonts w:ascii="Century Gothic" w:cs="Times New Roman" w:hAnsi="Century Gothic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54A"/>
    <w:rPr>
      <w:rFonts w:ascii="Century Gothic" w:cs="Times New Roman" w:hAnsi="Century Gothic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4389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 TORANJ društvo s ograničenom odgovornošću za medicinsku djelatnost, usluge i trgovinu</izvorni_sadrzaj>
    <derivirana_varijabla naziv="DomainObject.Predmet.ProtustrankaFormated_1">  MEDI TORANJ društvo s ograničenom odgovornošću za medicinsku djelatnost, usluge i trgovinu</derivirana_varijabla>
  </DomainObject.Predmet.ProtustrankaFormated>
  <DomainObject.Predmet.ProtustrankaFormatedOIB>
    <izvorni_sadrzaj>  MEDI TORANJ društvo s ograničenom odgovornošću za medicinsku djelatnost, usluge i trgovinu, OIB 29683817092</izvorni_sadrzaj>
    <derivirana_varijabla naziv="DomainObject.Predmet.ProtustrankaFormatedOIB_1">  MEDI TORANJ društvo s ograničenom odgovornošću za medicinsku djelatnost, usluge i trgovinu, OIB 29683817092</derivirana_varijabla>
  </DomainObject.Predmet.ProtustrankaFormatedOIB>
  <DomainObject.Predmet.ProtustrankaFormatedWithAdress>
    <izvorni_sadrzaj> MEDI TORANJ društvo s ograničenom odgovornošću za medicinsku djelatnost, usluge i trgovinu, Ksaverska cesta 59, 10000 Zagreb</izvorni_sadrzaj>
    <derivirana_varijabla naziv="DomainObject.Predmet.ProtustrankaFormatedWithAdress_1"> MEDI TORANJ društvo s ograničenom odgovornošću za medicinsku djelatnost, usluge i trgovinu, Ksaverska cesta 59, 10000 Zagreb</derivirana_varijabla>
  </DomainObject.Predmet.ProtustrankaFormatedWithAdress>
  <DomainObject.Predmet.ProtustrankaFormatedWithAdressOIB>
    <izvorni_sadrzaj> MEDI TORANJ društvo s ograničenom odgovornošću za medicinsku djelatnost, usluge i trgovinu, OIB 29683817092, Ksaverska cesta 59, 10000 Zagreb</izvorni_sadrzaj>
    <derivirana_varijabla naziv="DomainObject.Predmet.ProtustrankaFormatedWithAdressOIB_1"> MEDI TORANJ društvo s ograničenom odgovornošću za medicinsku djelatnost, usluge i trgovinu, OIB 29683817092, Ksaverska cesta 59, 10000 Zagreb</derivirana_varijabla>
  </DomainObject.Predmet.ProtustrankaFormatedWithAdressOIB>
  <DomainObject.Predmet.ProtustrankaWithAdress>
    <izvorni_sadrzaj>MEDI TORANJ društvo s ograničenom odgovornošću za medicinsku djelatnost, usluge i trgovinu Ksaverska cesta 59, 10000 Zagreb</izvorni_sadrzaj>
    <derivirana_varijabla naziv="DomainObject.Predmet.ProtustrankaWithAdress_1">MEDI TORANJ društvo s ograničenom odgovornošću za medicinsku djelatnost, usluge i trgovinu Ksaverska cesta 59, 10000 Zagreb</derivirana_varijabla>
  </DomainObject.Predmet.ProtustrankaWithAdress>
  <DomainObject.Predmet.ProtustrankaWithAdressOIB>
    <izvorni_sadrzaj>MEDI TORANJ društvo s ograničenom odgovornošću za medicinsku djelatnost, usluge i trgovinu, OIB 29683817092, Ksaverska cesta 59, 10000 Zagreb</izvorni_sadrzaj>
    <derivirana_varijabla naziv="DomainObject.Predmet.ProtustrankaWithAdressOIB_1">MEDI TORANJ društvo s ograničenom odgovornošću za medicinsku djelatnost, usluge i trgovinu, OIB 29683817092, Ksaverska cesta 59, 10000 Zagreb</derivirana_varijabla>
  </DomainObject.Predmet.ProtustrankaWithAdressOIB>
  <DomainObject.Predmet.ProtustrankaNazivFormated>
    <izvorni_sadrzaj>MEDI TORANJ društvo s ograničenom odgovornošću za medicinsku djelatnost, usluge i trgovinu</izvorni_sadrzaj>
    <derivirana_varijabla naziv="DomainObject.Predmet.ProtustrankaNazivFormated_1">MEDI TORANJ društvo s ograničenom odgovornošću za medicinsku djelatnost, usluge i trgovinu</derivirana_varijabla>
  </DomainObject.Predmet.ProtustrankaNazivFormated>
  <DomainObject.Predmet.ProtustrankaNazivFormatedOIB>
    <izvorni_sadrzaj>MEDI TORANJ društvo s ograničenom odgovornošću za medicinsku djelatnost, usluge i trgovinu, OIB 29683817092</izvorni_sadrzaj>
    <derivirana_varijabla naziv="DomainObject.Predmet.ProtustrankaNazivFormatedOIB_1">MEDI TORANJ društvo s ograničenom odgovornošću za medicinsku djelatnost, usluge i trgovinu, OIB 29683817092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MEDI TORANJ društvo s ograničenom odgovornošću za medicinsku djelatnost, usluge i trgovinu</item>
    </izvorni_sadrzaj>
    <derivirana_varijabla naziv="DomainObject.Predmet.ProtuStrankaListFormated_1">
      <item>MEDI TORANJ društvo s ograničenom odgovornošću za medicinsku djelatnost, usluge i trgovinu</item>
    </derivirana_varijabla>
  </DomainObject.Predmet.ProtuStrankaListFormated>
  <DomainObject.Predmet.ProtuStrankaListFormatedOIB>
    <izvorni_sadrzaj>
      <item>MEDI TORANJ društvo s ograničenom odgovornošću za medicinsku djelatnost, usluge i trgovinu, OIB 29683817092</item>
    </izvorni_sadrzaj>
    <derivirana_varijabla naziv="DomainObject.Predmet.ProtuStrankaListFormatedOIB_1">
      <item>MEDI TORANJ društvo s ograničenom odgovornošću za medicinsku djelatnost, usluge i trgovinu, OIB 29683817092</item>
    </derivirana_varijabla>
  </DomainObject.Predmet.ProtuStrankaListFormatedOIB>
  <DomainObject.Predmet.ProtuStrankaListFormatedWithAdress>
    <izvorni_sadrzaj>
      <item>MEDI TORANJ društvo s ograničenom odgovornošću za medicinsku djelatnost, usluge i trgovinu, Ksaverska cesta 59, 10000 Zagreb</item>
    </izvorni_sadrzaj>
    <derivirana_varijabla naziv="DomainObject.Predmet.ProtuStrankaListFormatedWithAdress_1">
      <item>MEDI TORANJ društvo s ograničenom odgovornošću za medicinsku djelatnost, usluge i trgovinu, Ksaverska cesta 59, 10000 Zagreb</item>
    </derivirana_varijabla>
  </DomainObject.Predmet.ProtuStrankaListFormatedWithAdress>
  <DomainObject.Predmet.ProtuStrankaListFormatedWithAdressOIB>
    <izvorni_sadrzaj>
      <item>MEDI TORANJ društvo s ograničenom odgovornošću za medicinsku djelatnost, usluge i trgovinu, OIB 29683817092, Ksaverska cesta 59, 10000 Zagreb</item>
    </izvorni_sadrzaj>
    <derivirana_varijabla naziv="DomainObject.Predmet.ProtuStrankaListFormatedWithAdressOIB_1">
      <item>MEDI TORANJ društvo s ograničenom odgovornošću za medicinsku djelatnost, usluge i trgovinu, OIB 29683817092, Ksaverska cesta 59, 10000 Zagreb</item>
    </derivirana_varijabla>
  </DomainObject.Predmet.ProtuStrankaListFormatedWithAdressOIB>
  <DomainObject.Predmet.ProtuStrankaListNazivFormated>
    <izvorni_sadrzaj>
      <item>MEDI TORANJ društvo s ograničenom odgovornošću za medicinsku djelatnost, usluge i trgovinu</item>
    </izvorni_sadrzaj>
    <derivirana_varijabla naziv="DomainObject.Predmet.ProtuStrankaListNazivFormated_1">
      <item>MEDI TORANJ društvo s ograničenom odgovornošću za medicinsku djelatnost, usluge i trgovinu</item>
    </derivirana_varijabla>
  </DomainObject.Predmet.ProtuStrankaListNazivFormated>
  <DomainObject.Predmet.ProtuStrankaListNazivFormatedOIB>
    <izvorni_sadrzaj>
      <item>MEDI TORANJ društvo s ograničenom odgovornošću za medicinsku djelatnost, usluge i trgovinu, OIB 29683817092</item>
    </izvorni_sadrzaj>
    <derivirana_varijabla naziv="DomainObject.Predmet.ProtuStrankaListNazivFormatedOIB_1">
      <item>MEDI TORANJ društvo s ograničenom odgovornošću za medicinsku djelatnost, usluge i trgovinu, OIB 29683817092</item>
    </derivirana_varijabla>
  </DomainObject.Predmet.ProtuStrankaListNazivFormatedOIB>
  <DomainObject.Predmet.OstaliListFormated>
    <izvorni_sadrzaj>
      <item>Alan Vlatko Ivanišević</item>
      <item>Županijsko državno odvjetništvo u Bjelovaru</item>
      <item>Općinski sud u Zadru, Zemljišnoknjižni odjel</item>
    </izvorni_sadrzaj>
    <derivirana_varijabla naziv="DomainObject.Predmet.OstaliListFormated_1">
      <item>Alan Vlatko Ivanišević</item>
      <item>Županijsko državno odvjetništvo u Bjelovaru</item>
      <item>Općinski sud u Zadru, Zemljišnoknjižni odjel</item>
    </derivirana_varijabla>
  </DomainObject.Predmet.OstaliListFormated>
  <DomainObject.Predmet.OstaliListFormatedOIB>
    <izvorni_sadrzaj>
      <item>Alan Vlatko Ivanišević, OIB 93465924400</item>
      <item>Županijsko državno odvjetništvo u Bjelovaru, OIB 86821435474</item>
      <item>Općinski sud u Zadru, Zemljišnoknjižni odjel</item>
    </izvorni_sadrzaj>
    <derivirana_varijabla naziv="DomainObject.Predmet.OstaliListFormatedOIB_1">
      <item>Alan Vlatko Ivanišević, OIB 93465924400</item>
      <item>Županijsko državno odvjetništvo u Bjelovaru, OIB 86821435474</item>
      <item>Općinski sud u Zadru, Zemljišnoknjižni odjel</item>
    </derivirana_varijabla>
  </DomainObject.Predmet.OstaliListFormatedOIB>
  <DomainObject.Predmet.OstaliListFormatedWithAdress>
    <izvorni_sadrzaj>
      <item>Alan Vlatko Ivanišević, Ulica Pavla Hatza 23/6, 10000 Zagreb</item>
      <item>Županijsko državno odvjetništvo u Bjelovaru</item>
      <item>Općinski sud u Zadru, Zemljišnoknjižni odjel, ., 23000 Zadar</item>
    </izvorni_sadrzaj>
    <derivirana_varijabla naziv="DomainObject.Predmet.OstaliListFormatedWithAdress_1">
      <item>Alan Vlatko Ivanišević, Ulica Pavla Hatza 23/6, 10000 Zagreb</item>
      <item>Županijsko državno odvjetništvo u Bjelovaru</item>
      <item>Općinski sud u Zadru, Zemljišnoknjižni odjel, ., 23000 Zadar</item>
    </derivirana_varijabla>
  </DomainObject.Predmet.OstaliListFormatedWithAdress>
  <DomainObject.Predmet.OstaliListFormatedWithAdressOIB>
    <izvorni_sadrzaj>
      <item>Alan Vlatko Ivanišević, OIB 93465924400, Ulica Pavla Hatza 23/6, 10000 Zagreb</item>
      <item>Županijsko državno odvjetništvo u Bjelovaru, OIB 86821435474</item>
      <item>Općinski sud u Zadru, Zemljišnoknjižni odjel, ., 23000 Zadar</item>
    </izvorni_sadrzaj>
    <derivirana_varijabla naziv="DomainObject.Predmet.OstaliListFormatedWithAdressOIB_1">
      <item>Alan Vlatko Ivanišević, OIB 93465924400, Ulica Pavla Hatza 23/6, 10000 Zagreb</item>
      <item>Županijsko državno odvjetništvo u Bjelovaru, OIB 86821435474</item>
      <item>Općinski sud u Zadru, Zemljišnoknjižni odjel, ., 23000 Zadar</item>
    </derivirana_varijabla>
  </DomainObject.Predmet.OstaliListFormatedWithAdressOIB>
  <DomainObject.Predmet.OstaliListNazivFormated>
    <izvorni_sadrzaj>
      <item>Alan Vlatko Ivanišević</item>
      <item>Županijsko državno odvjetništvo u Bjelovaru</item>
      <item>Općinski sud u Zadru, Zemljišnoknjižni odjel</item>
    </izvorni_sadrzaj>
    <derivirana_varijabla naziv="DomainObject.Predmet.OstaliListNazivFormated_1">
      <item>Alan Vlatko Ivanišević</item>
      <item>Županijsko državno odvjetništvo u Bjelovaru</item>
      <item>Općinski sud u Zadru, Zemljišnoknjižni odjel</item>
    </derivirana_varijabla>
  </DomainObject.Predmet.OstaliListNazivFormated>
  <DomainObject.Predmet.OstaliListNazivFormatedOIB>
    <izvorni_sadrzaj>
      <item>Alan Vlatko Ivanišević, OIB 93465924400</item>
      <item>Županijsko državno odvjetništvo u Bjelovaru, OIB 86821435474</item>
      <item>Općinski sud u Zadru, Zemljišnoknjižni odjel</item>
    </izvorni_sadrzaj>
    <derivirana_varijabla naziv="DomainObject.Predmet.OstaliListNazivFormatedOIB_1">
      <item>Alan Vlatko Ivanišević, OIB 93465924400</item>
      <item>Županijsko državno odvjetništvo u Bjelovaru, OIB 86821435474</item>
      <item>Općinski sud u Zadru,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MEDI TORANJ društvo s ograničenom odgovornošću za medicinsku djelatnost, usluge i trgovinu</izvorni_sadrzaj>
    <derivirana_varijabla naziv="DomainObject.Predmet.ProtustrankaIDrugi_1">MEDI TORANJ društvo s ograničenom odgovornošću za medicinsku djelatnost, usluge i trgovinu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MEDI TORANJ društvo s ograničenom odgovornošću za medicinsku djelatnost, usluge i trgovinu, OIB 29683817092, Ksaverska cesta 59, 10000 Zagreb</izvorni_sadrzaj>
    <derivirana_varijabla naziv="DomainObject.Predmet.ProtustrankaIDrugiAdressOIB_1">MEDI TORANJ društvo s ograničenom odgovornošću za medicinsku djelatnost, usluge i trgovinu, OIB 29683817092, Ksaverska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</izvorni_sadrzaj>
    <derivirana_varijabla naziv="DomainObject.Predmet.SudioniciListNaziv_1"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</derivirana_varijabla>
  </DomainObject.Predmet.SudioniciListNaziv>
  <DomainObject.Predmet.SudioniciListAdressOIB>
    <izvorni_sadrzaj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</izvorni_sadrzaj>
    <derivirana_varijabla naziv="DomainObject.Predmet.SudioniciListAdressOIB_1"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29683817092</item>
      <item>, OIB 93465924400</item>
      <item>, OIB 52634238587</item>
      <item>, OIB 86821435474</item>
      <item>, OIB null</item>
    </izvorni_sadrzaj>
    <derivirana_varijabla naziv="DomainObject.Predmet.SudioniciListNazivOIB_1">
      <item>, OIB 29683817092</item>
      <item>, OIB 93465924400</item>
      <item>, OIB 52634238587</item>
      <item>, OIB 86821435474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1478</properties:Words>
  <properties:Characters>9193</properties:Characters>
  <properties:Lines>778</properties:Lines>
  <properties:Paragraphs>86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2017-12-29T12:45:00Z</dcterms:created>
  <dc:creator>Vesna Dragišić</dc:creator>
  <cp:lastModifiedBy>Vesna Dragišić</cp:lastModifiedBy>
  <dcterms:modified xmlns:xsi="http://www.w3.org/2001/XMLSchema-instance" xsi:type="dcterms:W3CDTF">2017-12-29T12:52:00Z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