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6d77" w14:paraId="ace6d77" w:rsidRDefault="00A564EF" w:rsidR="00D02503" w:rsidRPr="00A564EF">
      <w:pPr>
        <w:pStyle w:val="Tijeloteksta2"/>
        <w:shd w:fill="auto" w:color="auto" w:val="clear"/>
        <w:ind w:left="60"/>
        <w15:collapsed w:val="false"/>
        <w:rPr>
          <w:b/>
        </w:rPr>
      </w:pPr>
      <w:bookmarkStart w:name="_GoBack" w:id="0"/>
      <w:bookmarkEnd w:id="0"/>
      <w:r w:rsidRPr="00A564EF">
        <w:rPr>
          <w:b/>
        </w:rPr>
        <w:t>Stečajna masa iza AGROFLORA PAVLOMIR d.o.o. u stečaju</w:t>
      </w:r>
    </w:p>
    <w:p w:rsidRDefault="00A564EF" w:rsidR="00D02503" w:rsidRPr="00A564EF">
      <w:pPr>
        <w:pStyle w:val="Tijeloteksta2"/>
        <w:shd w:fill="auto" w:color="auto" w:val="clear"/>
        <w:ind w:left="60"/>
        <w:rPr>
          <w:b/>
        </w:rPr>
      </w:pPr>
      <w:r w:rsidRPr="00A564EF">
        <w:rPr>
          <w:b/>
        </w:rPr>
        <w:t xml:space="preserve">Zagreb, </w:t>
      </w:r>
      <w:proofErr w:type="spellStart"/>
      <w:r w:rsidRPr="00A564EF">
        <w:rPr>
          <w:b/>
        </w:rPr>
        <w:t>A.Bauera</w:t>
      </w:r>
      <w:proofErr w:type="spellEnd"/>
      <w:r w:rsidRPr="00A564EF">
        <w:rPr>
          <w:b/>
        </w:rPr>
        <w:t xml:space="preserve"> 38</w:t>
      </w:r>
    </w:p>
    <w:p w:rsidRDefault="00A564EF" w:rsidR="00D02503" w:rsidRPr="00A564EF">
      <w:pPr>
        <w:pStyle w:val="Tijeloteksta2"/>
        <w:shd w:fill="auto" w:color="auto" w:val="clear"/>
        <w:ind w:left="60"/>
        <w:rPr>
          <w:b/>
        </w:rPr>
      </w:pPr>
      <w:r w:rsidRPr="00A564EF">
        <w:rPr>
          <w:b/>
        </w:rPr>
        <w:t>OIB:98151061558</w:t>
      </w:r>
    </w:p>
    <w:p w:rsidRDefault="00A564EF" w:rsidP="00A564EF" w:rsidR="00A564EF" w:rsidRPr="00A564EF">
      <w:pPr>
        <w:pStyle w:val="Tijeloteksta2"/>
        <w:shd w:fill="auto" w:color="auto" w:val="clear"/>
        <w:ind w:right="1020" w:left="5664"/>
        <w:jc w:val="center"/>
        <w:rPr>
          <w:b/>
        </w:rPr>
      </w:pPr>
      <w:r w:rsidRPr="00A564EF">
        <w:rPr>
          <w:b/>
          <w:lang w:val="en-US"/>
        </w:rPr>
        <w:t xml:space="preserve">Posl.br. </w:t>
      </w:r>
      <w:r w:rsidRPr="00A564EF">
        <w:rPr>
          <w:b/>
        </w:rPr>
        <w:t xml:space="preserve">St-8645/15 </w:t>
      </w:r>
    </w:p>
    <w:p w:rsidRDefault="00A564EF" w:rsidP="00A564EF" w:rsidR="00D02503" w:rsidRPr="00A564EF">
      <w:pPr>
        <w:pStyle w:val="Tijeloteksta2"/>
        <w:shd w:fill="auto" w:color="auto" w:val="clear"/>
        <w:ind w:right="1020" w:left="5664"/>
        <w:jc w:val="center"/>
        <w:rPr>
          <w:b/>
        </w:rPr>
      </w:pPr>
      <w:r w:rsidRPr="00A564EF">
        <w:rPr>
          <w:b/>
        </w:rPr>
        <w:t>TRGOVAČKI SUD U ZAGREBU</w:t>
      </w:r>
    </w:p>
    <w:p w:rsidRDefault="00A564EF" w:rsidR="00A564EF">
      <w:pPr>
        <w:pStyle w:val="Tijeloteksta2"/>
        <w:shd w:fill="auto" w:color="auto" w:val="clear"/>
        <w:spacing w:lineRule="exact" w:line="180" w:after="84"/>
        <w:ind w:left="200"/>
        <w:jc w:val="center"/>
      </w:pPr>
    </w:p>
    <w:p w:rsidRDefault="00A564EF" w:rsidR="00A564EF">
      <w:pPr>
        <w:pStyle w:val="Tijeloteksta2"/>
        <w:shd w:fill="auto" w:color="auto" w:val="clear"/>
        <w:spacing w:lineRule="exact" w:line="180" w:after="84"/>
        <w:ind w:left="200"/>
        <w:jc w:val="center"/>
      </w:pPr>
    </w:p>
    <w:p w:rsidRDefault="00A564EF" w:rsidR="00D02503" w:rsidRPr="00A564EF">
      <w:pPr>
        <w:pStyle w:val="Tijeloteksta2"/>
        <w:shd w:fill="auto" w:color="auto" w:val="clear"/>
        <w:spacing w:lineRule="exact" w:line="180" w:after="84"/>
        <w:ind w:left="200"/>
        <w:jc w:val="center"/>
        <w:rPr>
          <w:b/>
        </w:rPr>
      </w:pPr>
      <w:r w:rsidRPr="00A564EF">
        <w:rPr>
          <w:b/>
        </w:rPr>
        <w:t>DIOBNI POPIS PRVE NAKNADNE DIOBE</w:t>
      </w:r>
    </w:p>
    <w:p w:rsidRDefault="00A564EF" w:rsidR="00D02503" w:rsidRPr="00A564EF">
      <w:pPr>
        <w:pStyle w:val="Tijeloteksta2"/>
        <w:shd w:fill="auto" w:color="auto" w:val="clear"/>
        <w:spacing w:lineRule="exact" w:line="180" w:after="264"/>
        <w:ind w:left="60"/>
        <w:rPr>
          <w:b/>
        </w:rPr>
      </w:pPr>
      <w:r w:rsidRPr="00A564EF">
        <w:rPr>
          <w:b/>
        </w:rPr>
        <w:t>II ISPLATNI RED</w:t>
      </w:r>
    </w:p>
    <w:tbl>
      <w:tblPr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19"/>
        <w:gridCol w:w="3557"/>
        <w:gridCol w:w="1603"/>
        <w:gridCol w:w="1728"/>
        <w:gridCol w:w="1810"/>
      </w:tblGrid>
      <w:tr w:rsidTr="00A564EF" w:rsidR="00D02503">
        <w:trPr>
          <w:trHeight w:hRule="exact" w:val="936"/>
          <w:jc w:val="center"/>
        </w:trPr>
        <w:tc>
          <w:tcPr>
            <w:tcW w:type="dxa" w:w="619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260"/>
              <w:jc w:val="left"/>
              <w:rPr>
                <w:rStyle w:val="Tijeloteksta1"/>
              </w:rPr>
            </w:pPr>
            <w:r>
              <w:rPr>
                <w:rStyle w:val="Tijeloteksta1"/>
              </w:rPr>
              <w:t xml:space="preserve">  </w:t>
            </w: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260"/>
              <w:jc w:val="left"/>
            </w:pPr>
            <w:proofErr w:type="spellStart"/>
            <w:r>
              <w:rPr>
                <w:rStyle w:val="Tijeloteksta1"/>
              </w:rPr>
              <w:t>R.b</w:t>
            </w:r>
            <w:proofErr w:type="spellEnd"/>
            <w:r>
              <w:rPr>
                <w:rStyle w:val="Tijeloteksta1"/>
              </w:rPr>
              <w:t>.</w:t>
            </w:r>
          </w:p>
        </w:tc>
        <w:tc>
          <w:tcPr>
            <w:tcW w:type="dxa" w:w="3557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</w:pPr>
            <w:r>
              <w:rPr>
                <w:rStyle w:val="Tijeloteksta1"/>
              </w:rPr>
              <w:t>VJEROVNIK</w:t>
            </w:r>
          </w:p>
        </w:tc>
        <w:tc>
          <w:tcPr>
            <w:tcW w:type="dxa" w:w="1603"/>
            <w:shd w:fill="FFFFFF" w:color="auto" w:val="clear"/>
          </w:tcPr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50"/>
              <w:jc w:val="center"/>
            </w:pPr>
            <w:r>
              <w:rPr>
                <w:rStyle w:val="Tijeloteksta1"/>
              </w:rPr>
              <w:t>Iznos</w:t>
            </w: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50"/>
              <w:jc w:val="center"/>
            </w:pPr>
            <w:r>
              <w:rPr>
                <w:rStyle w:val="Tijeloteksta1"/>
              </w:rPr>
              <w:t>utvrđene</w:t>
            </w: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50"/>
              <w:jc w:val="center"/>
            </w:pPr>
            <w:r>
              <w:rPr>
                <w:rStyle w:val="Tijeloteksta1"/>
              </w:rPr>
              <w:t>tražbine</w:t>
            </w:r>
          </w:p>
        </w:tc>
        <w:tc>
          <w:tcPr>
            <w:tcW w:type="dxa" w:w="1728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50"/>
              <w:ind w:left="480"/>
              <w:jc w:val="left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50"/>
              <w:ind w:left="480"/>
              <w:jc w:val="left"/>
            </w:pPr>
            <w:r>
              <w:rPr>
                <w:rStyle w:val="Tijeloteksta1"/>
              </w:rPr>
              <w:t>Iznos za namirenje</w:t>
            </w:r>
          </w:p>
        </w:tc>
        <w:tc>
          <w:tcPr>
            <w:tcW w:type="dxa" w:w="1810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 w:after="60"/>
              <w:jc w:val="center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 w:after="60"/>
              <w:jc w:val="center"/>
            </w:pPr>
            <w:r>
              <w:rPr>
                <w:rStyle w:val="Tijeloteksta1"/>
              </w:rPr>
              <w:t>Nenamiren</w:t>
            </w: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 w:before="60"/>
              <w:jc w:val="center"/>
            </w:pPr>
            <w:r>
              <w:rPr>
                <w:rStyle w:val="Tijeloteksta1"/>
              </w:rPr>
              <w:t>iznos</w:t>
            </w:r>
          </w:p>
        </w:tc>
      </w:tr>
      <w:tr w:rsidTr="00A564EF" w:rsidR="00D02503">
        <w:trPr>
          <w:trHeight w:hRule="exact" w:val="1488"/>
          <w:jc w:val="center"/>
        </w:trPr>
        <w:tc>
          <w:tcPr>
            <w:tcW w:type="dxa" w:w="619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260"/>
              <w:jc w:val="left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260"/>
              <w:jc w:val="left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260"/>
              <w:jc w:val="left"/>
            </w:pPr>
            <w:r>
              <w:rPr>
                <w:rStyle w:val="Tijeloteksta1"/>
              </w:rPr>
              <w:t>1.</w:t>
            </w:r>
          </w:p>
        </w:tc>
        <w:tc>
          <w:tcPr>
            <w:tcW w:type="dxa" w:w="3557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30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30"/>
              <w:rPr>
                <w:rStyle w:val="Tijeloteksta1"/>
              </w:rPr>
            </w:pPr>
            <w:r>
              <w:rPr>
                <w:rStyle w:val="Tijeloteksta1"/>
              </w:rPr>
              <w:t xml:space="preserve">Republika Hrvatska, Ministarstvo financija, Porezna uprava, Područni </w:t>
            </w: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30"/>
            </w:pPr>
            <w:r>
              <w:rPr>
                <w:rStyle w:val="Tijeloteksta1"/>
              </w:rPr>
              <w:t>ured Zagreb</w:t>
            </w: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30"/>
              <w:rPr>
                <w:rStyle w:val="Tijeloteksta1"/>
              </w:rPr>
            </w:pPr>
            <w:r>
              <w:rPr>
                <w:rStyle w:val="Tijeloteksta1"/>
              </w:rPr>
              <w:t xml:space="preserve">OIB:18683136487, zastupano po </w:t>
            </w: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30"/>
            </w:pPr>
            <w:r>
              <w:rPr>
                <w:rStyle w:val="Tijeloteksta1"/>
              </w:rPr>
              <w:t>ŽDO u Zagrebu</w:t>
            </w:r>
          </w:p>
        </w:tc>
        <w:tc>
          <w:tcPr>
            <w:tcW w:type="dxa" w:w="1603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</w:pPr>
            <w:r>
              <w:rPr>
                <w:rStyle w:val="Tijeloteksta1"/>
              </w:rPr>
              <w:t>581.871,53</w:t>
            </w:r>
          </w:p>
        </w:tc>
        <w:tc>
          <w:tcPr>
            <w:tcW w:type="dxa" w:w="1728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480"/>
              <w:jc w:val="left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480"/>
              <w:jc w:val="left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480"/>
              <w:jc w:val="left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480"/>
              <w:jc w:val="left"/>
            </w:pPr>
            <w:r>
              <w:rPr>
                <w:rStyle w:val="Tijeloteksta1"/>
              </w:rPr>
              <w:t>11.511,87</w:t>
            </w:r>
          </w:p>
        </w:tc>
        <w:tc>
          <w:tcPr>
            <w:tcW w:type="dxa" w:w="1810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</w:pPr>
            <w:r>
              <w:rPr>
                <w:rStyle w:val="Tijeloteksta1"/>
              </w:rPr>
              <w:t>570.359,66</w:t>
            </w:r>
          </w:p>
        </w:tc>
      </w:tr>
      <w:tr w:rsidTr="00A564EF" w:rsidR="00D02503">
        <w:trPr>
          <w:trHeight w:hRule="exact" w:val="1334"/>
          <w:jc w:val="center"/>
        </w:trPr>
        <w:tc>
          <w:tcPr>
            <w:tcW w:type="dxa" w:w="619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260"/>
              <w:jc w:val="left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260"/>
              <w:jc w:val="left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260"/>
              <w:jc w:val="left"/>
            </w:pPr>
            <w:r>
              <w:rPr>
                <w:rStyle w:val="Tijeloteksta1"/>
              </w:rPr>
              <w:t>2.</w:t>
            </w:r>
          </w:p>
        </w:tc>
        <w:tc>
          <w:tcPr>
            <w:tcW w:type="dxa" w:w="3557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26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26"/>
              <w:rPr>
                <w:rStyle w:val="Tijeloteksta1"/>
              </w:rPr>
            </w:pPr>
            <w:r>
              <w:rPr>
                <w:rStyle w:val="Tijeloteksta1"/>
              </w:rPr>
              <w:t>HRVATSKI TELEKOM, Roberta</w:t>
            </w: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26"/>
              <w:rPr>
                <w:rStyle w:val="Tijeloteksta1"/>
              </w:rPr>
            </w:pPr>
            <w:r>
              <w:rPr>
                <w:rStyle w:val="Tijeloteksta1"/>
              </w:rPr>
              <w:t xml:space="preserve">Frangeša </w:t>
            </w:r>
            <w:proofErr w:type="spellStart"/>
            <w:r>
              <w:rPr>
                <w:rStyle w:val="Tijeloteksta1"/>
              </w:rPr>
              <w:t>Mihanoviča</w:t>
            </w:r>
            <w:proofErr w:type="spellEnd"/>
            <w:r>
              <w:rPr>
                <w:rStyle w:val="Tijeloteksta1"/>
              </w:rPr>
              <w:t xml:space="preserve"> 9, Zagreb</w:t>
            </w: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26"/>
            </w:pPr>
            <w:r>
              <w:rPr>
                <w:rStyle w:val="Tijeloteksta1"/>
              </w:rPr>
              <w:t xml:space="preserve"> 0!B:81793146560</w:t>
            </w:r>
          </w:p>
        </w:tc>
        <w:tc>
          <w:tcPr>
            <w:tcW w:type="dxa" w:w="1603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</w:pPr>
            <w:r>
              <w:rPr>
                <w:rStyle w:val="Tijeloteksta1"/>
              </w:rPr>
              <w:t>16.783,77</w:t>
            </w:r>
          </w:p>
        </w:tc>
        <w:tc>
          <w:tcPr>
            <w:tcW w:type="dxa" w:w="1728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480"/>
              <w:jc w:val="left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480"/>
              <w:jc w:val="left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480"/>
              <w:jc w:val="left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480"/>
              <w:jc w:val="left"/>
            </w:pPr>
            <w:r>
              <w:rPr>
                <w:rStyle w:val="Tijeloteksta1"/>
              </w:rPr>
              <w:t>333,16</w:t>
            </w:r>
          </w:p>
        </w:tc>
        <w:tc>
          <w:tcPr>
            <w:tcW w:type="dxa" w:w="1810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</w:pPr>
            <w:r>
              <w:rPr>
                <w:rStyle w:val="Tijeloteksta1"/>
              </w:rPr>
              <w:t>16.450,61</w:t>
            </w:r>
          </w:p>
        </w:tc>
      </w:tr>
      <w:tr w:rsidTr="00A564EF" w:rsidR="00D02503">
        <w:trPr>
          <w:trHeight w:hRule="exact" w:val="1104"/>
          <w:jc w:val="center"/>
        </w:trPr>
        <w:tc>
          <w:tcPr>
            <w:tcW w:type="dxa" w:w="619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260"/>
              <w:jc w:val="left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260"/>
              <w:jc w:val="left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260"/>
              <w:jc w:val="left"/>
            </w:pPr>
            <w:r>
              <w:rPr>
                <w:rStyle w:val="Tijeloteksta1"/>
              </w:rPr>
              <w:t>3.</w:t>
            </w:r>
          </w:p>
        </w:tc>
        <w:tc>
          <w:tcPr>
            <w:tcW w:type="dxa" w:w="3557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45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45"/>
              <w:rPr>
                <w:rStyle w:val="Tijeloteksta1"/>
              </w:rPr>
            </w:pPr>
            <w:r>
              <w:rPr>
                <w:rStyle w:val="Tijeloteksta1"/>
              </w:rPr>
              <w:t>LOCAT CROATIA d.o.o., Damira</w:t>
            </w: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45"/>
              <w:rPr>
                <w:rStyle w:val="Tijeloteksta1"/>
              </w:rPr>
            </w:pPr>
            <w:r>
              <w:rPr>
                <w:rStyle w:val="Tijeloteksta1"/>
              </w:rPr>
              <w:t>Tomljanovića Gavrana, Zagreb</w:t>
            </w: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245"/>
            </w:pPr>
            <w:r>
              <w:rPr>
                <w:rStyle w:val="Tijeloteksta1"/>
              </w:rPr>
              <w:t xml:space="preserve"> 0!B:34403322678</w:t>
            </w:r>
          </w:p>
        </w:tc>
        <w:tc>
          <w:tcPr>
            <w:tcW w:type="dxa" w:w="1603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</w:pPr>
            <w:r>
              <w:rPr>
                <w:rStyle w:val="Tijeloteksta1"/>
              </w:rPr>
              <w:t>41.784,75</w:t>
            </w:r>
          </w:p>
        </w:tc>
        <w:tc>
          <w:tcPr>
            <w:tcW w:type="dxa" w:w="1728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480"/>
              <w:jc w:val="left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480"/>
              <w:jc w:val="left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480"/>
              <w:jc w:val="left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480"/>
              <w:jc w:val="left"/>
            </w:pPr>
            <w:r>
              <w:rPr>
                <w:rStyle w:val="Tijeloteksta1"/>
              </w:rPr>
              <w:t>826,16</w:t>
            </w:r>
          </w:p>
        </w:tc>
        <w:tc>
          <w:tcPr>
            <w:tcW w:type="dxa" w:w="1810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</w:pPr>
            <w:r>
              <w:rPr>
                <w:rStyle w:val="Tijeloteksta1"/>
              </w:rPr>
              <w:t>40.958,59</w:t>
            </w:r>
          </w:p>
        </w:tc>
      </w:tr>
      <w:tr w:rsidTr="00A564EF" w:rsidR="00D02503">
        <w:trPr>
          <w:trHeight w:hRule="exact" w:val="1238"/>
          <w:jc w:val="center"/>
        </w:trPr>
        <w:tc>
          <w:tcPr>
            <w:tcW w:type="dxa" w:w="619"/>
            <w:shd w:fill="FFFFFF" w:color="auto" w:val="clear"/>
          </w:tcPr>
          <w:p w:rsidRDefault="00D02503" w:rsidR="00D02503">
            <w:pPr>
              <w:framePr w:y="1" w:xAlign="center" w:vAnchor="text" w:hAnchor="text" w:wrap="notBeside" w:w="9317"/>
              <w:rPr>
                <w:sz w:val="10"/>
                <w:szCs w:val="10"/>
              </w:rPr>
            </w:pPr>
          </w:p>
        </w:tc>
        <w:tc>
          <w:tcPr>
            <w:tcW w:type="dxa" w:w="3557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</w:pPr>
            <w:r>
              <w:rPr>
                <w:rStyle w:val="Tijeloteksta1"/>
              </w:rPr>
              <w:t>Ukupno:</w:t>
            </w:r>
          </w:p>
        </w:tc>
        <w:tc>
          <w:tcPr>
            <w:tcW w:type="dxa" w:w="1603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</w:pPr>
            <w:r>
              <w:rPr>
                <w:rStyle w:val="Tijeloteksta1"/>
              </w:rPr>
              <w:t>640.440,05</w:t>
            </w:r>
          </w:p>
        </w:tc>
        <w:tc>
          <w:tcPr>
            <w:tcW w:type="dxa" w:w="1728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480"/>
              <w:jc w:val="left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480"/>
              <w:jc w:val="left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ind w:left="480"/>
              <w:jc w:val="left"/>
            </w:pPr>
            <w:r>
              <w:rPr>
                <w:rStyle w:val="Tijeloteksta1"/>
              </w:rPr>
              <w:t>12.671,19</w:t>
            </w:r>
          </w:p>
        </w:tc>
        <w:tc>
          <w:tcPr>
            <w:tcW w:type="dxa" w:w="1810"/>
            <w:shd w:fill="FFFFFF" w:color="auto" w:val="clear"/>
          </w:tcPr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A564EF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  <w:rPr>
                <w:rStyle w:val="Tijeloteksta1"/>
              </w:rPr>
            </w:pPr>
          </w:p>
          <w:p w:rsidRDefault="00A564EF" w:rsidR="00D02503">
            <w:pPr>
              <w:pStyle w:val="Tijeloteksta2"/>
              <w:framePr w:y="1" w:xAlign="center" w:vAnchor="text" w:hAnchor="text" w:wrap="notBeside" w:w="9317"/>
              <w:shd w:fill="auto" w:color="auto" w:val="clear"/>
              <w:spacing w:lineRule="exact" w:line="180"/>
              <w:jc w:val="center"/>
            </w:pPr>
            <w:r>
              <w:rPr>
                <w:rStyle w:val="Tijeloteksta1"/>
              </w:rPr>
              <w:t>627.768,86</w:t>
            </w:r>
          </w:p>
        </w:tc>
      </w:tr>
    </w:tbl>
    <w:p w:rsidRDefault="00D02503" w:rsidR="00D02503">
      <w:pPr>
        <w:rPr>
          <w:sz w:val="2"/>
          <w:szCs w:val="2"/>
        </w:rPr>
      </w:pPr>
    </w:p>
    <w:p w:rsidRDefault="00A564EF" w:rsidR="00A564EF">
      <w:pPr>
        <w:pStyle w:val="Tijeloteksta2"/>
        <w:shd w:fill="auto" w:color="auto" w:val="clear"/>
        <w:spacing w:lineRule="exact" w:line="226" w:before="439"/>
        <w:ind w:left="60"/>
      </w:pPr>
    </w:p>
    <w:p w:rsidRDefault="00A564EF" w:rsidR="00D02503">
      <w:pPr>
        <w:pStyle w:val="Tijeloteksta2"/>
        <w:shd w:fill="auto" w:color="auto" w:val="clear"/>
        <w:spacing w:lineRule="exact" w:line="226" w:before="439"/>
        <w:ind w:left="60"/>
      </w:pPr>
      <w:r>
        <w:t>Uputa o pravnom lijeku:</w:t>
      </w:r>
    </w:p>
    <w:p w:rsidRDefault="00A564EF" w:rsidP="00A564EF" w:rsidR="00A564EF">
      <w:pPr>
        <w:pStyle w:val="Picturecaption0"/>
        <w:framePr w:y="1625" w:x="5820" w:vAnchor="text" w:hAnchor="page" w:wrap="notBeside" w:hSpace="1291" w:h="1006" w:w="4608"/>
        <w:shd w:fill="auto" w:color="auto" w:val="clear"/>
        <w:spacing w:lineRule="exact" w:line="180"/>
      </w:pPr>
      <w:r>
        <w:t xml:space="preserve">                                                    Stečajni upravitelj:</w:t>
      </w:r>
    </w:p>
    <w:p w:rsidRDefault="00A564EF" w:rsidP="00A564EF" w:rsidR="00A564EF">
      <w:pPr>
        <w:framePr w:y="1625" w:x="5820" w:vAnchor="text" w:hAnchor="page" w:wrap="notBeside" w:hSpace="1291" w:h="1006" w:w="4608"/>
        <w:jc w:val="center"/>
        <w:rPr>
          <w:sz w:val="2"/>
          <w:szCs w:val="2"/>
        </w:rPr>
      </w:pPr>
      <w:r>
        <w:rPr>
          <w:noProof/>
        </w:rPr>
        <w:drawing>
          <wp:inline distR="0" distL="0" distB="0" distT="0">
            <wp:extent cy="762000" cx="2657475"/>
            <wp:effectExtent b="0" r="9525" t="0" l="0"/>
            <wp:docPr descr="C:\Users\User\AppData\Local\Temp\FineReader11\media\image1.jpeg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User\AppData\Local\Temp\FineReader11\media\image1.jpeg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EF" w:rsidR="00D02503">
      <w:pPr>
        <w:pStyle w:val="Tijeloteksta2"/>
        <w:shd w:fill="auto" w:color="auto" w:val="clear"/>
        <w:spacing w:lineRule="exact" w:line="226" w:after="157"/>
        <w:ind w:right="220" w:left="60"/>
      </w:pPr>
      <w:r>
        <w:t>Sudionici stečajnog postupka, uvid u diobni popis mogu izvršiti u pisarnici suda i podnijeti prigovor na isti u roku od 8 dana, a rok počinje teći istekom petnaest dana od objave oglasa na e-oglasnoj ploči Trgovačkog suda u Zagrebu.</w:t>
      </w:r>
    </w:p>
    <w:p w:rsidRDefault="00A564EF" w:rsidR="00D02503">
      <w:pPr>
        <w:pStyle w:val="Tijeloteksta2"/>
        <w:shd w:fill="auto" w:color="auto" w:val="clear"/>
        <w:spacing w:lineRule="exact" w:line="180" w:after="804"/>
        <w:ind w:left="60"/>
      </w:pPr>
      <w:r>
        <w:t>U Zagrebu, 28.01.2019.</w:t>
      </w:r>
    </w:p>
    <w:p w:rsidRDefault="00D02503" w:rsidR="00D02503">
      <w:pPr>
        <w:rPr>
          <w:sz w:val="2"/>
          <w:szCs w:val="2"/>
        </w:rPr>
      </w:pPr>
    </w:p>
    <w:p w:rsidRDefault="00D02503" w:rsidR="00D02503">
      <w:pPr>
        <w:rPr>
          <w:sz w:val="2"/>
          <w:szCs w:val="2"/>
        </w:rPr>
      </w:pPr>
    </w:p>
    <w:sectPr w:rsidR="00D02503">
      <w:type w:val="continuous"/>
      <w:pgSz w:h="16838" w:w="11909"/>
      <w:pgMar w:gutter="0" w:footer="3" w:header="0" w:left="1195" w:bottom="1539" w:right="1185" w:top="1573"/>
      <w:cols w:space="720"/>
      <w:noEndnote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4EF" w:rsidR="00A564EF">
      <w:r>
        <w:separator/>
      </w:r>
    </w:p>
  </w:endnote>
  <w:endnote w:id="0" w:type="continuationSeparator">
    <w:p w:rsidRDefault="00A564EF" w:rsidR="00A56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4EF" w:rsidR="00A564EF"/>
  </w:footnote>
  <w:footnote w:id="0" w:type="continuationSeparator">
    <w:p w:rsidRDefault="00A564EF" w:rsidR="00A564EF"/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2503"/>
    <w:rsid w:val="00A564EF"/>
    <w:rsid w:val="00CF5491"/>
    <w:rsid w:val="00D0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Courier New" w:eastAsia="Courier New" w:hAnsi="Courier New" w:ascii="Courier New"/>
        <w:sz w:val="24"/>
        <w:szCs w:val="24"/>
        <w:lang w:bidi="ar-SA" w:eastAsia="hr-HR" w:val="hr-HR"/>
      </w:rPr>
    </w:rPrDefault>
    <w:pPrDefault>
      <w:pPr>
        <w:widowControl w:val="fals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Pr>
      <w:color w:val="0066CC"/>
      <w:u w:val="single"/>
    </w:rPr>
  </w:style>
  <w:style w:customStyle="true" w:styleId="Bodytext" w:type="character">
    <w:name w:val="Body text_"/>
    <w:basedOn w:val="Zadanifontodlomka"/>
    <w:link w:val="Tijeloteksta2"/>
    <w:rPr>
      <w:rFonts w:cs="Arial Unicode MS" w:eastAsia="Arial Unicode MS" w:hAnsi="Arial Unicode MS" w:ascii="Arial Unicode MS"/>
      <w:b w:val="false"/>
      <w:bCs w:val="false"/>
      <w:i w:val="false"/>
      <w:iCs w:val="false"/>
      <w:smallCaps w:val="false"/>
      <w:strike w:val="false"/>
      <w:sz w:val="18"/>
      <w:szCs w:val="18"/>
      <w:u w:val="none"/>
    </w:rPr>
  </w:style>
  <w:style w:customStyle="true" w:styleId="Tijeloteksta1" w:type="character">
    <w:name w:val="Tijelo teksta1"/>
    <w:basedOn w:val="Bodytext"/>
    <w:rPr>
      <w:rFonts w:cs="Arial Unicode MS" w:eastAsia="Arial Unicode MS" w:hAnsi="Arial Unicode MS" w:ascii="Arial Unicode MS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18"/>
      <w:szCs w:val="18"/>
      <w:u w:val="none"/>
      <w:lang w:val="hr-HR"/>
    </w:rPr>
  </w:style>
  <w:style w:customStyle="true" w:styleId="Picturecaption" w:type="character">
    <w:name w:val="Picture caption_"/>
    <w:basedOn w:val="Zadanifontodlomka"/>
    <w:link w:val="Picturecaption0"/>
    <w:rPr>
      <w:rFonts w:cs="Arial Unicode MS" w:eastAsia="Arial Unicode MS" w:hAnsi="Arial Unicode MS" w:ascii="Arial Unicode MS"/>
      <w:b w:val="false"/>
      <w:bCs w:val="false"/>
      <w:i w:val="false"/>
      <w:iCs w:val="false"/>
      <w:smallCaps w:val="false"/>
      <w:strike w:val="false"/>
      <w:sz w:val="18"/>
      <w:szCs w:val="18"/>
      <w:u w:val="none"/>
    </w:rPr>
  </w:style>
  <w:style w:customStyle="true" w:styleId="Tijeloteksta2" w:type="paragraph">
    <w:name w:val="Tijelo teksta2"/>
    <w:basedOn w:val="Normal"/>
    <w:link w:val="Bodytext"/>
    <w:pPr>
      <w:shd w:fill="FFFFFF" w:color="auto" w:val="clear"/>
      <w:spacing w:lineRule="exact" w:line="350"/>
      <w:jc w:val="both"/>
    </w:pPr>
    <w:rPr>
      <w:rFonts w:cs="Arial Unicode MS" w:eastAsia="Arial Unicode MS" w:hAnsi="Arial Unicode MS" w:ascii="Arial Unicode MS"/>
      <w:sz w:val="18"/>
      <w:szCs w:val="18"/>
    </w:rPr>
  </w:style>
  <w:style w:customStyle="true" w:styleId="Picturecaption0" w:type="paragraph">
    <w:name w:val="Picture caption"/>
    <w:basedOn w:val="Normal"/>
    <w:link w:val="Picturecaption"/>
    <w:pPr>
      <w:shd w:fill="FFFFFF" w:color="auto" w:val="clear"/>
      <w:spacing w:lineRule="atLeast" w:line="0"/>
    </w:pPr>
    <w:rPr>
      <w:rFonts w:cs="Arial Unicode MS" w:eastAsia="Arial Unicode MS" w:hAnsi="Arial Unicode MS" w:ascii="Arial Unicode MS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54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491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4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4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4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4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ourier New" w:cs="Courier New" w:eastAsia="Courier New" w:hAnsi="Courier New"/>
        <w:sz w:val="24"/>
        <w:szCs w:val="24"/>
        <w:lang w:bidi="ar-SA" w:eastAsia="hr-HR" w:val="hr-HR"/>
      </w:rPr>
    </w:rPrDefault>
    <w:pPrDefault>
      <w:pPr>
        <w:widowControl w:val="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Pr>
      <w:color w:val="0066CC"/>
      <w:u w:val="single"/>
    </w:rPr>
  </w:style>
  <w:style w:customStyle="1" w:styleId="Bodytext" w:type="character">
    <w:name w:val="Body text_"/>
    <w:basedOn w:val="Zadanifontodlomka"/>
    <w:link w:val="Tijeloteksta2"/>
    <w:rPr>
      <w:rFonts w:ascii="Arial Unicode MS" w:cs="Arial Unicode MS" w:eastAsia="Arial Unicode MS" w:hAnsi="Arial Unicode MS"/>
      <w:b w:val="0"/>
      <w:bCs w:val="0"/>
      <w:i w:val="0"/>
      <w:iCs w:val="0"/>
      <w:smallCaps w:val="0"/>
      <w:strike w:val="0"/>
      <w:sz w:val="18"/>
      <w:szCs w:val="18"/>
      <w:u w:val="none"/>
    </w:rPr>
  </w:style>
  <w:style w:customStyle="1" w:styleId="Tijeloteksta1" w:type="character">
    <w:name w:val="Tijelo teksta1"/>
    <w:basedOn w:val="Bodytext"/>
    <w:rPr>
      <w:rFonts w:ascii="Arial Unicode MS" w:cs="Arial Unicode MS" w:eastAsia="Arial Unicode MS" w:hAnsi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hr-HR"/>
    </w:rPr>
  </w:style>
  <w:style w:customStyle="1" w:styleId="Picturecaption" w:type="character">
    <w:name w:val="Picture caption_"/>
    <w:basedOn w:val="Zadanifontodlomka"/>
    <w:link w:val="Picturecaption0"/>
    <w:rPr>
      <w:rFonts w:ascii="Arial Unicode MS" w:cs="Arial Unicode MS" w:eastAsia="Arial Unicode MS" w:hAnsi="Arial Unicode MS"/>
      <w:b w:val="0"/>
      <w:bCs w:val="0"/>
      <w:i w:val="0"/>
      <w:iCs w:val="0"/>
      <w:smallCaps w:val="0"/>
      <w:strike w:val="0"/>
      <w:sz w:val="18"/>
      <w:szCs w:val="18"/>
      <w:u w:val="none"/>
    </w:rPr>
  </w:style>
  <w:style w:customStyle="1" w:styleId="Tijeloteksta2" w:type="paragraph">
    <w:name w:val="Tijelo teksta2"/>
    <w:basedOn w:val="Normal"/>
    <w:link w:val="Bodytext"/>
    <w:pPr>
      <w:shd w:color="auto" w:fill="FFFFFF" w:val="clear"/>
      <w:spacing w:line="350" w:lineRule="exact"/>
      <w:jc w:val="both"/>
    </w:pPr>
    <w:rPr>
      <w:rFonts w:ascii="Arial Unicode MS" w:cs="Arial Unicode MS" w:eastAsia="Arial Unicode MS" w:hAnsi="Arial Unicode MS"/>
      <w:sz w:val="18"/>
      <w:szCs w:val="18"/>
    </w:rPr>
  </w:style>
  <w:style w:customStyle="1" w:styleId="Picturecaption0" w:type="paragraph">
    <w:name w:val="Picture caption"/>
    <w:basedOn w:val="Normal"/>
    <w:link w:val="Picturecaption"/>
    <w:pPr>
      <w:shd w:color="auto" w:fill="FFFFFF" w:val="clear"/>
      <w:spacing w:line="0" w:lineRule="atLeast"/>
    </w:pPr>
    <w:rPr>
      <w:rFonts w:ascii="Arial Unicode MS" w:cs="Arial Unicode MS" w:eastAsia="Arial Unicode MS" w:hAnsi="Arial Unicode MS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54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491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4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4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4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4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1</properties:Pages>
  <properties:Words>131</properties:Words>
  <properties:Characters>833</properties:Characters>
  <properties:Lines>103</properties:Lines>
  <properties:Paragraphs>45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2019-02-05T09:04:00Z</dcterms:created>
  <dc:creator>User</dc:creator>
  <cp:lastModifiedBy>Monika Grbac</cp:lastModifiedBy>
  <cp:lastPrinted>2019-02-05T09:11:00Z</cp:lastPrinted>
  <dcterms:modified xmlns:xsi="http://www.w3.org/2001/XMLSchema-instance" xsi:type="dcterms:W3CDTF">2019-02-05T10:35:00Z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St-8645/2015-19 / Podnesak - Podnesak (DIOBNI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