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dd61" w14:paraId="ca4dd61" w:rsidRDefault="00DB3267" w:rsidP="00692B30" w:rsidR="00DB3267" w:rsidRPr="000D2D04">
      <w:pPr>
        <w15:collapsed w:val="false"/>
        <w:rPr>
          <w:b/>
          <w:bCs/>
        </w:rPr>
      </w:pPr>
      <w:bookmarkStart w:name="_GoBack" w:id="0"/>
      <w:bookmarkEnd w:id="0"/>
      <w:r w:rsidRPr="000D2D04">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0D2D04">
      <w:pPr>
        <w:jc w:val="both"/>
        <w:rPr>
          <w:b/>
        </w:rPr>
      </w:pPr>
      <w:r w:rsidRPr="000D2D04">
        <w:rPr>
          <w:b/>
        </w:rPr>
        <w:t>REPUBLIKA HRVATSKA</w:t>
      </w:r>
    </w:p>
    <w:p w:rsidRDefault="00D16BE3" w:rsidP="00D16BE3" w:rsidR="00D16BE3" w:rsidRPr="000D2D04">
      <w:pPr>
        <w:jc w:val="both"/>
        <w:rPr>
          <w:b/>
        </w:rPr>
      </w:pPr>
      <w:r w:rsidRPr="000D2D04">
        <w:rPr>
          <w:b/>
        </w:rPr>
        <w:t>TRGOVAČKI SUD U SPLITU</w:t>
      </w:r>
    </w:p>
    <w:p w:rsidRDefault="00D16BE3" w:rsidP="00D16BE3" w:rsidR="00D16BE3" w:rsidRPr="000D2D04">
      <w:pPr>
        <w:jc w:val="both"/>
        <w:rPr>
          <w:b/>
        </w:rPr>
      </w:pPr>
      <w:r w:rsidRPr="000D2D04">
        <w:rPr>
          <w:b/>
        </w:rPr>
        <w:t>STALNA SLUŽBA U DUBROVNIKU</w:t>
      </w:r>
    </w:p>
    <w:p w:rsidRDefault="00D16BE3" w:rsidP="00D16BE3" w:rsidR="00D16BE3" w:rsidRPr="000D2D04">
      <w:pPr>
        <w:jc w:val="both"/>
        <w:rPr>
          <w:b/>
        </w:rPr>
      </w:pPr>
      <w:r w:rsidRPr="000D2D04">
        <w:rPr>
          <w:b/>
        </w:rPr>
        <w:t>Dubrovnik, Dr. Ante Starčevića 23</w:t>
      </w:r>
    </w:p>
    <w:p w:rsidRDefault="00692B30" w:rsidP="00D16BE3" w:rsidR="00692B30" w:rsidRPr="000D2D04">
      <w:pPr>
        <w:jc w:val="both"/>
        <w:rPr>
          <w:b/>
        </w:rPr>
      </w:pPr>
    </w:p>
    <w:p w:rsidRDefault="00D16BE3" w:rsidP="00692B30" w:rsidR="00692B30">
      <w:pPr>
        <w:jc w:val="center"/>
        <w:rPr>
          <w:b/>
        </w:rPr>
      </w:pPr>
      <w:r w:rsidRPr="000D2D04">
        <w:rPr>
          <w:b/>
        </w:rPr>
        <w:t>R</w:t>
      </w:r>
      <w:r w:rsidR="005C4487">
        <w:rPr>
          <w:b/>
        </w:rPr>
        <w:t xml:space="preserve"> </w:t>
      </w:r>
      <w:r w:rsidRPr="000D2D04">
        <w:rPr>
          <w:b/>
        </w:rPr>
        <w:t>E</w:t>
      </w:r>
      <w:r w:rsidR="005C4487">
        <w:rPr>
          <w:b/>
        </w:rPr>
        <w:t xml:space="preserve"> </w:t>
      </w:r>
      <w:r w:rsidRPr="000D2D04">
        <w:rPr>
          <w:b/>
        </w:rPr>
        <w:t>P</w:t>
      </w:r>
      <w:r w:rsidR="005C4487">
        <w:rPr>
          <w:b/>
        </w:rPr>
        <w:t xml:space="preserve"> </w:t>
      </w:r>
      <w:r w:rsidRPr="000D2D04">
        <w:rPr>
          <w:b/>
        </w:rPr>
        <w:t>U</w:t>
      </w:r>
      <w:r w:rsidR="005C4487">
        <w:rPr>
          <w:b/>
        </w:rPr>
        <w:t xml:space="preserve"> </w:t>
      </w:r>
      <w:r w:rsidRPr="000D2D04">
        <w:rPr>
          <w:b/>
        </w:rPr>
        <w:t>B</w:t>
      </w:r>
      <w:r w:rsidR="005C4487">
        <w:rPr>
          <w:b/>
        </w:rPr>
        <w:t xml:space="preserve"> </w:t>
      </w:r>
      <w:r w:rsidRPr="000D2D04">
        <w:rPr>
          <w:b/>
        </w:rPr>
        <w:t>L</w:t>
      </w:r>
      <w:r w:rsidR="005C4487">
        <w:rPr>
          <w:b/>
        </w:rPr>
        <w:t xml:space="preserve"> </w:t>
      </w:r>
      <w:r w:rsidRPr="000D2D04">
        <w:rPr>
          <w:b/>
        </w:rPr>
        <w:t>I</w:t>
      </w:r>
      <w:r w:rsidR="005C4487">
        <w:rPr>
          <w:b/>
        </w:rPr>
        <w:t xml:space="preserve"> </w:t>
      </w:r>
      <w:r w:rsidRPr="000D2D04">
        <w:rPr>
          <w:b/>
        </w:rPr>
        <w:t>K</w:t>
      </w:r>
      <w:r w:rsidR="005C4487">
        <w:rPr>
          <w:b/>
        </w:rPr>
        <w:t xml:space="preserve"> </w:t>
      </w:r>
      <w:r w:rsidRPr="000D2D04">
        <w:rPr>
          <w:b/>
        </w:rPr>
        <w:t>A</w:t>
      </w:r>
      <w:r w:rsidR="005C4487">
        <w:rPr>
          <w:b/>
        </w:rPr>
        <w:t xml:space="preserve"> </w:t>
      </w:r>
      <w:r w:rsidRPr="000D2D04">
        <w:rPr>
          <w:b/>
        </w:rPr>
        <w:t xml:space="preserve"> H</w:t>
      </w:r>
      <w:r w:rsidR="005C4487">
        <w:rPr>
          <w:b/>
        </w:rPr>
        <w:t xml:space="preserve"> </w:t>
      </w:r>
      <w:r w:rsidRPr="000D2D04">
        <w:rPr>
          <w:b/>
        </w:rPr>
        <w:t>R</w:t>
      </w:r>
      <w:r w:rsidR="005C4487">
        <w:rPr>
          <w:b/>
        </w:rPr>
        <w:t xml:space="preserve"> </w:t>
      </w:r>
      <w:r w:rsidRPr="000D2D04">
        <w:rPr>
          <w:b/>
        </w:rPr>
        <w:t>V</w:t>
      </w:r>
      <w:r w:rsidR="005C4487">
        <w:rPr>
          <w:b/>
        </w:rPr>
        <w:t xml:space="preserve"> </w:t>
      </w:r>
      <w:r w:rsidRPr="000D2D04">
        <w:rPr>
          <w:b/>
        </w:rPr>
        <w:t>A</w:t>
      </w:r>
      <w:r w:rsidR="005C4487">
        <w:rPr>
          <w:b/>
        </w:rPr>
        <w:t xml:space="preserve"> </w:t>
      </w:r>
      <w:r w:rsidRPr="000D2D04">
        <w:rPr>
          <w:b/>
        </w:rPr>
        <w:t>T</w:t>
      </w:r>
      <w:r w:rsidR="005C4487">
        <w:rPr>
          <w:b/>
        </w:rPr>
        <w:t xml:space="preserve"> </w:t>
      </w:r>
      <w:r w:rsidRPr="000D2D04">
        <w:rPr>
          <w:b/>
        </w:rPr>
        <w:t>S</w:t>
      </w:r>
      <w:r w:rsidR="005C4487">
        <w:rPr>
          <w:b/>
        </w:rPr>
        <w:t xml:space="preserve"> </w:t>
      </w:r>
      <w:r w:rsidRPr="000D2D04">
        <w:rPr>
          <w:b/>
        </w:rPr>
        <w:t>K</w:t>
      </w:r>
      <w:r w:rsidR="005C4487">
        <w:rPr>
          <w:b/>
        </w:rPr>
        <w:t xml:space="preserve"> </w:t>
      </w:r>
      <w:r w:rsidRPr="000D2D04">
        <w:rPr>
          <w:b/>
        </w:rPr>
        <w:t>A</w:t>
      </w:r>
    </w:p>
    <w:p w:rsidRDefault="005C4487" w:rsidP="00692B30" w:rsidR="005C4487" w:rsidRPr="000D2D04">
      <w:pPr>
        <w:jc w:val="center"/>
        <w:rPr>
          <w:b/>
        </w:rPr>
      </w:pPr>
    </w:p>
    <w:p w:rsidRDefault="00D16BE3" w:rsidP="00D16BE3" w:rsidR="00D16BE3" w:rsidRPr="000D2D04">
      <w:pPr>
        <w:jc w:val="center"/>
        <w:rPr>
          <w:b/>
        </w:rPr>
      </w:pPr>
      <w:r w:rsidRPr="000D2D04">
        <w:rPr>
          <w:b/>
        </w:rPr>
        <w:t>R J E Š E N J E</w:t>
      </w:r>
    </w:p>
    <w:p w:rsidRDefault="00D16BE3" w:rsidP="00D16BE3" w:rsidR="00D16BE3" w:rsidRPr="000D2D04">
      <w:pPr>
        <w:jc w:val="both"/>
        <w:rPr>
          <w:b/>
        </w:rPr>
      </w:pPr>
    </w:p>
    <w:p w:rsidRDefault="00D16BE3" w:rsidP="00692B30" w:rsidR="00AF5065" w:rsidRPr="000D2D04">
      <w:pPr>
        <w:ind w:firstLine="708"/>
        <w:jc w:val="both"/>
        <w:rPr>
          <w:lang w:val="en-US"/>
        </w:rPr>
      </w:pPr>
      <w:r w:rsidRPr="000D2D04">
        <w:t>Trgovački sud u Splitu, Stalna služba u Dubrovniku, po sucu tog suda Katarini Franković, kao sucu pojedincu, u predstečajnom postupku nad dužnikom GRAĐEVINARSTVO ŽUVELA d.o.o., Vela Luka, Ulica 41 91, OIB: 44037070466,</w:t>
      </w:r>
      <w:r w:rsidRPr="000D2D04">
        <w:rPr>
          <w:lang w:val="en-US"/>
        </w:rPr>
        <w:t xml:space="preserve"> </w:t>
      </w:r>
      <w:r w:rsidR="00DB3267" w:rsidRPr="000D2D04">
        <w:rPr>
          <w:lang w:val="en-US"/>
        </w:rPr>
        <w:t xml:space="preserve">dana </w:t>
      </w:r>
      <w:r w:rsidR="000D2D04">
        <w:rPr>
          <w:lang w:val="en-US"/>
        </w:rPr>
        <w:t>04</w:t>
      </w:r>
      <w:r w:rsidRPr="000D2D04">
        <w:rPr>
          <w:lang w:val="en-US"/>
        </w:rPr>
        <w:t xml:space="preserve">. </w:t>
      </w:r>
      <w:r w:rsidR="000D2D04">
        <w:rPr>
          <w:lang w:val="en-US"/>
        </w:rPr>
        <w:t>travnj</w:t>
      </w:r>
      <w:r w:rsidR="00FA0BAF" w:rsidRPr="000D2D04">
        <w:rPr>
          <w:lang w:val="en-US"/>
        </w:rPr>
        <w:t>a</w:t>
      </w:r>
      <w:r w:rsidR="00DB3267" w:rsidRPr="000D2D04">
        <w:rPr>
          <w:lang w:val="en-US"/>
        </w:rPr>
        <w:t xml:space="preserve"> 201</w:t>
      </w:r>
      <w:r w:rsidRPr="000D2D04">
        <w:rPr>
          <w:lang w:val="en-US"/>
        </w:rPr>
        <w:t>7</w:t>
      </w:r>
      <w:r w:rsidR="00DB3267" w:rsidRPr="000D2D04">
        <w:rPr>
          <w:lang w:val="en-US"/>
        </w:rPr>
        <w:t xml:space="preserve">. godine </w:t>
      </w:r>
    </w:p>
    <w:p w:rsidRDefault="00381D97" w:rsidP="00692B30" w:rsidR="00381D97" w:rsidRPr="000D2D04">
      <w:pPr>
        <w:ind w:firstLine="708"/>
        <w:jc w:val="both"/>
        <w:rPr>
          <w:color w:val="FF0000"/>
          <w:lang w:val="en-US"/>
        </w:rPr>
      </w:pPr>
    </w:p>
    <w:p w:rsidRDefault="00AF5065" w:rsidP="00AF5065" w:rsidR="00AF5065" w:rsidRPr="000D2D04">
      <w:pPr>
        <w:jc w:val="center"/>
        <w:rPr>
          <w:b/>
        </w:rPr>
      </w:pPr>
      <w:r w:rsidRPr="000D2D04">
        <w:rPr>
          <w:b/>
        </w:rPr>
        <w:t>r i j e š i o  j e</w:t>
      </w:r>
    </w:p>
    <w:p w:rsidRDefault="00AF5065" w:rsidP="00AF5065" w:rsidR="00AF5065" w:rsidRPr="000D2D04">
      <w:pPr>
        <w:jc w:val="center"/>
        <w:rPr>
          <w:b/>
        </w:rPr>
      </w:pPr>
    </w:p>
    <w:p w:rsidRDefault="000D2D04" w:rsidP="000D2D04" w:rsidR="000D2D04">
      <w:pPr>
        <w:pStyle w:val="Odlomakpopisa"/>
        <w:numPr>
          <w:ilvl w:val="0"/>
          <w:numId w:val="1"/>
        </w:numPr>
        <w:jc w:val="both"/>
      </w:pPr>
      <w:r w:rsidRPr="000D2D04">
        <w:t xml:space="preserve">Utvrđuje se  da su vjerovnici </w:t>
      </w:r>
      <w:r>
        <w:t>dužnika</w:t>
      </w:r>
      <w:r w:rsidRPr="000D2D04">
        <w:t xml:space="preserve"> GRAĐEVINARSTVO ŽUVELA d.o.o., Vela Luka, Ulica 41 91, OIB: 44037070466</w:t>
      </w:r>
      <w:r>
        <w:t xml:space="preserve"> dana 03. travnja 2017.g.  prihvatili izmijenjeni plan</w:t>
      </w:r>
      <w:r w:rsidRPr="000D2D04">
        <w:t xml:space="preserve"> restrukturiranja</w:t>
      </w:r>
      <w:r>
        <w:t xml:space="preserve"> i potvrđuje se</w:t>
      </w:r>
      <w:r w:rsidRPr="000D2D04">
        <w:t xml:space="preserve"> predstečajni sporazum zaključen između dužnika GRAĐEVINARSTVO ŽUVELA d.o.o., Vela Luka, Ulica 41 91, OIB: 44037070466 i </w:t>
      </w:r>
      <w:r>
        <w:t xml:space="preserve">niže </w:t>
      </w:r>
      <w:r w:rsidRPr="000D2D04">
        <w:t xml:space="preserve">navedenih vjerovnika u tablici na način da se dug prema grupi VJEROVNICI, sukladno utvrđenim tražbinama koje iznose </w:t>
      </w:r>
      <w:r>
        <w:t>ukupno</w:t>
      </w:r>
      <w:r w:rsidRPr="000D2D04">
        <w:t xml:space="preserve"> 1.057.180,60 kn, otpisuju tražbine za 50%. Preostalih 50% tražbina otplatiti će se na 48 mjeseci uz dodatnih 12 mjeseci počeka, bez kamata, u jednakim mjesečnim anuitetima, počevši od pravomoćnosti </w:t>
      </w:r>
      <w:r>
        <w:t>ovog r</w:t>
      </w:r>
      <w:r w:rsidRPr="000D2D04">
        <w:t>ješenja, svakog 15-tog u mjesecu za prethodni mjesec.</w:t>
      </w:r>
    </w:p>
    <w:p w:rsidRDefault="000D2D04" w:rsidP="000D2D04" w:rsidR="000D2D04">
      <w:pPr>
        <w:pStyle w:val="Odlomakpopisa"/>
        <w:ind w:left="1080"/>
      </w:pPr>
    </w:p>
    <w:tbl>
      <w:tblPr>
        <w:tblW w:type="dxa" w:w="9120"/>
        <w:tblInd w:type="dxa" w:w="113"/>
        <w:tblLayout w:type="fixed"/>
        <w:tblLook w:val="04A0" w:noVBand="1" w:noHBand="0" w:lastColumn="0" w:firstColumn="1" w:lastRow="0" w:firstRow="1"/>
      </w:tblPr>
      <w:tblGrid>
        <w:gridCol w:w="546"/>
        <w:gridCol w:w="1271"/>
        <w:gridCol w:w="2417"/>
        <w:gridCol w:w="1503"/>
        <w:gridCol w:w="1105"/>
        <w:gridCol w:w="1030"/>
        <w:gridCol w:w="1248"/>
      </w:tblGrid>
      <w:tr w:rsidTr="000D2D04" w:rsidR="000D2D04" w:rsidRPr="000D2D04">
        <w:trPr>
          <w:trHeight w:val="660"/>
        </w:trPr>
        <w:tc>
          <w:tcPr>
            <w:tcW w:type="dxa" w:w="547"/>
            <w:tcBorders>
              <w:top w:space="0" w:sz="4" w:color="auto" w:val="single"/>
              <w:left w:space="0" w:sz="4" w:color="auto" w:val="single"/>
              <w:bottom w:space="0" w:sz="4" w:color="auto" w:val="single"/>
              <w:right w:space="0" w:sz="4" w:color="auto" w:val="single"/>
            </w:tcBorders>
            <w:shd w:fill="D6DCE4" w:color="auto" w:val="clear"/>
            <w:noWrap/>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RBR</w:t>
            </w:r>
          </w:p>
        </w:tc>
        <w:tc>
          <w:tcPr>
            <w:tcW w:type="dxa" w:w="1271"/>
            <w:tcBorders>
              <w:top w:space="0" w:sz="4" w:color="auto" w:val="single"/>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OIB VJEROVNIKA</w:t>
            </w:r>
          </w:p>
        </w:tc>
        <w:tc>
          <w:tcPr>
            <w:tcW w:type="dxa" w:w="2418"/>
            <w:tcBorders>
              <w:top w:space="0" w:sz="4" w:color="auto" w:val="single"/>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NAZIV VJEROVNIKA</w:t>
            </w:r>
          </w:p>
        </w:tc>
        <w:tc>
          <w:tcPr>
            <w:tcW w:type="dxa" w:w="1503"/>
            <w:tcBorders>
              <w:top w:space="0" w:sz="4" w:color="auto" w:val="single"/>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ADRESA</w:t>
            </w:r>
          </w:p>
        </w:tc>
        <w:tc>
          <w:tcPr>
            <w:tcW w:type="dxa" w:w="1105"/>
            <w:tcBorders>
              <w:top w:space="0" w:sz="4" w:color="auto" w:val="single"/>
              <w:left w:val="nil"/>
              <w:bottom w:space="0" w:sz="4" w:color="auto" w:val="single"/>
              <w:right w:space="0" w:sz="4" w:color="auto" w:val="single"/>
            </w:tcBorders>
            <w:shd w:fill="D6DCE4" w:color="auto" w:val="clear"/>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UTVRĐENI IZNOS TRAŽBINE</w:t>
            </w:r>
          </w:p>
        </w:tc>
        <w:tc>
          <w:tcPr>
            <w:tcW w:type="dxa" w:w="1030"/>
            <w:tcBorders>
              <w:top w:space="0" w:sz="4" w:color="auto" w:val="single"/>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OTPIS</w:t>
            </w:r>
          </w:p>
        </w:tc>
        <w:tc>
          <w:tcPr>
            <w:tcW w:type="dxa" w:w="1248"/>
            <w:tcBorders>
              <w:top w:space="0" w:sz="4" w:color="auto" w:val="single"/>
              <w:left w:val="nil"/>
              <w:bottom w:space="0" w:sz="4" w:color="auto" w:val="single"/>
              <w:right w:space="0" w:sz="4" w:color="auto" w:val="single"/>
            </w:tcBorders>
            <w:shd w:fill="D6DCE4" w:color="auto" w:val="clear"/>
            <w:vAlign w:val="center"/>
            <w:hideMark/>
          </w:tcPr>
          <w:p w:rsidRDefault="000D2D04" w:rsidP="000D2D04" w:rsidR="000D2D04" w:rsidRPr="000D2D04">
            <w:pPr>
              <w:jc w:val="center"/>
              <w:rPr>
                <w:b/>
                <w:bCs/>
                <w:color w:val="000000"/>
                <w:sz w:val="16"/>
                <w:szCs w:val="16"/>
                <w:lang w:eastAsia="en-GB" w:val="en-GB"/>
              </w:rPr>
            </w:pPr>
            <w:r w:rsidRPr="000D2D04">
              <w:rPr>
                <w:b/>
                <w:bCs/>
                <w:color w:val="000000"/>
                <w:sz w:val="16"/>
                <w:szCs w:val="16"/>
                <w:lang w:eastAsia="en-GB" w:val="en-GB"/>
              </w:rPr>
              <w:t>PREOSTALO ZA OTPLATU</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28249032189</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 xml:space="preserve">AEDILIS za trgovinu i usluge društvo sa ograničenom odgovornošću </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Dugopolje, Josipa bana Jelačića 19</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13.052,74</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6.526,37</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6.526,37</w:t>
            </w:r>
          </w:p>
        </w:tc>
      </w:tr>
      <w:tr w:rsidTr="000D2D04" w:rsidR="000D2D04" w:rsidRPr="000D2D04">
        <w:trPr>
          <w:trHeight w:val="12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60216477432</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DUBROVNIK CESTE, dioničko društvo za održavanje, zaštitu, rekonstrukciju i izgradnju cesta</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Dubrovnik, Vladimira Nazora 8</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4.332,75</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2.166,38</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2.166,38</w:t>
            </w:r>
          </w:p>
        </w:tc>
      </w:tr>
      <w:tr w:rsidTr="000D2D04" w:rsidR="000D2D04" w:rsidRPr="000D2D04">
        <w:trPr>
          <w:trHeight w:val="15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3</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02771725614</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ĐURO MIŠKOVIĆ I SINOVI proizvodnja kamena i pijeska, građevinarstvo, trgovina, ugostiteljstvo, društvo s ograničenom odgovornošću</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Topolo, Imotica 17</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7.599,94</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3.799,97</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3.799,97</w:t>
            </w:r>
          </w:p>
        </w:tc>
      </w:tr>
      <w:tr w:rsidTr="000D2D04" w:rsidR="000D2D04" w:rsidRPr="000D2D04">
        <w:trPr>
          <w:trHeight w:val="12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lastRenderedPageBreak/>
              <w:t>4</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41182066034</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EMTEZE društvo s ograničenom odgovornošću za proizvodnju, trgovinu i usluge</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Stubička 99</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24.958,68</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12.479,34</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12.479,34</w:t>
            </w:r>
          </w:p>
        </w:tc>
      </w:tr>
      <w:tr w:rsidTr="000D2D04" w:rsidR="000D2D04" w:rsidRPr="000D2D04">
        <w:trPr>
          <w:trHeight w:val="12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5</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22694857747</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EUROHERC OSIGURANJE - dioničko društvo za osiguranje imovine i osoba i druge poslove osiguranja</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Ulica grada Vukovara 282</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6.324,86</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3.162,43</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3.162,43</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6</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17058394375</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GILIĆ, društvo s ograničenom odgovornošću za trgovinu i ugostiteljstvo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Stobreč, Ivankova 100</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2.025,00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1.012,50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1.012,50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7</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68419124305</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HRVATSKA RADIOTELEVIZIJA, javna ustanova</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Prisavlje 3</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656,75</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328,38</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328,38</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8</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81793146560</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HRVATSKI TELEKOM d.d.</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Roberta Frangeša Mihanovića 9</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946,23</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473,12</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473,12</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9</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74067299119</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KONSTRUKTOR-HOTINA društvo s ograničenom odgovornošću za graditeljstvo,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Blato, 32. Ulica br. 91</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3.365,28</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1.682,64</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1.682,64</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10</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39574524840</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LESE KNJIGOVODSTVO j.d.o.o. za računovodstvo i knjigovodstvo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Vela Luka, Ulica 30 23</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11</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80337914887</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GORDANA MARINOVIĆ</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Split, Kukuljevićeva 12</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228.079,52</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114.039,76</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114.039,76</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12</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37580917247</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MUČIĆ d.o.o. za prijevoz robe i trgovinu</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Split, Ulica slobode 2b</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200.000,00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100.000,00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100.000,00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13</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34687721232</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IVO NOBILO vl., Nobilo-limarsko - bravarski obrt</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20. Ulica</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6.992,37</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3.496,19</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3.496,19</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14</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52508873833</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OTP BANKA HRVATSKA d.d.</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Zadar, Ulica domovinskog rata 3</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19.261,51</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9.630,76</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9.630,76</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15</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88019097146</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IVAN PECOTIĆ vl., "obrt za građevinrstvo i prijevoz - Grašped"</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Smokvica, Smokvica 116</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9.037,50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4.518,75</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4.518,75</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16</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67205045483</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MARINKO PERIĆ vl., "Perić" obrt za građevinske iskope i cestovni prijevoz</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Prigradica, Prigradica 128</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1.125,00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562,50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562,50</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17</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90275854576</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PORSCHE LEASING društvo s ograničenom odgovornošću za leasing</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Velimira Škorpika 21</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5.052,55</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2.526,28</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2.526,28</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18</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75247793102</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PUT-PROING d.o.o. za usluge i ispitivanje tla i materijala</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Split, Slavonska 15</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1.500,00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19</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18683136487</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REPUBLIKA HRVATSKA MINISTARSTVO FINANCIJA</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Katančićeva 5</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140.486,30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70.243,15</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70.243,15</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20</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24245839099</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TIMEK d.o.o. za ugostiteljstvo, trgovinu i usluge</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Split, Put Duilova 6b</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1.312,50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656,25</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656,25</w:t>
            </w:r>
          </w:p>
        </w:tc>
      </w:tr>
      <w:tr w:rsidTr="000D2D04" w:rsidR="000D2D04" w:rsidRPr="000D2D04">
        <w:trPr>
          <w:trHeight w:val="9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lastRenderedPageBreak/>
              <w:t>21</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51675482298</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TONČI TOMIĆ vl., "obrt za prijevoz tereta cestom - prijevoznik Tonči Tomić"</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Čara, Čara 67</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w:t>
            </w:r>
          </w:p>
        </w:tc>
      </w:tr>
      <w:tr w:rsidTr="000D2D04" w:rsidR="000D2D04" w:rsidRPr="000D2D04">
        <w:trPr>
          <w:trHeight w:val="3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22</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16462362534</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TONIKOM d.o.o.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Dubrovnik, Viška 3</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101.577,09</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50.788,55</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50.788,55</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23</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55525619967</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VB LEASING d.o.o.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Horvatova 82</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29.346,44</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14.673,22</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14.673,22</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24</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43479740481</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VELA LUKA TRGOVINA d.d.</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Vela Luka, Ulica 47 53</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45.541,65</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22.770,83</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22.770,83</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25</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15608244256</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VISOKA ŠKOLA ZA SIGURNOST s pravom javnosti</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Zagreb, Ivana Lučića 5</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780,00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390,00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390,00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26</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70184909443</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VLADO COMMERCE d.o.o.</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Korčula, Ulica 61 17</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15.825,94</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7.912,97</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7.912,97</w:t>
            </w:r>
          </w:p>
        </w:tc>
      </w:tr>
      <w:tr w:rsidTr="000D2D04" w:rsidR="000D2D04" w:rsidRPr="000D2D04">
        <w:trPr>
          <w:trHeight w:val="3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27</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81961419919</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SINIŠA MATEŠIĆ</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Žrnovo, Žrnovo 49</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150.000,00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75.000,00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28</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95362355978</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LUCA BURMAS</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Vela Luka, Obala 1 36</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5.000,00</w:t>
            </w:r>
          </w:p>
        </w:tc>
      </w:tr>
      <w:tr w:rsidTr="000D2D04" w:rsidR="000D2D04" w:rsidRPr="000D2D04">
        <w:trPr>
          <w:trHeight w:val="600"/>
        </w:trPr>
        <w:tc>
          <w:tcPr>
            <w:tcW w:type="dxa" w:w="547"/>
            <w:tcBorders>
              <w:top w:val="nil"/>
              <w:left w:space="0" w:sz="4" w:color="auto" w:val="single"/>
              <w:bottom w:space="0" w:sz="4" w:color="auto" w:val="single"/>
              <w:right w:space="0" w:sz="4" w:color="auto" w:val="single"/>
            </w:tcBorders>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29</w:t>
            </w:r>
          </w:p>
        </w:tc>
        <w:tc>
          <w:tcPr>
            <w:tcW w:type="dxa" w:w="1271"/>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41688862213</w:t>
            </w:r>
          </w:p>
        </w:tc>
        <w:tc>
          <w:tcPr>
            <w:tcW w:type="dxa" w:w="2418"/>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FRANICA RIŽNER</w:t>
            </w:r>
          </w:p>
        </w:tc>
        <w:tc>
          <w:tcPr>
            <w:tcW w:type="dxa" w:w="1503"/>
            <w:tcBorders>
              <w:top w:val="nil"/>
              <w:left w:val="nil"/>
              <w:bottom w:space="0" w:sz="4" w:color="auto" w:val="single"/>
              <w:right w:space="0" w:sz="4" w:color="auto" w:val="single"/>
            </w:tcBorders>
            <w:vAlign w:val="center"/>
            <w:hideMark/>
          </w:tcPr>
          <w:p w:rsidRDefault="000D2D04" w:rsidP="000D2D04" w:rsidR="000D2D04" w:rsidRPr="000D2D04">
            <w:pPr>
              <w:rPr>
                <w:rFonts w:hAnsi="Calibri" w:ascii="Calibri"/>
                <w:color w:val="000000"/>
                <w:sz w:val="16"/>
                <w:szCs w:val="22"/>
                <w:lang w:eastAsia="en-GB" w:val="en-GB"/>
              </w:rPr>
            </w:pPr>
            <w:r w:rsidRPr="000D2D04">
              <w:rPr>
                <w:rFonts w:hAnsi="Calibri" w:ascii="Calibri"/>
                <w:color w:val="000000"/>
                <w:sz w:val="16"/>
                <w:szCs w:val="22"/>
                <w:lang w:eastAsia="en-GB" w:val="en-GB"/>
              </w:rPr>
              <w:t>Vela Luka, Ulica 61 41</w:t>
            </w:r>
          </w:p>
        </w:tc>
        <w:tc>
          <w:tcPr>
            <w:tcW w:type="dxa" w:w="1105"/>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10.000,00</w:t>
            </w:r>
          </w:p>
        </w:tc>
        <w:tc>
          <w:tcPr>
            <w:tcW w:type="dxa" w:w="1030"/>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5.000,00</w:t>
            </w:r>
          </w:p>
        </w:tc>
        <w:tc>
          <w:tcPr>
            <w:tcW w:type="dxa" w:w="1248"/>
            <w:tcBorders>
              <w:top w:val="nil"/>
              <w:left w:val="nil"/>
              <w:bottom w:space="0" w:sz="4" w:color="auto" w:val="single"/>
              <w:right w:space="0" w:sz="4" w:color="auto" w:val="single"/>
            </w:tcBorders>
            <w:noWrap/>
            <w:vAlign w:val="center"/>
            <w:hideMark/>
          </w:tcPr>
          <w:p w:rsidRDefault="000D2D04" w:rsidP="000D2D04" w:rsidR="000D2D04" w:rsidRPr="000D2D04">
            <w:pPr>
              <w:jc w:val="right"/>
              <w:rPr>
                <w:rFonts w:hAnsi="Calibri" w:ascii="Calibri"/>
                <w:color w:val="000000"/>
                <w:sz w:val="16"/>
                <w:szCs w:val="22"/>
                <w:lang w:eastAsia="en-GB" w:val="en-GB"/>
              </w:rPr>
            </w:pPr>
            <w:r w:rsidRPr="000D2D04">
              <w:rPr>
                <w:rFonts w:hAnsi="Calibri" w:ascii="Calibri"/>
                <w:color w:val="000000"/>
                <w:sz w:val="16"/>
                <w:szCs w:val="22"/>
                <w:lang w:eastAsia="en-GB" w:val="en-GB"/>
              </w:rPr>
              <w:t>5.000,00</w:t>
            </w:r>
          </w:p>
        </w:tc>
      </w:tr>
      <w:tr w:rsidTr="000D2D04" w:rsidR="000D2D04" w:rsidRPr="000D2D04">
        <w:trPr>
          <w:trHeight w:val="610"/>
        </w:trPr>
        <w:tc>
          <w:tcPr>
            <w:tcW w:type="dxa" w:w="547"/>
            <w:tcBorders>
              <w:top w:val="nil"/>
              <w:left w:space="0" w:sz="4" w:color="auto" w:val="single"/>
              <w:bottom w:space="0" w:sz="4" w:color="auto" w:val="single"/>
              <w:right w:space="0" w:sz="4" w:color="auto" w:val="single"/>
            </w:tcBorders>
            <w:shd w:fill="D6DCE4" w:color="auto" w:val="clear"/>
            <w:noWrap/>
            <w:vAlign w:val="center"/>
            <w:hideMark/>
          </w:tcPr>
          <w:p w:rsidRDefault="000D2D04" w:rsidP="000D2D04" w:rsidR="000D2D04" w:rsidRPr="000D2D04">
            <w:pPr>
              <w:jc w:val="center"/>
              <w:rPr>
                <w:rFonts w:hAnsi="Calibri" w:ascii="Calibri"/>
                <w:color w:val="000000"/>
                <w:sz w:val="16"/>
                <w:szCs w:val="22"/>
                <w:lang w:eastAsia="en-GB" w:val="en-GB"/>
              </w:rPr>
            </w:pPr>
            <w:r w:rsidRPr="000D2D04">
              <w:rPr>
                <w:rFonts w:hAnsi="Calibri" w:ascii="Calibri"/>
                <w:color w:val="000000"/>
                <w:sz w:val="16"/>
                <w:szCs w:val="22"/>
                <w:lang w:eastAsia="en-GB" w:val="en-GB"/>
              </w:rPr>
              <w:t> </w:t>
            </w:r>
          </w:p>
        </w:tc>
        <w:tc>
          <w:tcPr>
            <w:tcW w:type="dxa" w:w="1271"/>
            <w:tcBorders>
              <w:top w:val="nil"/>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rFonts w:hAnsi="Calibri" w:ascii="Calibri"/>
                <w:b/>
                <w:bCs/>
                <w:color w:val="000000"/>
                <w:sz w:val="16"/>
                <w:szCs w:val="22"/>
                <w:lang w:eastAsia="en-GB" w:val="en-GB"/>
              </w:rPr>
            </w:pPr>
            <w:r w:rsidRPr="000D2D04">
              <w:rPr>
                <w:rFonts w:hAnsi="Calibri" w:ascii="Calibri"/>
                <w:b/>
                <w:bCs/>
                <w:color w:val="000000"/>
                <w:sz w:val="16"/>
                <w:szCs w:val="22"/>
                <w:lang w:eastAsia="en-GB" w:val="en-GB"/>
              </w:rPr>
              <w:t> </w:t>
            </w:r>
          </w:p>
        </w:tc>
        <w:tc>
          <w:tcPr>
            <w:tcW w:type="dxa" w:w="2418"/>
            <w:tcBorders>
              <w:top w:val="nil"/>
              <w:left w:val="nil"/>
              <w:bottom w:space="0" w:sz="4" w:color="auto" w:val="single"/>
              <w:right w:space="0" w:sz="4" w:color="auto" w:val="single"/>
            </w:tcBorders>
            <w:shd w:fill="D6DCE4" w:color="auto" w:val="clear"/>
            <w:noWrap/>
            <w:vAlign w:val="center"/>
            <w:hideMark/>
          </w:tcPr>
          <w:p w:rsidRDefault="000D2D04" w:rsidP="000D2D04" w:rsidR="000D2D04" w:rsidRPr="000D2D04">
            <w:pPr>
              <w:jc w:val="center"/>
              <w:rPr>
                <w:rFonts w:hAnsi="Calibri" w:ascii="Calibri"/>
                <w:b/>
                <w:bCs/>
                <w:color w:val="000000"/>
                <w:sz w:val="16"/>
                <w:szCs w:val="22"/>
                <w:lang w:eastAsia="en-GB" w:val="en-GB"/>
              </w:rPr>
            </w:pPr>
            <w:r w:rsidRPr="000D2D04">
              <w:rPr>
                <w:rFonts w:hAnsi="Calibri" w:ascii="Calibri"/>
                <w:b/>
                <w:bCs/>
                <w:color w:val="000000"/>
                <w:sz w:val="16"/>
                <w:szCs w:val="22"/>
                <w:lang w:eastAsia="en-GB" w:val="en-GB"/>
              </w:rPr>
              <w:t>UKUPNO</w:t>
            </w:r>
          </w:p>
        </w:tc>
        <w:tc>
          <w:tcPr>
            <w:tcW w:type="dxa" w:w="1503"/>
            <w:tcBorders>
              <w:top w:val="nil"/>
              <w:left w:val="nil"/>
              <w:bottom w:space="0" w:sz="4" w:color="auto" w:val="single"/>
              <w:right w:space="0" w:sz="4" w:color="auto" w:val="single"/>
            </w:tcBorders>
            <w:shd w:fill="D6DCE4" w:color="auto" w:val="clear"/>
            <w:vAlign w:val="center"/>
            <w:hideMark/>
          </w:tcPr>
          <w:p w:rsidRDefault="000D2D04" w:rsidP="000D2D04" w:rsidR="000D2D04" w:rsidRPr="000D2D04">
            <w:pPr>
              <w:rPr>
                <w:rFonts w:hAnsi="Calibri" w:ascii="Calibri"/>
                <w:b/>
                <w:bCs/>
                <w:color w:val="000000"/>
                <w:sz w:val="16"/>
                <w:szCs w:val="22"/>
                <w:lang w:eastAsia="en-GB" w:val="en-GB"/>
              </w:rPr>
            </w:pPr>
            <w:r w:rsidRPr="000D2D04">
              <w:rPr>
                <w:rFonts w:hAnsi="Calibri" w:ascii="Calibri"/>
                <w:b/>
                <w:bCs/>
                <w:color w:val="000000"/>
                <w:sz w:val="16"/>
                <w:szCs w:val="22"/>
                <w:lang w:eastAsia="en-GB" w:val="en-GB"/>
              </w:rPr>
              <w:t> </w:t>
            </w:r>
          </w:p>
        </w:tc>
        <w:tc>
          <w:tcPr>
            <w:tcW w:type="dxa" w:w="1105"/>
            <w:tcBorders>
              <w:top w:val="nil"/>
              <w:left w:val="nil"/>
              <w:bottom w:space="0" w:sz="4" w:color="auto" w:val="single"/>
              <w:right w:space="0" w:sz="4" w:color="auto" w:val="single"/>
            </w:tcBorders>
            <w:shd w:fill="D6DCE4" w:color="auto" w:val="clear"/>
            <w:noWrap/>
            <w:vAlign w:val="center"/>
            <w:hideMark/>
          </w:tcPr>
          <w:p w:rsidRDefault="000D2D04" w:rsidP="000D2D04" w:rsidR="000D2D04" w:rsidRPr="000D2D04">
            <w:pPr>
              <w:jc w:val="right"/>
              <w:rPr>
                <w:rFonts w:hAnsi="Calibri" w:ascii="Calibri"/>
                <w:b/>
                <w:bCs/>
                <w:color w:val="000000"/>
                <w:sz w:val="16"/>
                <w:szCs w:val="22"/>
                <w:lang w:eastAsia="en-GB" w:val="en-GB"/>
              </w:rPr>
            </w:pPr>
            <w:r w:rsidRPr="000D2D04">
              <w:rPr>
                <w:rFonts w:hAnsi="Calibri" w:ascii="Calibri"/>
                <w:b/>
                <w:bCs/>
                <w:color w:val="000000"/>
                <w:sz w:val="16"/>
                <w:szCs w:val="22"/>
                <w:lang w:eastAsia="en-GB" w:val="en-GB"/>
              </w:rPr>
              <w:t>1.057.180,60</w:t>
            </w:r>
          </w:p>
        </w:tc>
        <w:tc>
          <w:tcPr>
            <w:tcW w:type="dxa" w:w="1030"/>
            <w:tcBorders>
              <w:top w:val="nil"/>
              <w:left w:val="nil"/>
              <w:bottom w:space="0" w:sz="4" w:color="auto" w:val="single"/>
              <w:right w:space="0" w:sz="4" w:color="auto" w:val="single"/>
            </w:tcBorders>
            <w:shd w:fill="D6DCE4" w:color="auto" w:val="clear"/>
            <w:noWrap/>
            <w:vAlign w:val="center"/>
            <w:hideMark/>
          </w:tcPr>
          <w:p w:rsidRDefault="000D2D04" w:rsidP="000D2D04" w:rsidR="000D2D04" w:rsidRPr="000D2D04">
            <w:pPr>
              <w:jc w:val="right"/>
              <w:rPr>
                <w:rFonts w:hAnsi="Calibri" w:ascii="Calibri"/>
                <w:b/>
                <w:bCs/>
                <w:color w:val="000000"/>
                <w:sz w:val="16"/>
                <w:szCs w:val="22"/>
                <w:lang w:eastAsia="en-GB" w:val="en-GB"/>
              </w:rPr>
            </w:pPr>
            <w:r w:rsidRPr="000D2D04">
              <w:rPr>
                <w:rFonts w:hAnsi="Calibri" w:ascii="Calibri"/>
                <w:b/>
                <w:bCs/>
                <w:color w:val="000000"/>
                <w:sz w:val="16"/>
                <w:szCs w:val="22"/>
                <w:lang w:eastAsia="en-GB" w:val="en-GB"/>
              </w:rPr>
              <w:t>528.590,30</w:t>
            </w:r>
          </w:p>
        </w:tc>
        <w:tc>
          <w:tcPr>
            <w:tcW w:type="dxa" w:w="1248"/>
            <w:tcBorders>
              <w:top w:val="nil"/>
              <w:left w:val="nil"/>
              <w:bottom w:space="0" w:sz="4" w:color="auto" w:val="single"/>
              <w:right w:space="0" w:sz="4" w:color="auto" w:val="single"/>
            </w:tcBorders>
            <w:shd w:fill="D6DCE4" w:color="auto" w:val="clear"/>
            <w:noWrap/>
            <w:vAlign w:val="center"/>
            <w:hideMark/>
          </w:tcPr>
          <w:p w:rsidRDefault="000D2D04" w:rsidP="000D2D04" w:rsidR="000D2D04" w:rsidRPr="000D2D04">
            <w:pPr>
              <w:jc w:val="right"/>
              <w:rPr>
                <w:rFonts w:hAnsi="Calibri" w:ascii="Calibri"/>
                <w:b/>
                <w:bCs/>
                <w:color w:val="000000"/>
                <w:sz w:val="16"/>
                <w:szCs w:val="22"/>
                <w:lang w:eastAsia="en-GB" w:val="en-GB"/>
              </w:rPr>
            </w:pPr>
            <w:r w:rsidRPr="000D2D04">
              <w:rPr>
                <w:rFonts w:hAnsi="Calibri" w:ascii="Calibri"/>
                <w:b/>
                <w:bCs/>
                <w:color w:val="000000"/>
                <w:sz w:val="16"/>
                <w:szCs w:val="22"/>
                <w:lang w:eastAsia="en-GB" w:val="en-GB"/>
              </w:rPr>
              <w:t>528.590,30</w:t>
            </w:r>
          </w:p>
        </w:tc>
      </w:tr>
    </w:tbl>
    <w:p w:rsidRDefault="000D2D04" w:rsidP="000D2D04" w:rsidR="000D2D04">
      <w:pPr>
        <w:ind w:left="360"/>
      </w:pPr>
    </w:p>
    <w:p w:rsidRDefault="000D2D04" w:rsidP="000D2D04" w:rsidR="000D2D04"/>
    <w:p w:rsidRDefault="000D2D04" w:rsidP="000D2D04" w:rsidR="000D2D04"/>
    <w:p w:rsidRDefault="00DE45F8" w:rsidP="00DE45F8" w:rsidR="00DE45F8" w:rsidRPr="00DE45F8">
      <w:pPr>
        <w:jc w:val="center"/>
        <w:rPr>
          <w:b/>
        </w:rPr>
      </w:pPr>
      <w:r w:rsidRPr="00DE45F8">
        <w:rPr>
          <w:b/>
        </w:rPr>
        <w:t>Obrazloženje</w:t>
      </w:r>
    </w:p>
    <w:p w:rsidRDefault="00DE45F8" w:rsidP="00DE45F8" w:rsidR="00DE45F8"/>
    <w:p w:rsidRDefault="00DE45F8" w:rsidP="005C4487" w:rsidR="00DE45F8">
      <w:pPr>
        <w:ind w:firstLine="708"/>
        <w:jc w:val="both"/>
      </w:pPr>
      <w:r>
        <w:t>Dužnik je ovome sudu temeljem odredbe čl. 25. st. 1. Stečajnog zakona („Narodne novine“ broj 71/2015: dalje: SZ) podnio prijedlog za otvaranjem predstečajnog postupka, a nakon rješenja ovog suda gornjeg broja od 02. studenoga 2016. godine da taj prijedlog ispravi i dopuni sukladno odredbama čl. 31. st. 2. i 3. SZ-a, dužnik je istome udovoljio te dostavio dokumentaciju propisanu odredbom čl. 16., 17. i 26. SZ-a.</w:t>
      </w:r>
    </w:p>
    <w:p w:rsidRDefault="00DE45F8" w:rsidP="00DE45F8" w:rsidR="00DE45F8"/>
    <w:p w:rsidRDefault="00DE45F8" w:rsidP="00DE45F8" w:rsidR="00DE45F8">
      <w:pPr>
        <w:ind w:firstLine="708"/>
        <w:jc w:val="both"/>
      </w:pPr>
      <w:r>
        <w:t>Budući da je utvrđeno da su ispunjene pretpostavke za otvaranje predstečajnoga postupka sud je donio rješenje o otvaranju predstečajnog postupka dana 15. studenoga 2016. godine. Za povjerenika je imenovao Frano Krišto. Sud je pozvao vjerovnike da prijave svoje tražbine, a dužnika i povjerenika da se očituju o svakoj prijavljenoj tražbini, te je zakazano ročište radi ispitivanja tražbina za 09. siječnja 2017.g.</w:t>
      </w:r>
    </w:p>
    <w:p w:rsidRDefault="00DE45F8" w:rsidP="00DE45F8" w:rsidR="00DE45F8"/>
    <w:p w:rsidRDefault="00DE45F8" w:rsidP="00DE45F8" w:rsidR="00DE45F8">
      <w:pPr>
        <w:ind w:firstLine="708"/>
        <w:jc w:val="both"/>
      </w:pPr>
      <w:r>
        <w:t>Nakon održanog ročišta radi ispitivanja tražbina, sud je donio rješenje od 12. siječnja 2017.g., temeljem čl. 50. st. 1. SZ-a, kojim je odlučeno u kojem su iznosu pojedine tražbine utvrđene, odnosno osporene.</w:t>
      </w:r>
      <w:r w:rsidR="00EB5A1E">
        <w:t xml:space="preserve"> </w:t>
      </w:r>
      <w:r w:rsidR="00EB5A1E" w:rsidRPr="00EB5A1E">
        <w:t>Na istom ročištu sud je sastav</w:t>
      </w:r>
      <w:r w:rsidR="00EB5A1E">
        <w:t xml:space="preserve">io tablicu ispitanih tražbina </w:t>
      </w:r>
      <w:r w:rsidR="00EB5A1E" w:rsidRPr="00EB5A1E">
        <w:t>u skladu s odredbom čl. 49. SZ.</w:t>
      </w:r>
    </w:p>
    <w:p w:rsidRDefault="00EB5A1E" w:rsidP="00DE45F8" w:rsidR="00EB5A1E">
      <w:pPr>
        <w:ind w:firstLine="708"/>
        <w:jc w:val="both"/>
      </w:pPr>
    </w:p>
    <w:p w:rsidRDefault="00EB5A1E" w:rsidP="00EB5A1E" w:rsidR="00EB5A1E">
      <w:pPr>
        <w:jc w:val="both"/>
      </w:pPr>
      <w:r>
        <w:tab/>
        <w:t>Dužnik je u spis n</w:t>
      </w:r>
      <w:r w:rsidRPr="00EB5A1E">
        <w:t>akon održanog ročišta radi ispitivanja tražbina</w:t>
      </w:r>
      <w:r>
        <w:t xml:space="preserve"> dostavio izmjenjeni plan restrukturiranja koji je objavljen na e oglasnoj ploči. Dana 14. veljače 2017.g. je sud zaprimio zahtjev za produljenje roka za provođenje predmetnog postupka, te je rješenjem od 16. veljače 2017.g. produljio rok trajanja predstečajnog postupka za daljnjih 90 dana u smislu čl. 63 SZ-a.</w:t>
      </w:r>
    </w:p>
    <w:p w:rsidRDefault="00DE45F8" w:rsidP="00DE45F8" w:rsidR="00DE45F8"/>
    <w:p w:rsidRDefault="00EB5A1E" w:rsidP="00EB5A1E" w:rsidR="00DE45F8">
      <w:pPr>
        <w:ind w:firstLine="708"/>
        <w:jc w:val="both"/>
      </w:pPr>
      <w:r>
        <w:lastRenderedPageBreak/>
        <w:t xml:space="preserve">Rješenjem od 16. ožujka 2017.g. </w:t>
      </w:r>
      <w:r w:rsidR="00DE45F8">
        <w:t>određeno je ročište za glasovanje o planu restrukturiranja za</w:t>
      </w:r>
      <w:r>
        <w:t xml:space="preserve"> dan 03. travnja </w:t>
      </w:r>
      <w:r w:rsidR="00DE45F8">
        <w:t>2017.</w:t>
      </w:r>
      <w:r>
        <w:t>g.</w:t>
      </w:r>
    </w:p>
    <w:p w:rsidRDefault="00DE45F8" w:rsidP="00DE45F8" w:rsidR="00DE45F8"/>
    <w:p w:rsidRDefault="00EB5A1E" w:rsidP="0094301A" w:rsidR="00EB5A1E">
      <w:pPr>
        <w:ind w:firstLine="708"/>
        <w:jc w:val="both"/>
      </w:pPr>
      <w:r>
        <w:t xml:space="preserve">Sud je na ročištu za glasovanje o planu restrukturiranja od </w:t>
      </w:r>
      <w:r w:rsidRPr="00EB5A1E">
        <w:t>03. travnja 2017.</w:t>
      </w:r>
      <w:r>
        <w:t>g.</w:t>
      </w:r>
      <w:r w:rsidR="0094301A">
        <w:t xml:space="preserve"> utvrdio da je </w:t>
      </w:r>
      <w:r>
        <w:t xml:space="preserve">održavanje ročišta određeno rješenjem suda od </w:t>
      </w:r>
      <w:r w:rsidR="0094301A" w:rsidRPr="0094301A">
        <w:t xml:space="preserve">16. ožujka 2017.g. </w:t>
      </w:r>
      <w:r>
        <w:t xml:space="preserve"> koji zaključak je objavljen na e-oglasnoj ploči</w:t>
      </w:r>
      <w:r w:rsidR="0094301A">
        <w:t xml:space="preserve">, te </w:t>
      </w:r>
      <w:r>
        <w:t>do dana održavanja današnjeg ročišta za glasovanje sudu je pozivom na gornji broj spisa dostavljeno 0 popunjenih obrazac</w:t>
      </w:r>
      <w:r w:rsidR="0094301A">
        <w:t>a</w:t>
      </w:r>
      <w:r>
        <w:t xml:space="preserve"> za glasovanje (obrazac br.11. Pravilnika o sadržaju i obliku obrazaca na kojima se podnose podnesci u predstečajnom i stečajnom postup</w:t>
      </w:r>
      <w:r w:rsidR="0094301A">
        <w:t xml:space="preserve">ku,  N.N.br, 197/15), </w:t>
      </w:r>
      <w:r>
        <w:t xml:space="preserve">objavljen </w:t>
      </w:r>
      <w:r w:rsidR="0094301A">
        <w:t xml:space="preserve">je </w:t>
      </w:r>
      <w:r>
        <w:t xml:space="preserve"> i izmjenjeni plan restrukturiranja dužnika</w:t>
      </w:r>
      <w:r w:rsidR="0094301A">
        <w:t>.</w:t>
      </w:r>
    </w:p>
    <w:p w:rsidRDefault="00EB5A1E" w:rsidP="00EB5A1E" w:rsidR="00EB5A1E"/>
    <w:p w:rsidRDefault="00EB5A1E" w:rsidP="0094301A" w:rsidR="00EB5A1E">
      <w:pPr>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EB5A1E" w:rsidP="00EB5A1E" w:rsidR="00EB5A1E"/>
    <w:p w:rsidRDefault="00EB5A1E" w:rsidP="0094301A" w:rsidR="00EB5A1E">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EB5A1E" w:rsidP="00EB5A1E" w:rsidR="00EB5A1E"/>
    <w:p w:rsidRDefault="00EB5A1E" w:rsidP="0094301A" w:rsidR="00EB5A1E">
      <w:pPr>
        <w:ind w:firstLine="708"/>
        <w:jc w:val="both"/>
      </w:pPr>
      <w:r>
        <w:t>U konkretnom slučaju vjerovnici su u planu restrukturiranja, kao i za potrebe glasovanja bili podijeljeni u jednu skupinu.</w:t>
      </w:r>
    </w:p>
    <w:p w:rsidRDefault="0094301A" w:rsidP="0094301A" w:rsidR="0094301A">
      <w:pPr>
        <w:ind w:firstLine="708"/>
        <w:jc w:val="both"/>
      </w:pPr>
    </w:p>
    <w:p w:rsidRDefault="0094301A" w:rsidP="005C4487" w:rsidR="0094301A">
      <w:pPr>
        <w:ind w:firstLine="708"/>
        <w:jc w:val="both"/>
      </w:pPr>
      <w:r>
        <w:t xml:space="preserve">Dužnik je neposredno prije početka ročišta za </w:t>
      </w:r>
      <w:r w:rsidRPr="0094301A">
        <w:t xml:space="preserve"> glasovanje o planu restrukt</w:t>
      </w:r>
      <w:r>
        <w:t>uriranja od 03. travnja 2017.g. u spis predao</w:t>
      </w:r>
      <w:r w:rsidRPr="0094301A">
        <w:t xml:space="preserve"> </w:t>
      </w:r>
      <w:r>
        <w:t>popunjene</w:t>
      </w:r>
      <w:r w:rsidRPr="0094301A">
        <w:t xml:space="preserve"> obrazaca za glasovanje</w:t>
      </w:r>
      <w:r>
        <w:t xml:space="preserve">, koji su na ročištu pregledani. </w:t>
      </w:r>
    </w:p>
    <w:p w:rsidRDefault="00EB5A1E" w:rsidP="005C4487" w:rsidR="00EB5A1E">
      <w:pPr>
        <w:jc w:val="both"/>
      </w:pPr>
    </w:p>
    <w:p w:rsidRDefault="00EB5A1E" w:rsidP="005C4487" w:rsidR="00EB5A1E">
      <w:pPr>
        <w:ind w:firstLine="708"/>
        <w:jc w:val="both"/>
      </w:pPr>
      <w:r>
        <w:t xml:space="preserve">Na ročištu za glasovanje utvrđeno je da je za plan restrukturiranja glasovala većina svih vjerovnika, od ukupno </w:t>
      </w:r>
      <w:r w:rsidR="0094301A">
        <w:t>29</w:t>
      </w:r>
      <w:r>
        <w:t xml:space="preserve"> vjerovnika sa utvrđenim tražbinama ZA prihvaćanje  plana r</w:t>
      </w:r>
      <w:r w:rsidR="0094301A">
        <w:t>estrukturiranja  glasovalo je 15</w:t>
      </w:r>
      <w:r>
        <w:t xml:space="preserve"> vjerovnika, a PROTIV prihvaćanja  plana restrukturiranja glasovalo je </w:t>
      </w:r>
      <w:r w:rsidR="0094301A">
        <w:t>1 vjerovnik (Republika Hrvatska), dok ostali nisu dostavili obrasce pa se u smislu čl. 58 SZ-a smatra da su glasali PROTIV</w:t>
      </w:r>
      <w:r>
        <w:t>.</w:t>
      </w:r>
    </w:p>
    <w:p w:rsidRDefault="00EB5A1E" w:rsidP="005C4487" w:rsidR="00EB5A1E">
      <w:pPr>
        <w:jc w:val="both"/>
      </w:pPr>
    </w:p>
    <w:p w:rsidRDefault="00EB5A1E" w:rsidP="005C4487" w:rsidR="00EB5A1E">
      <w:pPr>
        <w:ind w:firstLine="708"/>
        <w:jc w:val="both"/>
      </w:pPr>
      <w:r>
        <w:t>Dakle, sud je utvrdio da je ZA prihvaćanje plana glasovala većina vjerovnika (BROJČANO).</w:t>
      </w:r>
    </w:p>
    <w:p w:rsidRDefault="00EB5A1E" w:rsidP="005C4487" w:rsidR="00EB5A1E">
      <w:pPr>
        <w:jc w:val="both"/>
      </w:pPr>
    </w:p>
    <w:p w:rsidRDefault="00EB5A1E" w:rsidP="005C4487" w:rsidR="00EB5A1E">
      <w:pPr>
        <w:ind w:firstLine="708"/>
        <w:jc w:val="both"/>
      </w:pPr>
      <w:r>
        <w:t xml:space="preserve">U odnosu na zbroj tražbina sud je utvrdio da su ZA plan glasovali vjerovnici sa ukupnim iznosom tražbina od </w:t>
      </w:r>
      <w:r w:rsidR="005C4487">
        <w:t>818.542,27</w:t>
      </w:r>
      <w:r>
        <w:t xml:space="preserve"> kn što</w:t>
      </w:r>
      <w:r w:rsidR="005C4487">
        <w:t xml:space="preserve"> je 77, 43 %</w:t>
      </w:r>
      <w:r>
        <w:t xml:space="preserve"> </w:t>
      </w:r>
      <w:r w:rsidR="005C4487">
        <w:t>ukup</w:t>
      </w:r>
      <w:r>
        <w:t>n</w:t>
      </w:r>
      <w:r w:rsidR="005C4487">
        <w:t>og</w:t>
      </w:r>
      <w:r>
        <w:t xml:space="preserve"> iznos</w:t>
      </w:r>
      <w:r w:rsidR="005C4487">
        <w:t>a</w:t>
      </w:r>
      <w:r>
        <w:t xml:space="preserve"> tražbina od </w:t>
      </w:r>
      <w:r w:rsidR="005C4487">
        <w:t>1.057.180,60</w:t>
      </w:r>
      <w:r>
        <w:t xml:space="preserve"> kn vjerovnika</w:t>
      </w:r>
      <w:r w:rsidR="005C4487">
        <w:t>, odnosno onih 22,57 %</w:t>
      </w:r>
      <w:r>
        <w:t xml:space="preserve"> koji su glasovali PROTIV.</w:t>
      </w:r>
    </w:p>
    <w:p w:rsidRDefault="00EB5A1E" w:rsidP="00EB5A1E" w:rsidR="00EB5A1E"/>
    <w:p w:rsidRDefault="00EB5A1E" w:rsidP="005C4487" w:rsidR="00EB5A1E">
      <w:pPr>
        <w:ind w:firstLine="708"/>
        <w:jc w:val="both"/>
      </w:pPr>
      <w:r>
        <w:t xml:space="preserve">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w:t>
      </w:r>
      <w:r>
        <w:lastRenderedPageBreak/>
        <w:t>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EB5A1E" w:rsidP="00EB5A1E" w:rsidR="00EB5A1E"/>
    <w:p w:rsidRDefault="00EB5A1E" w:rsidP="005C4487" w:rsidR="00EB5A1E">
      <w:pPr>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DE45F8" w:rsidP="00DE45F8" w:rsidR="00DE45F8"/>
    <w:p w:rsidRDefault="00DE45F8" w:rsidP="00DE45F8" w:rsidR="00DE45F8">
      <w:r>
        <w:tab/>
      </w:r>
    </w:p>
    <w:p w:rsidRDefault="00DE45F8" w:rsidP="005C4487" w:rsidR="00DE45F8" w:rsidRPr="005C4487">
      <w:pPr>
        <w:jc w:val="center"/>
        <w:rPr>
          <w:b/>
        </w:rPr>
      </w:pPr>
      <w:r w:rsidRPr="005C4487">
        <w:rPr>
          <w:b/>
        </w:rPr>
        <w:t xml:space="preserve">U </w:t>
      </w:r>
      <w:r w:rsidR="005C4487" w:rsidRPr="005C4487">
        <w:rPr>
          <w:b/>
        </w:rPr>
        <w:t>Dubrovnik</w:t>
      </w:r>
      <w:r w:rsidRPr="005C4487">
        <w:rPr>
          <w:b/>
        </w:rPr>
        <w:t xml:space="preserve">u, </w:t>
      </w:r>
      <w:r w:rsidR="005C4487" w:rsidRPr="005C4487">
        <w:rPr>
          <w:b/>
        </w:rPr>
        <w:t>04. trav</w:t>
      </w:r>
      <w:r w:rsidRPr="005C4487">
        <w:rPr>
          <w:b/>
        </w:rPr>
        <w:t>nja 201</w:t>
      </w:r>
      <w:r w:rsidR="005C4487" w:rsidRPr="005C4487">
        <w:rPr>
          <w:b/>
        </w:rPr>
        <w:t>7</w:t>
      </w:r>
      <w:r w:rsidRPr="005C4487">
        <w:rPr>
          <w:b/>
        </w:rPr>
        <w:t>. godine</w:t>
      </w:r>
    </w:p>
    <w:p w:rsidRDefault="00DE45F8" w:rsidP="005C4487" w:rsidR="00DE45F8" w:rsidRPr="005C4487">
      <w:pPr>
        <w:jc w:val="center"/>
        <w:rPr>
          <w:b/>
        </w:rPr>
      </w:pPr>
    </w:p>
    <w:p w:rsidRDefault="005C4487" w:rsidP="005C4487" w:rsidR="00DE45F8" w:rsidRPr="005C4487">
      <w:pPr>
        <w:ind w:firstLine="708" w:left="4248"/>
        <w:jc w:val="center"/>
        <w:rPr>
          <w:b/>
        </w:rPr>
      </w:pPr>
      <w:r>
        <w:rPr>
          <w:b/>
        </w:rPr>
        <w:t>Sudac</w:t>
      </w:r>
      <w:r w:rsidR="00DB607F">
        <w:rPr>
          <w:b/>
        </w:rPr>
        <w:t>:</w:t>
      </w:r>
    </w:p>
    <w:p w:rsidRDefault="00DE45F8" w:rsidP="005C4487" w:rsidR="00DE45F8" w:rsidRPr="005C4487">
      <w:pPr>
        <w:jc w:val="center"/>
        <w:rPr>
          <w:b/>
        </w:rPr>
      </w:pPr>
    </w:p>
    <w:p w:rsidRDefault="00DE45F8" w:rsidP="005C4487" w:rsidR="00DE45F8" w:rsidRPr="005C4487">
      <w:pPr>
        <w:jc w:val="center"/>
        <w:rPr>
          <w:b/>
        </w:rPr>
      </w:pPr>
    </w:p>
    <w:p w:rsidRDefault="00DE45F8" w:rsidP="005C4487" w:rsidR="00DE45F8" w:rsidRPr="005C4487">
      <w:pPr>
        <w:ind w:firstLine="708" w:left="5664"/>
        <w:jc w:val="center"/>
        <w:rPr>
          <w:b/>
        </w:rPr>
      </w:pPr>
      <w:r w:rsidRPr="005C4487">
        <w:rPr>
          <w:b/>
        </w:rPr>
        <w:t xml:space="preserve">Katarina </w:t>
      </w:r>
      <w:r w:rsidR="005C4487">
        <w:rPr>
          <w:b/>
        </w:rPr>
        <w:t>Franković</w:t>
      </w:r>
    </w:p>
    <w:p w:rsidRDefault="00DE45F8" w:rsidP="005C4487" w:rsidR="00DE45F8" w:rsidRPr="005C4487">
      <w:pPr>
        <w:jc w:val="center"/>
        <w:rPr>
          <w:b/>
        </w:rPr>
      </w:pPr>
    </w:p>
    <w:p w:rsidRDefault="00DE45F8" w:rsidP="00DE45F8" w:rsidR="00DE45F8" w:rsidRPr="005C4487">
      <w:pPr>
        <w:rPr>
          <w:b/>
        </w:rPr>
      </w:pPr>
      <w:r w:rsidRPr="005C4487">
        <w:rPr>
          <w:b/>
        </w:rPr>
        <w:t>UPUTA  O PRAVNOM LIJEKU:</w:t>
      </w:r>
    </w:p>
    <w:p w:rsidRDefault="00DE45F8" w:rsidP="00DE45F8" w:rsidR="00DE45F8">
      <w:r>
        <w:t xml:space="preserve">Protiv ovog rješenja dopuštena je žalba Visokom trgovačkom sudu Republike Hrvatske u Zagrebu. Žalba se podnosi putem ovog suda u 2 primjerka,  u roku od 8 dana od </w:t>
      </w:r>
      <w:r w:rsidR="005C4487">
        <w:t xml:space="preserve">proteka osmog </w:t>
      </w:r>
      <w:r>
        <w:t xml:space="preserve">dana </w:t>
      </w:r>
      <w:r w:rsidR="005C4487">
        <w:t xml:space="preserve">od </w:t>
      </w:r>
      <w:r>
        <w:t>objave na</w:t>
      </w:r>
      <w:r w:rsidR="005C4487">
        <w:t xml:space="preserve"> mrežnoj stranici</w:t>
      </w:r>
      <w:r>
        <w:t xml:space="preserve"> e-oglasnoj ploči suda. </w:t>
      </w:r>
    </w:p>
    <w:p w:rsidRDefault="00DE45F8" w:rsidP="00DE45F8" w:rsidR="00DE45F8"/>
    <w:p w:rsidRDefault="00DE45F8" w:rsidP="00DE45F8" w:rsidR="00DE45F8">
      <w:r>
        <w:t>DNA:</w:t>
      </w:r>
    </w:p>
    <w:p w:rsidRDefault="00DE45F8" w:rsidP="00DE45F8" w:rsidR="00DE45F8">
      <w:r>
        <w:t>1.</w:t>
      </w:r>
      <w:r>
        <w:tab/>
      </w:r>
      <w:r w:rsidR="005C4487">
        <w:t>mrežna stranica e-oglasna ploča suda</w:t>
      </w:r>
    </w:p>
    <w:p w:rsidRDefault="00DE45F8" w:rsidP="00DE45F8" w:rsidR="00DE45F8">
      <w:r>
        <w:t>2.</w:t>
      </w:r>
      <w:r>
        <w:tab/>
        <w:t>sudskom registru</w:t>
      </w:r>
    </w:p>
    <w:p w:rsidRDefault="00DE45F8" w:rsidP="00DE45F8" w:rsidR="00DE45F8">
      <w:r>
        <w:t>3.</w:t>
      </w:r>
      <w:r>
        <w:tab/>
        <w:t>FINA po pravomoćnosti</w:t>
      </w:r>
    </w:p>
    <w:p w:rsidRDefault="00DE45F8" w:rsidP="00DE45F8" w:rsidR="00DE45F8">
      <w:r>
        <w:t>4.</w:t>
      </w:r>
      <w:r>
        <w:tab/>
      </w:r>
      <w:r w:rsidR="005C4487">
        <w:t>dužnik</w:t>
      </w:r>
      <w:r>
        <w:t xml:space="preserve"> </w:t>
      </w:r>
    </w:p>
    <w:p w:rsidRDefault="005C4487" w:rsidP="00DE45F8" w:rsidR="005C4487">
      <w:r>
        <w:t xml:space="preserve">5. </w:t>
      </w:r>
      <w:r>
        <w:tab/>
        <w:t>povjerenik</w:t>
      </w:r>
    </w:p>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0D2D04" w:rsidP="000D2D04" w:rsidR="000D2D04" w:rsidRPr="000D2D04"/>
    <w:p w:rsidRDefault="00AF5065" w:rsidP="000D2D04" w:rsidR="00AF5065" w:rsidRPr="000D2D04">
      <w:pPr>
        <w:ind w:hanging="705" w:left="705"/>
        <w:jc w:val="both"/>
      </w:pPr>
    </w:p>
    <w:p w:rsidRDefault="00250012" w:rsidP="00250012" w:rsidR="00250012" w:rsidRPr="000D2D04">
      <w:pPr>
        <w:jc w:val="both"/>
      </w:pPr>
    </w:p>
    <w:p w:rsidRDefault="00853B3E" w:rsidR="00853B3E" w:rsidRPr="000D2D04"/>
    <w:sectPr w:rsidR="00853B3E" w:rsidRPr="000D2D0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762FAF">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St-1886/2016</w:t>
    </w:r>
    <w:r w:rsidR="008C5C4E">
      <w:t>-26</w:t>
    </w:r>
  </w:p>
  <w:p w:rsidRDefault="00DB3267" w:rsidR="00DB32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704BE4"/>
    <w:multiLevelType w:val="hybridMultilevel"/>
    <w:tmpl w:val="E1A869FC"/>
    <w:lvl w:tplc="ED7657F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0D2D04"/>
    <w:rsid w:val="0011380D"/>
    <w:rsid w:val="00250012"/>
    <w:rsid w:val="00381D97"/>
    <w:rsid w:val="003C2F22"/>
    <w:rsid w:val="00417EA6"/>
    <w:rsid w:val="00535C9F"/>
    <w:rsid w:val="00587A9D"/>
    <w:rsid w:val="005C4487"/>
    <w:rsid w:val="00692B30"/>
    <w:rsid w:val="0071519E"/>
    <w:rsid w:val="00762FAF"/>
    <w:rsid w:val="007F7A84"/>
    <w:rsid w:val="00814EDB"/>
    <w:rsid w:val="00815142"/>
    <w:rsid w:val="00833357"/>
    <w:rsid w:val="00853B3E"/>
    <w:rsid w:val="00856F18"/>
    <w:rsid w:val="008A14B6"/>
    <w:rsid w:val="008C5C4E"/>
    <w:rsid w:val="00905178"/>
    <w:rsid w:val="0094301A"/>
    <w:rsid w:val="00981D37"/>
    <w:rsid w:val="00985BBF"/>
    <w:rsid w:val="00A51DE9"/>
    <w:rsid w:val="00AF5065"/>
    <w:rsid w:val="00B7506F"/>
    <w:rsid w:val="00B81763"/>
    <w:rsid w:val="00D16BE3"/>
    <w:rsid w:val="00D85B8F"/>
    <w:rsid w:val="00DB3267"/>
    <w:rsid w:val="00DB607F"/>
    <w:rsid w:val="00DD0D50"/>
    <w:rsid w:val="00DE45F8"/>
    <w:rsid w:val="00EB5A1E"/>
    <w:rsid w:val="00EB6A52"/>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 w:styleId="Odlomakpopisa" w:type="paragraph">
    <w:name w:val="List Paragraph"/>
    <w:basedOn w:val="Normal"/>
    <w:uiPriority w:val="34"/>
    <w:qFormat/>
    <w:rsid w:val="000D2D0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 w:styleId="Odlomakpopisa" w:type="paragraph">
    <w:name w:val="List Paragraph"/>
    <w:basedOn w:val="Normal"/>
    <w:uiPriority w:val="34"/>
    <w:qFormat/>
    <w:rsid w:val="000D2D0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 w:id="1016927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1530</properties:Words>
  <properties:Characters>8890</properties:Characters>
  <properties:Lines>430</properties:Lines>
  <properties:Paragraphs>250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2017-04-04T08:55:00Z</dcterms:created>
  <dc:creator>Katarina Mikulić</dc:creator>
  <cp:lastModifiedBy>Katarina Franković</cp:lastModifiedBy>
  <cp:lastPrinted>2017-03-16T09:18:00Z</cp:lastPrinted>
  <dcterms:modified xmlns:xsi="http://www.w3.org/2001/XMLSchema-instance" xsi:type="dcterms:W3CDTF">2017-04-04T09:07:00Z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