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4B730B" w:rsidR="000B1584" w:rsidRPr="00482933">
        <w:tc>
          <w:tcPr>
            <w:tcW w:type="dxa" w:w="3060"/>
          </w:tcPr>
          <w:p w:rsidRDefault="000B1584" w:rsidP="000B1584" w:rsidR="000B1584" w:rsidRPr="00482933">
            <w:pPr>
              <w:pStyle w:val="Naslov2"/>
              <w:rPr>
                <w:sz w:val="24"/>
                <w:szCs w:val="24"/>
              </w:rPr>
            </w:pPr>
            <w:bookmarkStart w:name="_GoBack" w:id="0"/>
            <w:bookmarkEnd w:id="0"/>
            <w:r>
              <w:rPr>
                <w:sz w:val="24"/>
              </w:rPr>
              <w:t xml:space="preserve">   </w:t>
            </w:r>
          </w:p>
        </w:tc>
      </w:tr>
    </w:tbl>
    <w:p w14:textId="3ba962a" w14:paraId="3ba962a" w:rsidRDefault="000B1584" w:rsidP="000B1584" w:rsidR="000B1584">
      <w:pPr>
        <w15:collapsed w:val="false"/>
        <w:rPr>
          <w:b/>
        </w:rPr>
      </w:pPr>
      <w:r w:rsidRPr="000B1584">
        <w:rPr>
          <w:b/>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B0891" w:rsidR="00BB0891" w:rsidRPr="00BB0891">
        <w:tc>
          <w:tcPr>
            <w:tcW w:type="dxa" w:w="3060"/>
            <w:hideMark/>
          </w:tcPr>
          <w:p w:rsidRDefault="00BB0891" w:rsidR="00BB0891" w:rsidRPr="00BB0891">
            <w:pPr>
              <w:pStyle w:val="Naslov2"/>
              <w:rPr>
                <w:rFonts w:cs="Times New Roman" w:hAnsi="Times New Roman" w:ascii="Times New Roman"/>
                <w:b w:val="false"/>
                <w:color w:val="auto"/>
                <w:sz w:val="24"/>
              </w:rPr>
            </w:pPr>
            <w:r w:rsidRPr="00BB0891">
              <w:rPr>
                <w:rFonts w:cs="Times New Roman" w:hAnsi="Times New Roman" w:ascii="Times New Roman"/>
                <w:b w:val="false"/>
                <w:bCs w:val="false"/>
                <w:color w:val="auto"/>
                <w:sz w:val="24"/>
              </w:rPr>
              <w:t>REPUBLIKA HRVATSKA</w:t>
            </w:r>
          </w:p>
          <w:p w:rsidRDefault="00BB0891" w:rsidR="00BB0891" w:rsidRPr="00BB0891">
            <w:pPr>
              <w:jc w:val="center"/>
            </w:pPr>
            <w:r w:rsidRPr="00BB0891">
              <w:t>Trgovački sud u Zagrebu</w:t>
            </w:r>
          </w:p>
          <w:p w:rsidRDefault="00BB0891" w:rsidR="00BB0891" w:rsidRPr="00BB0891">
            <w:pPr>
              <w:overflowPunct w:val="false"/>
              <w:autoSpaceDE w:val="false"/>
              <w:autoSpaceDN w:val="false"/>
              <w:adjustRightInd w:val="false"/>
              <w:jc w:val="center"/>
            </w:pPr>
            <w:smartTag w:element="City" w:uri="urn:schemas-microsoft-com:office:smarttags">
              <w:smartTag w:element="place" w:uri="urn:schemas-microsoft-com:office:smarttags">
                <w:r w:rsidRPr="00BB0891">
                  <w:t>Zagreb</w:t>
                </w:r>
              </w:smartTag>
            </w:smartTag>
            <w:r w:rsidRPr="00BB0891">
              <w:t>, Amruševa 2/II</w:t>
            </w:r>
          </w:p>
        </w:tc>
      </w:tr>
    </w:tbl>
    <w:p w:rsidRDefault="00BB0891" w:rsidP="00BB0891" w:rsidR="00BB0891" w:rsidRPr="00BB0891">
      <w:pPr>
        <w:jc w:val="right"/>
        <w:rPr>
          <w:b/>
        </w:rPr>
      </w:pPr>
    </w:p>
    <w:p w:rsidRDefault="00BB0891" w:rsidP="00BB0891" w:rsidR="00BB0891">
      <w:pPr>
        <w:jc w:val="right"/>
      </w:pPr>
      <w:r w:rsidRPr="00BB0891">
        <w:rPr>
          <w:b/>
        </w:rPr>
        <w:tab/>
      </w:r>
      <w:r w:rsidRPr="00BB0891">
        <w:t>40-St-428/15</w:t>
      </w:r>
    </w:p>
    <w:p w:rsidRDefault="00BB0891" w:rsidP="00BB0891" w:rsidR="00BB0891">
      <w:pPr>
        <w:jc w:val="center"/>
      </w:pPr>
    </w:p>
    <w:p w:rsidRDefault="00BB0891" w:rsidP="00BB0891" w:rsidR="00BB0891">
      <w:pPr>
        <w:jc w:val="center"/>
      </w:pPr>
      <w:r>
        <w:t xml:space="preserve">R E P U B L I K A   H R V A T S K A </w:t>
      </w:r>
    </w:p>
    <w:p w:rsidRDefault="00BB0891" w:rsidP="00BB0891" w:rsidR="00BB0891">
      <w:pPr>
        <w:jc w:val="center"/>
      </w:pPr>
      <w:r>
        <w:t>R J E Š E NJ E</w:t>
      </w:r>
    </w:p>
    <w:p w:rsidRDefault="00BB0891" w:rsidP="00BB0891" w:rsidR="00BB0891">
      <w:pPr>
        <w:ind w:firstLine="720" w:left="2160"/>
      </w:pPr>
      <w:r>
        <w:t xml:space="preserve">                                                          </w:t>
      </w:r>
    </w:p>
    <w:p w:rsidRDefault="00BB0891" w:rsidP="00BB0891" w:rsidR="00BB0891">
      <w:pPr>
        <w:jc w:val="both"/>
        <w:rPr>
          <w:sz w:val="40"/>
          <w:szCs w:val="40"/>
        </w:rPr>
      </w:pPr>
      <w:r>
        <w:tab/>
        <w:t>TRGOVAČKI SUD U ZAGREBU po sucu Anti Galiću, kao stečajnom sucu, u stečajnom postupku nad dužnikom TOZ Penkala, Tvornica olovaka Zagreb d.d., u stečaju, Zagreb, Poljačka 56., dana 23.svibnja 2016.</w:t>
      </w:r>
    </w:p>
    <w:p w:rsidRDefault="00BB0891" w:rsidP="00BB0891" w:rsidR="00BB0891">
      <w:pPr>
        <w:jc w:val="center"/>
        <w:rPr>
          <w:b/>
        </w:rPr>
      </w:pPr>
      <w:r>
        <w:rPr>
          <w:b/>
        </w:rPr>
        <w:t xml:space="preserve">r i j e š i o    j e </w:t>
      </w:r>
    </w:p>
    <w:p w:rsidRDefault="00BB0891" w:rsidP="00BB0891" w:rsidR="00BB0891">
      <w:pPr>
        <w:jc w:val="center"/>
        <w:rPr>
          <w:b/>
        </w:rPr>
      </w:pPr>
    </w:p>
    <w:p w:rsidRDefault="00BB0891" w:rsidP="00BB0891" w:rsidR="00BB0891">
      <w:pPr>
        <w:ind w:firstLine="720"/>
        <w:jc w:val="both"/>
      </w:pPr>
      <w:r>
        <w:t>Odbija se prijedlog  Josipa Galineca iz Zagreba, Zelinska 4. od 9.svibnja 2016. za ispravak tablica stečajnog suca</w:t>
      </w:r>
    </w:p>
    <w:p w:rsidRDefault="00BB0891" w:rsidP="00BB0891" w:rsidR="00BB0891">
      <w:pPr>
        <w:tabs>
          <w:tab w:pos="1440" w:val="left"/>
        </w:tabs>
        <w:jc w:val="both"/>
      </w:pPr>
    </w:p>
    <w:p w:rsidRDefault="00BB0891" w:rsidP="00BB0891" w:rsidR="00BB0891">
      <w:pPr>
        <w:jc w:val="center"/>
      </w:pPr>
      <w:r>
        <w:t>Obrazloženje</w:t>
      </w:r>
    </w:p>
    <w:p w:rsidRDefault="00BB0891" w:rsidP="00BB0891" w:rsidR="00BB0891">
      <w:pPr>
        <w:jc w:val="both"/>
      </w:pPr>
    </w:p>
    <w:p w:rsidRDefault="00BB0891" w:rsidP="00BB0891" w:rsidR="00BB0891">
      <w:pPr>
        <w:tabs>
          <w:tab w:pos="709" w:val="left"/>
        </w:tabs>
        <w:jc w:val="both"/>
      </w:pPr>
      <w:r>
        <w:tab/>
        <w:t>Josip Galinec iz Zagreba, Zelinska 4., dostavio je ovom suda dana 9.svibnja 2016. podnesak  kojim: "traži uvrštenje u tablicu vjerovnika Stečajnog dužnika, za predmetnu tražbinu u iznosu od 1.000,00 kn"</w:t>
      </w:r>
    </w:p>
    <w:p w:rsidRDefault="00BB0891" w:rsidP="00BB0891" w:rsidR="00BB0891">
      <w:pPr>
        <w:tabs>
          <w:tab w:pos="709" w:val="left"/>
        </w:tabs>
        <w:jc w:val="both"/>
      </w:pPr>
      <w:r>
        <w:tab/>
        <w:t>Podnesku od 9.svibnja 2016. prileži Ugovor o ustupu potraživanja od 29.svibnja 2016. (list 879, dalje: Ugovor) sklopljen između INDUSTROGRADNJA GRUPA d.d. Zagreb, Kennedyjev trg 2 (OIB 19751350811), kao ustupitelja  i Josipa Galineca iz Zagreba, Zelinska 4., kao preuzimatelja, na kojem ugovoru je potpis zakonskog zastupnika ustupitelja ovjeren po javnom bilježniku.</w:t>
      </w:r>
    </w:p>
    <w:p w:rsidRDefault="00BB0891" w:rsidP="00BB0891" w:rsidR="00BB0891">
      <w:pPr>
        <w:tabs>
          <w:tab w:pos="709" w:val="left"/>
        </w:tabs>
        <w:jc w:val="both"/>
      </w:pPr>
    </w:p>
    <w:p w:rsidRDefault="00BB0891" w:rsidP="00BB0891" w:rsidR="00BB0891">
      <w:pPr>
        <w:tabs>
          <w:tab w:pos="709" w:val="left"/>
        </w:tabs>
        <w:jc w:val="both"/>
      </w:pPr>
      <w:r>
        <w:tab/>
        <w:t>U Stečajnom zakonu (N.N. 44/96 do 133/12, dalje: SZ) koji Zakon se u ovom postupku primjenjuje temeljem odredbe članka 441. stavak 1. Stečajnog zakona (N.N. 71/15) ne postoji institut "uvrštenja u tablicu vjerovnika", te bi takav i sličan zahtjev predstavljao nedopuštenu vrstu pravne zaštite. Međutim, držeći se principa da nije odlučno kako je stranka nazvala neki svoj zahtjev, nego su odlučne činjenice na koje  stranka ukazuje tražeći ostvaranje prava, a uzimajući u obzir okolnost da je podnositelj prijedloga uz prijedlog dostavio ugovor o ustupu potraživanja na kojem je  potpis ustupitelja javnoovjerovljen, ocjena je ovog suda prvog stupnja kako podnositelj u stvarnosti zahtjeva ispravak tablica stečajnog suca sukladno odredbama članka 78.a, u vezi članka 177. stavak 1. SZ-a.</w:t>
      </w:r>
    </w:p>
    <w:p w:rsidRDefault="00BB0891" w:rsidP="00BB0891" w:rsidR="00BB0891">
      <w:pPr>
        <w:jc w:val="both"/>
      </w:pPr>
    </w:p>
    <w:p w:rsidRDefault="00BB0891" w:rsidP="00BB0891" w:rsidR="00BB0891">
      <w:pPr>
        <w:jc w:val="both"/>
      </w:pPr>
      <w:r>
        <w:tab/>
        <w:t xml:space="preserve">Člankom 1. stavak  1. ugovora određen je predmet ustupa – dio tražbine koju ustupitelj ima prema stečajnom dužniku u iznosu od 1.000,00 kn, a  stavkom 2. članka 1. naznačeno kako je: </w:t>
      </w:r>
      <w:r>
        <w:lastRenderedPageBreak/>
        <w:t>"ukupno potraživanje Ustupitelja priznato i iskazano u tablicama stečajnog upravitelja – priznate tražbine Stečajnog dužnika za 1.viši isplatni red, u iznos od 5.000,00 kuna"</w:t>
      </w:r>
    </w:p>
    <w:p w:rsidRDefault="00BB0891" w:rsidP="00BB0891" w:rsidR="00BB0891">
      <w:pPr>
        <w:jc w:val="both"/>
      </w:pPr>
      <w:r>
        <w:tab/>
        <w:t>Nadalje, člankom 3. istog ugovora utvrđeno je kako su: "ugovorne strane suglasne da temeljem ugovora, Preuzimatelj prijavi (??) stečenu tražbinu prema Stečajnom dužniku te ostvari prava koja mu temeljem iste pripadaju"</w:t>
      </w:r>
    </w:p>
    <w:p w:rsidRDefault="00BB0891" w:rsidP="00BB0891" w:rsidR="00BB0891">
      <w:pPr>
        <w:jc w:val="both"/>
      </w:pPr>
    </w:p>
    <w:p w:rsidRDefault="00BB0891" w:rsidP="00BB0891" w:rsidR="00BB0891">
      <w:pPr>
        <w:jc w:val="both"/>
      </w:pPr>
    </w:p>
    <w:p w:rsidRDefault="00BB0891" w:rsidP="00BB0891" w:rsidR="00BB0891">
      <w:pPr>
        <w:ind w:firstLine="708"/>
        <w:jc w:val="both"/>
        <w:rPr>
          <w:iCs/>
        </w:rPr>
      </w:pPr>
      <w:r>
        <w:rPr>
          <w:iCs/>
        </w:rPr>
        <w:t xml:space="preserve">Stečajna tražbina je svaki imovinski zahtjev vjerovnika prema stečajnom dužniku nastao prije otvaranja stečajnog postupka za koju stečajni dužnik odgovara imovinom koja predstavlja stečajnu masu. Članak 70. stavak 1. SZ-a definira stečajne vjerovnike kao osobne vjerovnike dužnika koji u vrijeme otvaranja stečajnog postupka imaju koju imovinsko-pravnu tražbinu prema stečajnom dužniku. </w:t>
      </w:r>
    </w:p>
    <w:p w:rsidRDefault="00BB0891" w:rsidP="00BB0891" w:rsidR="00BB0891">
      <w:pPr>
        <w:ind w:firstLine="708"/>
        <w:jc w:val="both"/>
        <w:rPr>
          <w:iCs/>
        </w:rPr>
      </w:pPr>
      <w:r>
        <w:rPr>
          <w:iCs/>
        </w:rPr>
        <w:t>Prijava tražbina je uvjet ostvarivanja tražbina u stečajnom postupku. Prijava tražbine je izjava stečajnog vjerovnika  upućena stečajnom upravitelju o postojanju obveze dužnika prema vjerovniku. Istovremeno prijava tražbine predstavlja zahtjev vjerovnika za namirenje njegove tražbine iz stečajne mase. Ako stečajni vjerovnik ne podnese prijavu tražbine on ne može sudjelovati u stečajnom postupku, biti član tijela stečajnog postupka, donositi odluke, odnosno  očekivati namirenje tražbine.</w:t>
      </w:r>
    </w:p>
    <w:p w:rsidRDefault="00BB0891" w:rsidP="00BB0891" w:rsidR="00BB0891">
      <w:pPr>
        <w:ind w:firstLine="708"/>
        <w:jc w:val="both"/>
        <w:rPr>
          <w:iCs/>
        </w:rPr>
      </w:pPr>
      <w:r>
        <w:rPr>
          <w:iCs/>
        </w:rPr>
        <w:t xml:space="preserve">Tražbine se prijavljuju  po postupku propisanom člankom 173. SZ-a. Ovlaštenici stečajnih tražbina prema stečajnom dužniku prijavu podnose  stečajnom upravitelju u dva primjerka. Uz prijavu dostavljaju prijepis isprava iz kojih tražbina proizlazi, odnosno kojima se dokazuje. U prijavi navode: tvrtku i sjedište, odnosno ime i adresu vjerovnika, pravnu osnovu i iznos tražbine u kunama, te broj računa vjerovnika (stavak 1. članka 173. SZ-a). </w:t>
      </w:r>
    </w:p>
    <w:p w:rsidRDefault="00BB0891" w:rsidP="00BB0891" w:rsidR="00BB0891">
      <w:pPr>
        <w:ind w:firstLine="708"/>
        <w:jc w:val="both"/>
        <w:rPr>
          <w:iCs/>
        </w:rPr>
      </w:pPr>
      <w:r>
        <w:rPr>
          <w:iCs/>
        </w:rPr>
        <w:t>Prema stavku 1. članka 175. SZ-a stečajne tražbine ispituju se na ispitnom ročištu, odnosno stečajne tražbine prijavljene nakon isteka roka za prijavljivanje tražbina mogu se ispitati na jednom ili više posebnih  ispitnih ročišta (stavak 1. članka 176. SZ-a).</w:t>
      </w:r>
    </w:p>
    <w:p w:rsidRDefault="00BB0891" w:rsidP="00BB0891" w:rsidR="00BB0891">
      <w:pPr>
        <w:ind w:firstLine="708"/>
        <w:jc w:val="both"/>
        <w:rPr>
          <w:iCs/>
        </w:rPr>
      </w:pPr>
      <w:r>
        <w:rPr>
          <w:iCs/>
        </w:rPr>
        <w:t xml:space="preserve">Tablice stečajnog upravitelja: ispitanih tražbina (stavak 1. članka 174. SZ-a), o razlučnim pravima (stavak 2. članka 174. SZ-a) i   o izlučnim pravima (stavak 3. članka 174. SZ-a) moraju se najkasnije osam dana prije održavanja ispitnog ročišta zajedno s prijavama i priloženim ispravama izložiti u pisarnici stečajnog suda na uvid sudionicima (stavak 4. članka 174. SZ-a). </w:t>
      </w:r>
    </w:p>
    <w:p w:rsidRDefault="00BB0891" w:rsidP="00BB0891" w:rsidR="00BB0891">
      <w:pPr>
        <w:ind w:firstLine="708"/>
        <w:jc w:val="both"/>
        <w:rPr>
          <w:iCs/>
        </w:rPr>
      </w:pPr>
      <w:r>
        <w:rPr>
          <w:iCs/>
        </w:rPr>
        <w:t xml:space="preserve">Na ispitnim ročištima tražbine se ispituju prema svojim iznosima i isplatnom redu (stavak 1. članka 175. SZ-a). Stečajni upravitelj je dužan određeno se izjasniti priznaje li ili osporava svaku prijavljenu tražbinu (stavak 2. članka 175. SZ-a). </w:t>
      </w:r>
    </w:p>
    <w:p w:rsidRDefault="00BB0891" w:rsidP="00BB0891" w:rsidR="00BB0891">
      <w:pPr>
        <w:ind w:firstLine="708"/>
        <w:jc w:val="both"/>
        <w:rPr>
          <w:iCs/>
        </w:rPr>
      </w:pPr>
      <w:r>
        <w:rPr>
          <w:iCs/>
        </w:rPr>
        <w:t xml:space="preserve">Stavkom 1. članka 177. SZ-a propisane su  dvije pretpostavke pod kojima se svaka ispitana tražbina smatra utvrđenom. Pozitivna je pretpostavka da je stečajni upravitelj na ispitnom ročištu izjavio da priznaje tražbinu, a negativna  pretpostavka, odsustvo izjave kojeg od stečajnih vjerovnika da osporava tražbinu koju je priznao stečajni upravitelj. </w:t>
      </w:r>
    </w:p>
    <w:p w:rsidRDefault="00BB0891" w:rsidP="00BB0891" w:rsidR="00BB0891">
      <w:pPr>
        <w:ind w:firstLine="708"/>
        <w:jc w:val="both"/>
        <w:rPr>
          <w:iCs/>
        </w:rPr>
      </w:pPr>
      <w:r>
        <w:rPr>
          <w:iCs/>
        </w:rPr>
        <w:t>Tražbine se ispituju te utvrđuju po isplatnim redovima. Nakon ispitnog ročišta stečajni sudac sastavlja posebnu tablicu ispitanih tražbina u koju za svaku prijavljenu tražbinu unosi u kojoj je mjeri tražbina utvrđena, prema svom iznosu i svom redu, odnosno tko je tražbinu osporio (stavak 2. članka 177. SZ-a). Na temelju tablica stečajni sudac donosi rješenje kojim se odlučuje o tome u kojem su iznosu i u kojem isplatnom redu utvrđene, odnosno osporene pojedine tražbine. Tim rješenjem stečajni sudac odlučuje i o upućivanju na parnicu radi utvrđivanja odnosno osporavanja tražbine (stavak 3. članka 177. SZ-a).</w:t>
      </w:r>
    </w:p>
    <w:p w:rsidRDefault="00BB0891" w:rsidP="00BB0891" w:rsidR="00BB0891">
      <w:pPr>
        <w:ind w:firstLine="708"/>
        <w:jc w:val="both"/>
        <w:rPr>
          <w:iCs/>
        </w:rPr>
      </w:pPr>
    </w:p>
    <w:p w:rsidRDefault="00BB0891" w:rsidP="00BB0891" w:rsidR="00BB0891">
      <w:pPr>
        <w:tabs>
          <w:tab w:pos="709" w:val="left"/>
        </w:tabs>
        <w:jc w:val="both"/>
      </w:pPr>
      <w:r>
        <w:tab/>
        <w:t xml:space="preserve">Prema odredbi članka 78.a. SZ-a ako stečajni vjerovnik otuđi svoju tražbinu koju je prijavio u stečajnom postupku njezin stjecatelj ulazi u pravni položaj svog prednika, a prema stavku 3. istog članka prijenos se tražbine može dokazivati samo javnom ili javnoovjerenom </w:t>
      </w:r>
      <w:r>
        <w:lastRenderedPageBreak/>
        <w:t xml:space="preserve">ispravom ili ako stečajni vjerovnik taj prijenos potvrdi svojom izjavom danom pred stečajnim sudom. </w:t>
      </w:r>
    </w:p>
    <w:p w:rsidRDefault="00BB0891" w:rsidP="00BB0891" w:rsidR="00BB0891">
      <w:pPr>
        <w:ind w:firstLine="720"/>
        <w:jc w:val="both"/>
      </w:pPr>
      <w:r>
        <w:t>Stečajni sudac sastavlja posebnu tablicu ispitanih tražbina u koju za svaku prijavljenu tražbinu unosi u kojoj je mjeri tražbina utvrđena prema svom iznosu i svom redu odnosno tko je tražbinu osporio (stavak 2. članka 177. SZ-a).</w:t>
      </w:r>
    </w:p>
    <w:p w:rsidRDefault="00BB0891" w:rsidP="00BB0891" w:rsidR="00BB0891">
      <w:pPr>
        <w:ind w:firstLine="708"/>
        <w:jc w:val="both"/>
        <w:rPr>
          <w:iCs/>
        </w:rPr>
      </w:pPr>
    </w:p>
    <w:p w:rsidRDefault="00BB0891" w:rsidP="00BB0891" w:rsidR="00BB0891">
      <w:pPr>
        <w:ind w:firstLine="708"/>
        <w:jc w:val="both"/>
      </w:pPr>
      <w:r>
        <w:rPr>
          <w:iCs/>
        </w:rPr>
        <w:t xml:space="preserve">Uvidom u rješenje o otvrđenim o osporenim tražbinama  (članak 177. stavak 3. SZ-a) od 30.rujna 2015. i 27.travnja 2016. utvrđeno je kako na ispitnim ročištima istog nadnevka nije ispitivana, te dakle ni utvrđivana tražbina vjerovnika </w:t>
      </w:r>
      <w:r>
        <w:t>INDUSTROGRADNJA GRUPA d.d. Zagreb, Kennedyjev trg 2 (OIB 19751350811) -  ustupitelja iz ugovora o ustupu potraživanja. Je li tražbina ustupitelja iskazana u tablicama stečajnog upravitelja, kako je to navedeno u članku 1. stavak 1. ugovora ovaj sud prvog stupnja nije utvrđivao jer navođenje vjerovnika i tražbine u tablicama stečajnog upravitelja nema nikakvog značanja za utvrđivanje tražbine vjerovnika prema dužniku u stečajnom postupku (članak 177. stavak 1. SZ-a), te stjecanje svojstva stečajnog vjerovnika.</w:t>
      </w:r>
    </w:p>
    <w:p w:rsidRDefault="00BB0891" w:rsidP="00BB0891" w:rsidR="00BB0891">
      <w:pPr>
        <w:ind w:firstLine="708"/>
        <w:jc w:val="both"/>
      </w:pPr>
      <w:r>
        <w:t>Kako i u stečajnom postupku vrijedi opće pravilo imovinskog prava prema kojem nitko na drugog ne može prenijeti više prava nego ih sam ima  (nemo plus iuris ad alium transferre potest quam ipse haberet), kod činjenice da na ispitnim ročištima u stečajnom postupku  nad ovim dužnikom nije utvrđena tražbina ustupitelja, ukazuje se neosnovanim  zahtjev  Josipa Galineca iz Zagreba za ispravak tablica stečajnog suca.</w:t>
      </w:r>
    </w:p>
    <w:p w:rsidRDefault="00BB0891" w:rsidP="00BB0891" w:rsidR="00BB0891">
      <w:pPr>
        <w:ind w:firstLine="708"/>
        <w:jc w:val="both"/>
      </w:pPr>
    </w:p>
    <w:p w:rsidRDefault="00BB0891" w:rsidP="00BB0891" w:rsidR="00BB0891">
      <w:pPr>
        <w:ind w:firstLine="708"/>
        <w:jc w:val="both"/>
      </w:pPr>
      <w:r>
        <w:t xml:space="preserve">Na kraju, sasvim je nejasnan naprijed citirani navod iz članka 3. ugovora o ovlaštenju Preuzimatelja da </w:t>
      </w:r>
      <w:r>
        <w:rPr>
          <w:u w:val="single"/>
        </w:rPr>
        <w:t>prijavi</w:t>
      </w:r>
      <w:r>
        <w:t xml:space="preserve"> stečenu tražbinu. </w:t>
      </w:r>
    </w:p>
    <w:p w:rsidRDefault="00BB0891" w:rsidP="00BB0891" w:rsidR="00BB0891">
      <w:pPr>
        <w:ind w:firstLine="708"/>
        <w:jc w:val="both"/>
      </w:pPr>
      <w:r>
        <w:t xml:space="preserve">U skladu sa naprijed citiranim odredbama SZ-a takav bi navod mogao ukazivati na oklonost da tražbina ustupitelja  još uvijek nije prijavljna i ispitana u stečajnom postupku nad dužnikom, što u skladu sa naprijed citiranim odredbama SZ-a, za sada, preuzimatelju, u ovom stečajnom postupku  ne daju nikakva prava. </w:t>
      </w:r>
    </w:p>
    <w:p w:rsidRDefault="00BB0891" w:rsidP="00BB0891" w:rsidR="00BB0891">
      <w:pPr>
        <w:ind w:firstLine="708"/>
        <w:jc w:val="both"/>
      </w:pPr>
    </w:p>
    <w:p w:rsidRDefault="00BB0891" w:rsidP="00BB0891" w:rsidR="00BB0891">
      <w:pPr>
        <w:ind w:firstLine="708"/>
        <w:jc w:val="both"/>
      </w:pPr>
      <w:r>
        <w:t>Slijedom svega naprijed navedenog valjalo je kao neosnovan odbiti zahtjev Josipa Galineca iz Zagreba, Zelinska 4. od 9.svibnja 2016. za ispravak tablica stečajnog suca.</w:t>
      </w:r>
    </w:p>
    <w:p w:rsidRDefault="00BB0891" w:rsidP="00BB0891" w:rsidR="00BB0891">
      <w:pPr>
        <w:ind w:firstLine="708"/>
        <w:jc w:val="both"/>
      </w:pPr>
    </w:p>
    <w:p w:rsidRDefault="00BB0891" w:rsidP="00BB0891" w:rsidR="00BB0891">
      <w:pPr>
        <w:jc w:val="center"/>
      </w:pPr>
    </w:p>
    <w:p w:rsidRDefault="00BB0891" w:rsidP="00BB0891" w:rsidR="00BB0891">
      <w:pPr>
        <w:jc w:val="center"/>
        <w:rPr>
          <w:b/>
        </w:rPr>
      </w:pPr>
      <w:r>
        <w:t xml:space="preserve">Zagreb, 23.svibnja 2016. godine </w:t>
      </w:r>
    </w:p>
    <w:p w:rsidRDefault="00BB0891" w:rsidP="00BB0891" w:rsidR="00BB0891">
      <w:pPr>
        <w:tabs>
          <w:tab w:pos="1440" w:val="left"/>
        </w:tabs>
        <w:ind w:firstLine="709"/>
        <w:jc w:val="both"/>
      </w:pPr>
    </w:p>
    <w:p w:rsidRDefault="00BB0891" w:rsidP="00BB0891" w:rsidR="00BB0891">
      <w:pPr>
        <w:jc w:val="both"/>
      </w:pPr>
      <w:r>
        <w:tab/>
      </w:r>
      <w:r>
        <w:tab/>
      </w:r>
      <w:r>
        <w:tab/>
      </w:r>
      <w:r>
        <w:tab/>
        <w:t xml:space="preserve">   </w:t>
      </w:r>
      <w:r>
        <w:tab/>
      </w:r>
      <w:r>
        <w:tab/>
      </w:r>
      <w:r>
        <w:tab/>
      </w:r>
      <w:r>
        <w:tab/>
        <w:t xml:space="preserve">        SUDAC:</w:t>
      </w:r>
    </w:p>
    <w:p w:rsidRDefault="00BB0891" w:rsidP="00BB0891" w:rsidR="00BB0891">
      <w:pPr>
        <w:jc w:val="both"/>
      </w:pPr>
      <w:r>
        <w:tab/>
      </w:r>
      <w:r>
        <w:tab/>
      </w:r>
      <w:r>
        <w:tab/>
      </w:r>
      <w:r>
        <w:tab/>
      </w:r>
      <w:r>
        <w:tab/>
      </w:r>
      <w:r>
        <w:tab/>
      </w:r>
      <w:r>
        <w:tab/>
      </w:r>
      <w:r>
        <w:tab/>
        <w:t xml:space="preserve">     Ante Galić, v.r.</w:t>
      </w:r>
    </w:p>
    <w:p w:rsidRDefault="00BB0891" w:rsidP="00BB0891" w:rsidR="00BB0891">
      <w:pPr>
        <w:jc w:val="both"/>
      </w:pPr>
      <w:r>
        <w:tab/>
      </w:r>
      <w:r>
        <w:tab/>
      </w:r>
      <w:r>
        <w:tab/>
      </w:r>
      <w:r>
        <w:tab/>
      </w:r>
      <w:r>
        <w:tab/>
      </w:r>
      <w:r>
        <w:tab/>
      </w:r>
      <w:r>
        <w:tab/>
      </w:r>
      <w:r>
        <w:tab/>
        <w:t xml:space="preserve">    </w:t>
      </w:r>
    </w:p>
    <w:p w:rsidRDefault="00BB0891" w:rsidP="00BB0891" w:rsidR="00BB0891">
      <w:pPr>
        <w:jc w:val="both"/>
      </w:pPr>
      <w:r>
        <w:t>UPUTA O PRAVNOM LIJEKU:</w:t>
      </w:r>
    </w:p>
    <w:p w:rsidRDefault="00BB0891" w:rsidP="00BB0891" w:rsidR="00BB0891">
      <w:pPr>
        <w:jc w:val="both"/>
      </w:pPr>
      <w:r>
        <w:t>Protiv ovog rješenja, nezadovoljna stranka može uložiti žalbu Visokom trgovačkom sudu Republike Hrvatske u roku od 8 dana po primitku rješenja, a ulaže se putem ovog suda u 2 primjerka.</w:t>
      </w:r>
    </w:p>
    <w:p w:rsidRDefault="00BB0891" w:rsidP="00BB0891" w:rsidR="00BB0891">
      <w:pPr>
        <w:jc w:val="both"/>
      </w:pPr>
    </w:p>
    <w:p w:rsidRDefault="00665FFE" w:rsidP="00422EE0" w:rsidR="00665FFE">
      <w:pPr>
        <w:jc w:val="both"/>
      </w:pPr>
      <w:r>
        <w:t>Za točnost otpravka, ovlašteni službenik:</w:t>
      </w:r>
    </w:p>
    <w:p w:rsidRDefault="00665FFE" w:rsidP="00422EE0" w:rsidR="00665FFE">
      <w:pPr>
        <w:jc w:val="both"/>
      </w:pPr>
      <w:r>
        <w:t xml:space="preserve">               Valentina Delač</w:t>
      </w:r>
    </w:p>
    <w:p w:rsidRDefault="00BB0891" w:rsidP="00BB0891" w:rsidR="00BB0891">
      <w:pPr>
        <w:jc w:val="both"/>
      </w:pPr>
    </w:p>
    <w:sectPr w:rsidSect="005155D7" w:rsidR="00BB0891">
      <w:headerReference w:type="even" r:id="rId11"/>
      <w:headerReference w:type="default" r:id="rId12"/>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6C52" w:rsidR="00D06C52">
      <w:r>
        <w:separator/>
      </w:r>
    </w:p>
  </w:endnote>
  <w:endnote w:id="0" w:type="continuationSeparator">
    <w:p w:rsidRDefault="00D06C52" w:rsidR="00D06C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6C52" w:rsidR="00D06C52">
      <w:r>
        <w:separator/>
      </w:r>
    </w:p>
  </w:footnote>
  <w:footnote w:id="0" w:type="continuationSeparator">
    <w:p w:rsidRDefault="00D06C52" w:rsidR="00D06C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C52" w:rsidP="006D1CC5" w:rsidR="00D06C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6C52" w:rsidP="006D1CC5" w:rsidR="00D06C5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C52" w:rsidP="006D1CC5" w:rsidR="00D06C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4C51">
      <w:rPr>
        <w:rStyle w:val="Brojstranice"/>
        <w:noProof/>
      </w:rPr>
      <w:t>3</w:t>
    </w:r>
    <w:r>
      <w:rPr>
        <w:rStyle w:val="Brojstranice"/>
      </w:rPr>
      <w:fldChar w:fldCharType="end"/>
    </w:r>
  </w:p>
  <w:p w:rsidRDefault="00D06C52" w:rsidP="006D1CC5" w:rsidR="00D06C52">
    <w:pPr>
      <w:pStyle w:val="Zaglavlje"/>
      <w:ind w:right="360"/>
      <w:jc w:val="right"/>
    </w:pPr>
    <w:r w:rsidRPr="00005E65">
      <w:t>40. St</w:t>
    </w:r>
    <w:r>
      <w:t>-</w:t>
    </w:r>
    <w:r w:rsidR="00BB0891">
      <w:t>428/15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BBFADBE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0000001"/>
    <w:multiLevelType w:val="singleLevel"/>
    <w:tmpl w:val="00000001"/>
    <w:name w:val="WW8Num1"/>
    <w:lvl w:ilvl="0">
      <w:start w:val="1"/>
      <w:numFmt w:val="bullet"/>
      <w:lvlText w:val=""/>
      <w:lvlJc w:val="left"/>
      <w:pPr>
        <w:tabs>
          <w:tab w:pos="643" w:val="num"/>
        </w:tabs>
        <w:ind w:hanging="360" w:left="643"/>
      </w:pPr>
      <w:rPr>
        <w:rFonts w:cs="Symbol" w:hAnsi="Symbol" w:ascii="Symbol"/>
      </w:rPr>
    </w:lvl>
  </w:abstractNum>
  <w:abstractNum w:abstractNumId="3">
    <w:nsid w:val="00000002"/>
    <w:multiLevelType w:val="singleLevel"/>
    <w:tmpl w:val="00000002"/>
    <w:name w:val="WW8Num2"/>
    <w:lvl w:ilvl="0">
      <w:start w:val="1"/>
      <w:numFmt w:val="bullet"/>
      <w:lvlText w:val=""/>
      <w:lvlJc w:val="left"/>
      <w:pPr>
        <w:tabs>
          <w:tab w:pos="0" w:val="num"/>
        </w:tabs>
        <w:ind w:hanging="360" w:left="1003"/>
      </w:pPr>
      <w:rPr>
        <w:rFonts w:cs="Symbol" w:hAnsi="Symbol" w:ascii="Symbol"/>
        <w:lang w:eastAsia="hr-HR"/>
      </w:rPr>
    </w:lvl>
  </w:abstractNum>
  <w:abstractNum w:abstractNumId="4">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7">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10">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3">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0">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1">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3">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24">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9">
    <w:nsid w:val="60613FC8"/>
    <w:multiLevelType w:val="hybridMultilevel"/>
    <w:tmpl w:val="49A6D8DA"/>
    <w:lvl w:tplc="92D43890" w:ilvl="0">
      <w:start w:val="1"/>
      <w:numFmt w:val="upperRoman"/>
      <w:pStyle w:val="Grafikeoznake21"/>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1">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3">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35">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6">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9"/>
  </w:num>
  <w:num w:numId="2">
    <w:abstractNumId w:val="26"/>
  </w:num>
  <w:num w:numId="3">
    <w:abstractNumId w:val="36"/>
  </w:num>
  <w:num w:numId="4">
    <w:abstractNumId w:val="7"/>
  </w:num>
  <w:num w:numId="5">
    <w:abstractNumId w:val="13"/>
  </w:num>
  <w:num w:numId="6">
    <w:abstractNumId w:val="11"/>
  </w:num>
  <w:num w:numId="7">
    <w:abstractNumId w:val="21"/>
  </w:num>
  <w:num w:numId="8">
    <w:abstractNumId w:val="19"/>
  </w:num>
  <w:num w:numId="9">
    <w:abstractNumId w:val="33"/>
  </w:num>
  <w:num w:numId="10">
    <w:abstractNumId w:val="1"/>
  </w:num>
  <w:num w:numId="11">
    <w:abstractNumId w:val="8"/>
  </w:num>
  <w:num w:numId="12">
    <w:abstractNumId w:val="22"/>
  </w:num>
  <w:num w:numId="13">
    <w:abstractNumId w:val="27"/>
  </w:num>
  <w:num w:numId="14">
    <w:abstractNumId w:val="25"/>
  </w:num>
  <w:num w:numId="15">
    <w:abstractNumId w:val="0"/>
  </w:num>
  <w:num w:numId="16">
    <w:abstractNumId w:val="15"/>
  </w:num>
  <w:num w:numId="17">
    <w:abstractNumId w:val="34"/>
  </w:num>
  <w:num w:numId="18">
    <w:abstractNumId w:val="9"/>
  </w:num>
  <w:num w:numId="19">
    <w:abstractNumId w:val="5"/>
  </w:num>
  <w:num w:numId="20">
    <w:abstractNumId w:val="28"/>
  </w:num>
  <w:num w:numId="21">
    <w:abstractNumId w:val="18"/>
  </w:num>
  <w:num w:numId="22">
    <w:abstractNumId w:val="23"/>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1"/>
  </w:num>
  <w:num w:numId="26">
    <w:abstractNumId w:val="35"/>
  </w:num>
  <w:num w:numId="27">
    <w:abstractNumId w:val="14"/>
  </w:num>
  <w:num w:numId="28">
    <w:abstractNumId w:val="20"/>
  </w:num>
  <w:num w:numId="29">
    <w:abstractNumId w:val="1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32"/>
  </w:num>
  <w:num w:numId="34">
    <w:abstractNumId w:val="2"/>
  </w:num>
  <w:num w:numId="35">
    <w:abstractNumId w:val="3"/>
  </w:num>
  <w:num w:numId="36">
    <w:abstractNumId w:val="6"/>
  </w:num>
  <w:num w:numId="37">
    <w:abstractNumId w:val="6"/>
    <w:lvlOverride w:ilvl="0">
      <w:startOverride w:val="1"/>
    </w:lvlOverride>
  </w:num>
  <w:num w:numId="38">
    <w:abstractNumId w:val="30"/>
  </w:num>
  <w:num w:numId="3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21A97"/>
    <w:rsid w:val="000223F8"/>
    <w:rsid w:val="000226BC"/>
    <w:rsid w:val="00026E44"/>
    <w:rsid w:val="00036C64"/>
    <w:rsid w:val="00042443"/>
    <w:rsid w:val="00050BA2"/>
    <w:rsid w:val="00066E49"/>
    <w:rsid w:val="000811FC"/>
    <w:rsid w:val="00091288"/>
    <w:rsid w:val="000A2DB7"/>
    <w:rsid w:val="000B1584"/>
    <w:rsid w:val="000C4975"/>
    <w:rsid w:val="00103954"/>
    <w:rsid w:val="00107865"/>
    <w:rsid w:val="00112ABC"/>
    <w:rsid w:val="001225CB"/>
    <w:rsid w:val="00126B49"/>
    <w:rsid w:val="00132B4D"/>
    <w:rsid w:val="001529FC"/>
    <w:rsid w:val="00170D3E"/>
    <w:rsid w:val="001757F8"/>
    <w:rsid w:val="00180F72"/>
    <w:rsid w:val="001D0F89"/>
    <w:rsid w:val="001D3681"/>
    <w:rsid w:val="001D440C"/>
    <w:rsid w:val="001E2126"/>
    <w:rsid w:val="001E4A85"/>
    <w:rsid w:val="001F7DAB"/>
    <w:rsid w:val="00237430"/>
    <w:rsid w:val="002510AE"/>
    <w:rsid w:val="00272A8B"/>
    <w:rsid w:val="00287050"/>
    <w:rsid w:val="002A451E"/>
    <w:rsid w:val="002A6F27"/>
    <w:rsid w:val="002E1632"/>
    <w:rsid w:val="00304F52"/>
    <w:rsid w:val="00341ACD"/>
    <w:rsid w:val="00360CB7"/>
    <w:rsid w:val="0037373A"/>
    <w:rsid w:val="003A4DF3"/>
    <w:rsid w:val="003D0D2C"/>
    <w:rsid w:val="003F054E"/>
    <w:rsid w:val="003F4934"/>
    <w:rsid w:val="0041301F"/>
    <w:rsid w:val="004175BA"/>
    <w:rsid w:val="00444C51"/>
    <w:rsid w:val="00453E0D"/>
    <w:rsid w:val="00454BAF"/>
    <w:rsid w:val="00470C81"/>
    <w:rsid w:val="004736C7"/>
    <w:rsid w:val="004775DB"/>
    <w:rsid w:val="00481B9C"/>
    <w:rsid w:val="00485C05"/>
    <w:rsid w:val="00490851"/>
    <w:rsid w:val="0049792E"/>
    <w:rsid w:val="004E77A7"/>
    <w:rsid w:val="004F24AB"/>
    <w:rsid w:val="00503EBF"/>
    <w:rsid w:val="005155D7"/>
    <w:rsid w:val="00517FAA"/>
    <w:rsid w:val="0055552E"/>
    <w:rsid w:val="005853AE"/>
    <w:rsid w:val="00587523"/>
    <w:rsid w:val="00595C15"/>
    <w:rsid w:val="005D2EB3"/>
    <w:rsid w:val="005D3D30"/>
    <w:rsid w:val="005D7892"/>
    <w:rsid w:val="005F0B4E"/>
    <w:rsid w:val="006249A8"/>
    <w:rsid w:val="00634E69"/>
    <w:rsid w:val="00643F4A"/>
    <w:rsid w:val="00661968"/>
    <w:rsid w:val="006622FB"/>
    <w:rsid w:val="00665FFE"/>
    <w:rsid w:val="00676E6D"/>
    <w:rsid w:val="006A5245"/>
    <w:rsid w:val="006C4406"/>
    <w:rsid w:val="006D1CC5"/>
    <w:rsid w:val="006F7A56"/>
    <w:rsid w:val="00706D83"/>
    <w:rsid w:val="00724F42"/>
    <w:rsid w:val="0073166A"/>
    <w:rsid w:val="007601CC"/>
    <w:rsid w:val="00782129"/>
    <w:rsid w:val="0079435C"/>
    <w:rsid w:val="007C77CF"/>
    <w:rsid w:val="007E5623"/>
    <w:rsid w:val="007F3E12"/>
    <w:rsid w:val="007F6ACD"/>
    <w:rsid w:val="008009C2"/>
    <w:rsid w:val="00806922"/>
    <w:rsid w:val="00817035"/>
    <w:rsid w:val="0083512E"/>
    <w:rsid w:val="00872037"/>
    <w:rsid w:val="008A3D95"/>
    <w:rsid w:val="008B32B0"/>
    <w:rsid w:val="009044AB"/>
    <w:rsid w:val="00910DBC"/>
    <w:rsid w:val="00927A2C"/>
    <w:rsid w:val="0094133F"/>
    <w:rsid w:val="00960601"/>
    <w:rsid w:val="009630AA"/>
    <w:rsid w:val="009741FA"/>
    <w:rsid w:val="009A378D"/>
    <w:rsid w:val="009D32DA"/>
    <w:rsid w:val="009D57E8"/>
    <w:rsid w:val="009E78DE"/>
    <w:rsid w:val="009F6059"/>
    <w:rsid w:val="00A109F0"/>
    <w:rsid w:val="00A41302"/>
    <w:rsid w:val="00A511E0"/>
    <w:rsid w:val="00A51BC7"/>
    <w:rsid w:val="00A576C1"/>
    <w:rsid w:val="00A81A06"/>
    <w:rsid w:val="00AB4FAE"/>
    <w:rsid w:val="00AC37F3"/>
    <w:rsid w:val="00AE763D"/>
    <w:rsid w:val="00B627B5"/>
    <w:rsid w:val="00B65804"/>
    <w:rsid w:val="00B71902"/>
    <w:rsid w:val="00BB0891"/>
    <w:rsid w:val="00BB0EB1"/>
    <w:rsid w:val="00BB5E46"/>
    <w:rsid w:val="00BC36F6"/>
    <w:rsid w:val="00BD1056"/>
    <w:rsid w:val="00C11A24"/>
    <w:rsid w:val="00C1314F"/>
    <w:rsid w:val="00C3023C"/>
    <w:rsid w:val="00C32EBF"/>
    <w:rsid w:val="00C72870"/>
    <w:rsid w:val="00CA2673"/>
    <w:rsid w:val="00CA399C"/>
    <w:rsid w:val="00CD5ED2"/>
    <w:rsid w:val="00CF7A2D"/>
    <w:rsid w:val="00D06C52"/>
    <w:rsid w:val="00D13D2F"/>
    <w:rsid w:val="00D234DB"/>
    <w:rsid w:val="00D2697B"/>
    <w:rsid w:val="00D67207"/>
    <w:rsid w:val="00D75B74"/>
    <w:rsid w:val="00D846BA"/>
    <w:rsid w:val="00D96D57"/>
    <w:rsid w:val="00DB5315"/>
    <w:rsid w:val="00DD394B"/>
    <w:rsid w:val="00DE7F89"/>
    <w:rsid w:val="00E0448E"/>
    <w:rsid w:val="00E16A6A"/>
    <w:rsid w:val="00E24F94"/>
    <w:rsid w:val="00E320F7"/>
    <w:rsid w:val="00E33521"/>
    <w:rsid w:val="00E51BF0"/>
    <w:rsid w:val="00E553E3"/>
    <w:rsid w:val="00E57B63"/>
    <w:rsid w:val="00EC113A"/>
    <w:rsid w:val="00ED7889"/>
    <w:rsid w:val="00EF590A"/>
    <w:rsid w:val="00F06035"/>
    <w:rsid w:val="00F136DD"/>
    <w:rsid w:val="00F256DA"/>
    <w:rsid w:val="00F41D38"/>
    <w:rsid w:val="00F50BD7"/>
    <w:rsid w:val="00F760E1"/>
    <w:rsid w:val="00FC15A2"/>
    <w:rsid w:val="00FD0C2F"/>
    <w:rsid w:val="00FD6525"/>
    <w:rsid w:val="00FF1E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uiPriority="99" w:name="List Bullet 2"/>
    <w:lsdException w:qFormat="true" w:name="Title"/>
    <w:lsdException w:qFormat="true" w:name="Subtitle"/>
    <w:lsdException w:uiPriority="99" w:name="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autoRedefine/>
    <w:qFormat/>
    <w:rsid w:val="00490851"/>
    <w:pPr>
      <w:keepNext/>
      <w:tabs>
        <w:tab w:pos="1225" w:val="left"/>
      </w:tabs>
      <w:spacing w:lineRule="auto" w:line="360" w:after="60" w:before="240"/>
      <w:jc w:val="both"/>
      <w:outlineLvl w:val="0"/>
    </w:pPr>
    <w:rPr>
      <w:lang w:eastAsia="hr-HR"/>
    </w:rPr>
  </w:style>
  <w:style w:styleId="Naslov2" w:type="paragraph">
    <w:name w:val="heading 2"/>
    <w:basedOn w:val="Normal"/>
    <w:next w:val="Normal"/>
    <w:link w:val="Naslov2Char"/>
    <w:unhideWhenUsed/>
    <w:qFormat/>
    <w:rsid w:val="003A4DF3"/>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5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uiPriority w:val="99"/>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 w:type="table">
    <w:name w:val="Grid Table 4"/>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uiPriority w:val="99"/>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customStyle="true" w:styleId="Naslov1Char" w:type="character">
    <w:name w:val="Naslov 1 Char"/>
    <w:basedOn w:val="Zadanifontodlomka"/>
    <w:link w:val="Naslov1"/>
    <w:rsid w:val="00490851"/>
    <w:rPr>
      <w:sz w:val="24"/>
      <w:szCs w:val="24"/>
    </w:rPr>
  </w:style>
  <w:style w:styleId="Grafikeoznake2" w:type="paragraph">
    <w:name w:val="List Bullet 2"/>
    <w:basedOn w:val="Normal"/>
    <w:uiPriority w:val="99"/>
    <w:unhideWhenUsed/>
    <w:rsid w:val="00490851"/>
    <w:pPr>
      <w:numPr>
        <w:numId w:val="10"/>
      </w:numPr>
      <w:contextualSpacing/>
    </w:pPr>
    <w:rPr>
      <w:lang w:eastAsia="hr-HR"/>
    </w:rPr>
  </w:style>
  <w:style w:customStyle="true" w:styleId="apple-converted-space" w:type="character">
    <w:name w:val="apple-converted-space"/>
    <w:rsid w:val="00490851"/>
  </w:style>
  <w:style w:customStyle="true" w:styleId="tabletextfield" w:type="character">
    <w:name w:val="table_text_field"/>
    <w:rsid w:val="00490851"/>
  </w:style>
  <w:style w:styleId="Tijeloteksta" w:type="paragraph">
    <w:name w:val="Body Text"/>
    <w:basedOn w:val="Normal"/>
    <w:link w:val="TijelotekstaChar"/>
    <w:rsid w:val="00490851"/>
    <w:pPr>
      <w:jc w:val="both"/>
    </w:pPr>
    <w:rPr>
      <w:rFonts w:hAnsi="Arial" w:ascii="Arial"/>
      <w:snapToGrid w:val="false"/>
      <w:sz w:val="20"/>
      <w:szCs w:val="20"/>
      <w:lang w:val="fr-FR"/>
    </w:rPr>
  </w:style>
  <w:style w:customStyle="true" w:styleId="TijelotekstaChar" w:type="character">
    <w:name w:val="Tijelo teksta Char"/>
    <w:basedOn w:val="Zadanifontodlomka"/>
    <w:link w:val="Tijeloteksta"/>
    <w:rsid w:val="00490851"/>
    <w:rPr>
      <w:rFonts w:hAnsi="Arial" w:ascii="Arial"/>
      <w:snapToGrid w:val="false"/>
      <w:lang w:eastAsia="en-US" w:val="fr-FR"/>
    </w:rPr>
  </w:style>
  <w:style w:customStyle="true" w:styleId="Srednjareetka2Char" w:type="character">
    <w:name w:val="Srednja rešetka 2 Char"/>
    <w:link w:val="Srednjareetka2"/>
    <w:uiPriority w:val="1"/>
    <w:rsid w:val="00490851"/>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490851"/>
    <w:rPr>
      <w:sz w:val="24"/>
      <w:szCs w:val="24"/>
    </w:rPr>
  </w:style>
  <w:style w:styleId="Opisslike" w:type="paragraph">
    <w:name w:val="caption"/>
    <w:basedOn w:val="Normal"/>
    <w:next w:val="Normal"/>
    <w:qFormat/>
    <w:rsid w:val="00490851"/>
    <w:rPr>
      <w:rFonts w:hAnsi="Arial" w:ascii="Arial"/>
      <w:b/>
      <w:sz w:val="22"/>
      <w:szCs w:val="20"/>
      <w:lang w:eastAsia="de-DE" w:val="en-GB"/>
    </w:rPr>
  </w:style>
  <w:style w:customStyle="true" w:styleId="Heading1Char" w:type="character">
    <w:name w:val="Heading 1 Char"/>
    <w:uiPriority w:val="9"/>
    <w:rsid w:val="00490851"/>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490851"/>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Obojanipopis-Isticanje1" w:type="table">
    <w:name w:val="Colorful List Accent 1"/>
    <w:basedOn w:val="Obinatablica"/>
    <w:link w:val="Obojanipopis-Isticanje1Char"/>
    <w:uiPriority w:val="34"/>
    <w:rsid w:val="00490851"/>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Grafikeoznake21" w:type="paragraph">
    <w:name w:val="Grafičke oznake 21"/>
    <w:basedOn w:val="Normal"/>
    <w:rsid w:val="00132B4D"/>
    <w:pPr>
      <w:widowControl w:val="false"/>
      <w:numPr>
        <w:numId w:val="1"/>
      </w:numPr>
      <w:suppressAutoHyphens/>
      <w:contextualSpacing/>
    </w:pPr>
    <w:rPr>
      <w:kern w:val="1"/>
      <w:lang w:bidi="hi-IN" w:eastAsia="zh-CN"/>
    </w:rPr>
  </w:style>
  <w:style w:customStyle="true" w:styleId="Naslov2Char" w:type="character">
    <w:name w:val="Naslov 2 Char"/>
    <w:basedOn w:val="Zadanifontodlomka"/>
    <w:link w:val="Naslov2"/>
    <w:rsid w:val="003A4DF3"/>
    <w:rPr>
      <w:rFonts w:cstheme="majorBidi" w:eastAsiaTheme="majorEastAsia" w:hAnsiTheme="majorHAnsi" w:asciiTheme="majorHAnsi"/>
      <w:b/>
      <w:bCs/>
      <w:color w:themeColor="accent1" w:val="4F81BD"/>
      <w:sz w:val="26"/>
      <w:szCs w:val="26"/>
      <w:lang w:eastAsia="en-US"/>
    </w:rPr>
  </w:style>
  <w:style w:styleId="Tekstrezerviranogmjesta" w:type="character">
    <w:name w:val="Placeholder Text"/>
    <w:basedOn w:val="Zadanifontodlomka"/>
    <w:uiPriority w:val="99"/>
    <w:semiHidden/>
    <w:rsid w:val="00444C51"/>
    <w:rPr>
      <w:color w:val="808080"/>
      <w:bdr w:space="0" w:sz="0" w:color="auto" w:val="none"/>
      <w:shd w:fill="auto" w:color="auto" w:val="clear"/>
    </w:rPr>
  </w:style>
  <w:style w:customStyle="true" w:styleId="eSPISCCParagraphDefaultFont" w:type="character">
    <w:name w:val="eSPIS_CC_Paragraph Default Font"/>
    <w:basedOn w:val="Zadanifontodlomka"/>
    <w:rsid w:val="00444C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4C51"/>
    <w:rPr>
      <w:sz w:val="24"/>
      <w:bdr w:space="0" w:sz="0" w:color="auto" w:val="none"/>
      <w:shd w:fill="FFFFCC" w:color="auto" w:val="clear"/>
      <w:lang w:val="hr-HR"/>
    </w:rPr>
  </w:style>
  <w:style w:customStyle="true" w:styleId="PozadinaSvijetloCrvena" w:type="character">
    <w:name w:val="Pozadina_SvijetloCrvena"/>
    <w:basedOn w:val="eSPISCCParagraphDefaultFont"/>
    <w:rsid w:val="00444C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4C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List Bullet 2"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autoRedefine/>
    <w:qFormat/>
    <w:rsid w:val="00490851"/>
    <w:pPr>
      <w:keepNext/>
      <w:tabs>
        <w:tab w:pos="1225" w:val="left"/>
      </w:tabs>
      <w:spacing w:after="60" w:before="240" w:line="360" w:lineRule="auto"/>
      <w:jc w:val="both"/>
      <w:outlineLvl w:val="0"/>
    </w:pPr>
    <w:rPr>
      <w:lang w:eastAsia="hr-HR"/>
    </w:rPr>
  </w:style>
  <w:style w:styleId="Naslov2" w:type="paragraph">
    <w:name w:val="heading 2"/>
    <w:basedOn w:val="Normal"/>
    <w:next w:val="Normal"/>
    <w:link w:val="Naslov2Char"/>
    <w:unhideWhenUsed/>
    <w:qFormat/>
    <w:rsid w:val="003A4DF3"/>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5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uiPriority w:val="99"/>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 w:type="table">
    <w:name w:val="Grid Table 4"/>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uiPriority w:val="99"/>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customStyle="1" w:styleId="Naslov1Char" w:type="character">
    <w:name w:val="Naslov 1 Char"/>
    <w:basedOn w:val="Zadanifontodlomka"/>
    <w:link w:val="Naslov1"/>
    <w:rsid w:val="00490851"/>
    <w:rPr>
      <w:sz w:val="24"/>
      <w:szCs w:val="24"/>
    </w:rPr>
  </w:style>
  <w:style w:styleId="Grafikeoznake2" w:type="paragraph">
    <w:name w:val="List Bullet 2"/>
    <w:basedOn w:val="Normal"/>
    <w:uiPriority w:val="99"/>
    <w:unhideWhenUsed/>
    <w:rsid w:val="00490851"/>
    <w:pPr>
      <w:numPr>
        <w:numId w:val="10"/>
      </w:numPr>
      <w:contextualSpacing/>
    </w:pPr>
    <w:rPr>
      <w:lang w:eastAsia="hr-HR"/>
    </w:rPr>
  </w:style>
  <w:style w:customStyle="1" w:styleId="apple-converted-space" w:type="character">
    <w:name w:val="apple-converted-space"/>
    <w:rsid w:val="00490851"/>
  </w:style>
  <w:style w:customStyle="1" w:styleId="tabletextfield" w:type="character">
    <w:name w:val="table_text_field"/>
    <w:rsid w:val="00490851"/>
  </w:style>
  <w:style w:styleId="Tijeloteksta" w:type="paragraph">
    <w:name w:val="Body Text"/>
    <w:basedOn w:val="Normal"/>
    <w:link w:val="TijelotekstaChar"/>
    <w:rsid w:val="00490851"/>
    <w:pPr>
      <w:jc w:val="both"/>
    </w:pPr>
    <w:rPr>
      <w:rFonts w:ascii="Arial" w:hAnsi="Arial"/>
      <w:snapToGrid w:val="0"/>
      <w:sz w:val="20"/>
      <w:szCs w:val="20"/>
      <w:lang w:val="fr-FR"/>
    </w:rPr>
  </w:style>
  <w:style w:customStyle="1" w:styleId="TijelotekstaChar" w:type="character">
    <w:name w:val="Tijelo teksta Char"/>
    <w:basedOn w:val="Zadanifontodlomka"/>
    <w:link w:val="Tijeloteksta"/>
    <w:rsid w:val="00490851"/>
    <w:rPr>
      <w:rFonts w:ascii="Arial" w:hAnsi="Arial"/>
      <w:snapToGrid w:val="0"/>
      <w:lang w:eastAsia="en-US" w:val="fr-FR"/>
    </w:rPr>
  </w:style>
  <w:style w:customStyle="1" w:styleId="Srednjareetka2Char" w:type="character">
    <w:name w:val="Srednja rešetka 2 Char"/>
    <w:link w:val="Srednjareetka2"/>
    <w:uiPriority w:val="1"/>
    <w:rsid w:val="00490851"/>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490851"/>
    <w:rPr>
      <w:sz w:val="24"/>
      <w:szCs w:val="24"/>
    </w:rPr>
  </w:style>
  <w:style w:styleId="Opisslike" w:type="paragraph">
    <w:name w:val="caption"/>
    <w:basedOn w:val="Normal"/>
    <w:next w:val="Normal"/>
    <w:qFormat/>
    <w:rsid w:val="00490851"/>
    <w:rPr>
      <w:rFonts w:ascii="Arial" w:hAnsi="Arial"/>
      <w:b/>
      <w:sz w:val="22"/>
      <w:szCs w:val="20"/>
      <w:lang w:eastAsia="de-DE" w:val="en-GB"/>
    </w:rPr>
  </w:style>
  <w:style w:customStyle="1" w:styleId="Heading1Char" w:type="character">
    <w:name w:val="Heading 1 Char"/>
    <w:uiPriority w:val="9"/>
    <w:rsid w:val="00490851"/>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490851"/>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Obojanipopis-Isticanje1" w:type="table">
    <w:name w:val="Colorful List Accent 1"/>
    <w:basedOn w:val="Obinatablica"/>
    <w:link w:val="Obojanipopis-Isticanje1Char"/>
    <w:uiPriority w:val="34"/>
    <w:rsid w:val="00490851"/>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Grafikeoznake21" w:type="paragraph">
    <w:name w:val="Grafičke oznake 21"/>
    <w:basedOn w:val="Normal"/>
    <w:rsid w:val="00132B4D"/>
    <w:pPr>
      <w:widowControl w:val="0"/>
      <w:numPr>
        <w:numId w:val="1"/>
      </w:numPr>
      <w:suppressAutoHyphens/>
      <w:contextualSpacing/>
    </w:pPr>
    <w:rPr>
      <w:kern w:val="1"/>
      <w:lang w:bidi="hi-IN" w:eastAsia="zh-CN"/>
    </w:rPr>
  </w:style>
  <w:style w:customStyle="1" w:styleId="Naslov2Char" w:type="character">
    <w:name w:val="Naslov 2 Char"/>
    <w:basedOn w:val="Zadanifontodlomka"/>
    <w:link w:val="Naslov2"/>
    <w:rsid w:val="003A4DF3"/>
    <w:rPr>
      <w:rFonts w:asciiTheme="majorHAnsi" w:cstheme="majorBidi" w:eastAsiaTheme="majorEastAsia" w:hAnsiTheme="majorHAnsi"/>
      <w:b/>
      <w:bCs/>
      <w:color w:themeColor="accent1" w:val="4F81BD"/>
      <w:sz w:val="26"/>
      <w:szCs w:val="26"/>
      <w:lang w:eastAsia="en-US"/>
    </w:rPr>
  </w:style>
  <w:style w:styleId="Tekstrezerviranogmjesta" w:type="character">
    <w:name w:val="Placeholder Text"/>
    <w:basedOn w:val="Zadanifontodlomka"/>
    <w:uiPriority w:val="99"/>
    <w:semiHidden/>
    <w:rsid w:val="00444C51"/>
    <w:rPr>
      <w:color w:val="808080"/>
      <w:bdr w:color="auto" w:space="0" w:sz="0" w:val="none"/>
      <w:shd w:color="auto" w:fill="auto" w:val="clear"/>
    </w:rPr>
  </w:style>
  <w:style w:customStyle="1" w:styleId="eSPISCCParagraphDefaultFont" w:type="character">
    <w:name w:val="eSPIS_CC_Paragraph Default Font"/>
    <w:basedOn w:val="Zadanifontodlomka"/>
    <w:rsid w:val="00444C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4C51"/>
    <w:rPr>
      <w:sz w:val="24"/>
      <w:bdr w:color="auto" w:space="0" w:sz="0" w:val="none"/>
      <w:shd w:color="auto" w:fill="FFFFCC" w:val="clear"/>
      <w:lang w:val="hr-HR"/>
    </w:rPr>
  </w:style>
  <w:style w:customStyle="1" w:styleId="PozadinaSvijetloCrvena" w:type="character">
    <w:name w:val="Pozadina_SvijetloCrvena"/>
    <w:basedOn w:val="eSPISCCParagraphDefaultFont"/>
    <w:rsid w:val="00444C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4C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87837">
      <w:bodyDiv w:val="true"/>
      <w:marLeft w:val="0"/>
      <w:marRight w:val="0"/>
      <w:marTop w:val="0"/>
      <w:marBottom w:val="0"/>
      <w:divBdr>
        <w:top w:space="0" w:sz="0" w:color="auto" w:val="none"/>
        <w:left w:space="0" w:sz="0" w:color="auto" w:val="none"/>
        <w:bottom w:space="0" w:sz="0" w:color="auto" w:val="none"/>
        <w:right w:space="0" w:sz="0" w:color="auto" w:val="none"/>
      </w:divBdr>
    </w:div>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06562685">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2015.</izvorni_sadrzaj>
    <derivirana_varijabla naziv="DomainObject.Predmet.DatumOsnivanja_1">17.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St-428/2015</izvorni_sadrzaj>
    <derivirana_varijabla naziv="DomainObject.Predmet.OznakaBroj_1">St-428/2015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TOZ Penkala, Tvornica olovaka, školskog i uredskog pribora Zagreb, d.d.</izvorni_sadrzaj>
    <derivirana_varijabla naziv="DomainObject.Predmet.ProtustrankaFormated_1">  TOZ Penkala, Tvornica olovaka, školskog i uredskog pribora Zagreb, d.d.</derivirana_varijabla>
  </DomainObject.Predmet.ProtustrankaFormated>
  <DomainObject.Predmet.ProtustrankaFormatedOIB>
    <izvorni_sadrzaj>  TOZ Penkala, Tvornica olovaka, školskog i uredskog pribora Zagreb, d.d., OIB 41257380203</izvorni_sadrzaj>
    <derivirana_varijabla naziv="DomainObject.Predmet.ProtustrankaFormatedOIB_1">  TOZ Penkala, Tvornica olovaka, školskog i uredskog pribora Zagreb, d.d., OIB 41257380203</derivirana_varijabla>
  </DomainObject.Predmet.ProtustrankaFormatedOIB>
  <DomainObject.Predmet.ProtustrankaFormatedWithAdress>
    <izvorni_sadrzaj> TOZ Penkala, Tvornica olovaka, školskog i uredskog pribora Zagreb, d.d., Poljačka 56, 10000 Zagreb</izvorni_sadrzaj>
    <derivirana_varijabla naziv="DomainObject.Predmet.ProtustrankaFormatedWithAdress_1"> TOZ Penkala, Tvornica olovaka, školskog i uredskog pribora Zagreb, d.d., Poljačka 56, 10000 Zagreb</derivirana_varijabla>
  </DomainObject.Predmet.ProtustrankaFormatedWithAdress>
  <DomainObject.Predmet.ProtustrankaFormatedWithAdressOIB>
    <izvorni_sadrzaj> TOZ Penkala, Tvornica olovaka, školskog i uredskog pribora Zagreb, d.d., OIB 41257380203, Poljačka 56, 10000 Zagreb</izvorni_sadrzaj>
    <derivirana_varijabla naziv="DomainObject.Predmet.ProtustrankaFormatedWithAdressOIB_1"> TOZ Penkala, Tvornica olovaka, školskog i uredskog pribora Zagreb, d.d., OIB 41257380203, Poljačka 56, 10000 Zagreb</derivirana_varijabla>
  </DomainObject.Predmet.ProtustrankaFormatedWithAdressOIB>
  <DomainObject.Predmet.ProtustrankaWithAdress>
    <izvorni_sadrzaj>TOZ Penkala, Tvornica olovaka, školskog i uredskog pribora Zagreb, d.d. Poljačka 56, 10000 Zagreb</izvorni_sadrzaj>
    <derivirana_varijabla naziv="DomainObject.Predmet.ProtustrankaWithAdress_1">TOZ Penkala, Tvornica olovaka, školskog i uredskog pribora Zagreb, d.d. Poljačka 56, 10000 Zagreb</derivirana_varijabla>
  </DomainObject.Predmet.ProtustrankaWithAdress>
  <DomainObject.Predmet.ProtustrankaWithAdressOIB>
    <izvorni_sadrzaj>TOZ Penkala, Tvornica olovaka, školskog i uredskog pribora Zagreb, d.d., OIB 41257380203, Poljačka 56, 10000 Zagreb</izvorni_sadrzaj>
    <derivirana_varijabla naziv="DomainObject.Predmet.ProtustrankaWithAdressOIB_1">TOZ Penkala, Tvornica olovaka, školskog i uredskog pribora Zagreb, d.d., OIB 41257380203, Poljačka 56, 10000 Zagreb</derivirana_varijabla>
  </DomainObject.Predmet.ProtustrankaWithAdressOIB>
  <DomainObject.Predmet.ProtustrankaNazivFormated>
    <izvorni_sadrzaj>TOZ Penkala, Tvornica olovaka, školskog i uredskog pribora Zagreb, d.d.</izvorni_sadrzaj>
    <derivirana_varijabla naziv="DomainObject.Predmet.ProtustrankaNazivFormated_1">TOZ Penkala, Tvornica olovaka, školskog i uredskog pribora Zagreb, d.d.</derivirana_varijabla>
  </DomainObject.Predmet.ProtustrankaNazivFormated>
  <DomainObject.Predmet.ProtustrankaNazivFormatedOIB>
    <izvorni_sadrzaj>TOZ Penkala, Tvornica olovaka, školskog i uredskog pribora Zagreb, d.d., OIB 41257380203</izvorni_sadrzaj>
    <derivirana_varijabla naziv="DomainObject.Predmet.ProtustrankaNazivFormatedOIB_1">TOZ Penkala, Tvornica olovaka, školskog i uredskog pribora Zagreb, d.d., OIB 41257380203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Tvornica olovaka, školskog i uredskog pribora Zagreb, d.d.</izvorni_sadrzaj>
    <derivirana_varijabla naziv="DomainObject.Predmet.StrankaFormated_1">  TOZ Penkala, Tvornica olovaka, školskog i uredskog pribora Zagreb, d.d.</derivirana_varijabla>
  </DomainObject.Predmet.StrankaFormated>
  <DomainObject.Predmet.StrankaFormatedOIB>
    <izvorni_sadrzaj>  TOZ Penkala, Tvornica olovaka, školskog i uredskog pribora Zagreb, d.d., OIB 41257380203</izvorni_sadrzaj>
    <derivirana_varijabla naziv="DomainObject.Predmet.StrankaFormatedOIB_1">  TOZ Penkala, Tvornica olovaka, školskog i uredskog pribora Zagreb, d.d., OIB 41257380203</derivirana_varijabla>
  </DomainObject.Predmet.StrankaFormatedOIB>
  <DomainObject.Predmet.StrankaFormatedWithAdress>
    <izvorni_sadrzaj> TOZ Penkala, Tvornica olovaka, školskog i uredskog pribora Zagreb, d.d., Poljačka 56, 10000 Zagreb</izvorni_sadrzaj>
    <derivirana_varijabla naziv="DomainObject.Predmet.StrankaFormatedWithAdress_1"> TOZ Penkala, Tvornica olovaka, školskog i uredskog pribora Zagreb, d.d., Poljačka 56, 10000 Zagreb</derivirana_varijabla>
  </DomainObject.Predmet.StrankaFormatedWithAdress>
  <DomainObject.Predmet.StrankaFormatedWithAdressOIB>
    <izvorni_sadrzaj> TOZ Penkala, Tvornica olovaka, školskog i uredskog pribora Zagreb, d.d., OIB 41257380203, Poljačka 56, 10000 Zagreb</izvorni_sadrzaj>
    <derivirana_varijabla naziv="DomainObject.Predmet.StrankaFormatedWithAdressOIB_1"> TOZ Penkala, Tvornica olovaka, školskog i uredskog pribora Zagreb, d.d., OIB 41257380203, Poljačka 56, 10000 Zagreb</derivirana_varijabla>
  </DomainObject.Predmet.StrankaFormatedWithAdressOIB>
  <DomainObject.Predmet.StrankaWithAdress>
    <izvorni_sadrzaj>TOZ Penkala, Tvornica olovaka, školskog i uredskog pribora Zagreb, d.d. Poljačka 56,10000 Zagreb</izvorni_sadrzaj>
    <derivirana_varijabla naziv="DomainObject.Predmet.StrankaWithAdress_1">TOZ Penkala, Tvornica olovaka, školskog i uredskog pribora Zagreb, d.d. Poljačka 56,10000 Zagreb</derivirana_varijabla>
  </DomainObject.Predmet.StrankaWithAdress>
  <DomainObject.Predmet.StrankaWithAdressOIB>
    <izvorni_sadrzaj>TOZ Penkala, Tvornica olovaka, školskog i uredskog pribora Zagreb, d.d., OIB 41257380203, Poljačka 56,10000 Zagreb</izvorni_sadrzaj>
    <derivirana_varijabla naziv="DomainObject.Predmet.StrankaWithAdressOIB_1">TOZ Penkala, Tvornica olovaka, školskog i uredskog pribora Zagreb, d.d., OIB 41257380203, Poljačka 56,10000 Zagreb</derivirana_varijabla>
  </DomainObject.Predmet.StrankaWithAdressOIB>
  <DomainObject.Predmet.StrankaNazivFormated>
    <izvorni_sadrzaj>TOZ Penkala, Tvornica olovaka, školskog i uredskog pribora Zagreb, d.d.</izvorni_sadrzaj>
    <derivirana_varijabla naziv="DomainObject.Predmet.StrankaNazivFormated_1">TOZ Penkala, Tvornica olovaka, školskog i uredskog pribora Zagreb, d.d.</derivirana_varijabla>
  </DomainObject.Predmet.StrankaNazivFormated>
  <DomainObject.Predmet.StrankaNazivFormatedOIB>
    <izvorni_sadrzaj>TOZ Penkala, Tvornica olovaka, školskog i uredskog pribora Zagreb, d.d., OIB 41257380203</izvorni_sadrzaj>
    <derivirana_varijabla naziv="DomainObject.Predmet.StrankaNazivFormatedOIB_1">TOZ Penkala, Tvornica olovaka, školskog i uredskog pribora Zagreb, d.d., OIB 41257380203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TOZ Penkala, Tvornica olovaka, školskog i uredskog pribora Zagreb, d.d.</item>
    </izvorni_sadrzaj>
    <derivirana_varijabla naziv="DomainObject.Predmet.StrankaListFormated_1">
      <item>TOZ Penkala, Tvornica olovaka, školskog i uredskog pribora Zagreb, d.d.</item>
    </derivirana_varijabla>
  </DomainObject.Predmet.StrankaListFormated>
  <DomainObject.Predmet.StrankaListFormatedOIB>
    <izvorni_sadrzaj>
      <item>TOZ Penkala, Tvornica olovaka, školskog i uredskog pribora Zagreb, d.d., OIB 41257380203</item>
    </izvorni_sadrzaj>
    <derivirana_varijabla naziv="DomainObject.Predmet.StrankaListFormatedOIB_1">
      <item>TOZ Penkala, Tvornica olovaka, školskog i uredskog pribora Zagreb, d.d., OIB 41257380203</item>
    </derivirana_varijabla>
  </DomainObject.Predmet.StrankaListFormatedOIB>
  <DomainObject.Predmet.StrankaListFormatedWithAdress>
    <izvorni_sadrzaj>
      <item>TOZ Penkala, Tvornica olovaka, školskog i uredskog pribora Zagreb, d.d., Poljačka 56, 10000 Zagreb</item>
    </izvorni_sadrzaj>
    <derivirana_varijabla naziv="DomainObject.Predmet.StrankaListFormatedWithAdress_1">
      <item>TOZ Penkala, Tvornica olovaka, školskog i uredskog pribora Zagreb, d.d., Poljačka 56, 10000 Zagreb</item>
    </derivirana_varijabla>
  </DomainObject.Predmet.StrankaListFormatedWithAdress>
  <DomainObject.Predmet.StrankaListFormatedWithAdressOIB>
    <izvorni_sadrzaj>
      <item>TOZ Penkala, Tvornica olovaka, školskog i uredskog pribora Zagreb, d.d., OIB 41257380203, Poljačka 56, 10000 Zagreb</item>
    </izvorni_sadrzaj>
    <derivirana_varijabla naziv="DomainObject.Predmet.StrankaListFormatedWithAdressOIB_1">
      <item>TOZ Penkala, Tvornica olovaka, školskog i uredskog pribora Zagreb, d.d., OIB 41257380203, Poljačka 56, 10000 Zagreb</item>
    </derivirana_varijabla>
  </DomainObject.Predmet.StrankaListFormatedWithAdressOIB>
  <DomainObject.Predmet.StrankaListNazivFormated>
    <izvorni_sadrzaj>
      <item>TOZ Penkala, Tvornica olovaka, školskog i uredskog pribora Zagreb, d.d.</item>
    </izvorni_sadrzaj>
    <derivirana_varijabla naziv="DomainObject.Predmet.StrankaListNazivFormated_1">
      <item>TOZ Penkala, Tvornica olovaka, školskog i uredskog pribora Zagreb, d.d.</item>
    </derivirana_varijabla>
  </DomainObject.Predmet.StrankaListNazivFormated>
  <DomainObject.Predmet.StrankaListNazivFormatedOIB>
    <izvorni_sadrzaj>
      <item>TOZ Penkala, Tvornica olovaka, školskog i uredskog pribora Zagreb, d.d., OIB 41257380203</item>
    </izvorni_sadrzaj>
    <derivirana_varijabla naziv="DomainObject.Predmet.StrankaListNazivFormatedOIB_1">
      <item>TOZ Penkala, Tvornica olovaka, školskog i uredskog pribora Zagreb, d.d., OIB 41257380203</item>
    </derivirana_varijabla>
  </DomainObject.Predmet.StrankaListNazivFormatedOIB>
  <DomainObject.Predmet.ProtuStrankaListFormated>
    <izvorni_sadrzaj>
      <item>TOZ Penkala, Tvornica olovaka, školskog i uredskog pribora Zagreb, d.d.</item>
    </izvorni_sadrzaj>
    <derivirana_varijabla naziv="DomainObject.Predmet.ProtuStrankaListFormated_1">
      <item>TOZ Penkala, Tvornica olovaka, školskog i uredskog pribora Zagreb, d.d.</item>
    </derivirana_varijabla>
  </DomainObject.Predmet.ProtuStrankaListFormated>
  <DomainObject.Predmet.ProtuStrankaListFormatedOIB>
    <izvorni_sadrzaj>
      <item>TOZ Penkala, Tvornica olovaka, školskog i uredskog pribora Zagreb, d.d., OIB 41257380203</item>
    </izvorni_sadrzaj>
    <derivirana_varijabla naziv="DomainObject.Predmet.ProtuStrankaListFormatedOIB_1">
      <item>TOZ Penkala, Tvornica olovaka, školskog i uredskog pribora Zagreb, d.d., OIB 41257380203</item>
    </derivirana_varijabla>
  </DomainObject.Predmet.ProtuStrankaListFormatedOIB>
  <DomainObject.Predmet.ProtuStrankaListFormatedWithAdress>
    <izvorni_sadrzaj>
      <item>TOZ Penkala, Tvornica olovaka, školskog i uredskog pribora Zagreb, d.d., Poljačka 56, 10000 Zagreb</item>
    </izvorni_sadrzaj>
    <derivirana_varijabla naziv="DomainObject.Predmet.ProtuStrankaListFormatedWithAdress_1">
      <item>TOZ Penkala, Tvornica olovaka, školskog i uredskog pribora Zagreb, d.d., Poljačka 56, 10000 Zagreb</item>
    </derivirana_varijabla>
  </DomainObject.Predmet.ProtuStrankaListFormatedWithAdress>
  <DomainObject.Predmet.ProtuStrankaListFormatedWithAdressOIB>
    <izvorni_sadrzaj>
      <item>TOZ Penkala, Tvornica olovaka, školskog i uredskog pribora Zagreb, d.d., OIB 41257380203, Poljačka 56, 10000 Zagreb</item>
    </izvorni_sadrzaj>
    <derivirana_varijabla naziv="DomainObject.Predmet.ProtuStrankaListFormatedWithAdressOIB_1">
      <item>TOZ Penkala, Tvornica olovaka, školskog i uredskog pribora Zagreb, d.d., OIB 41257380203, Poljačka 56, 10000 Zagreb</item>
    </derivirana_varijabla>
  </DomainObject.Predmet.ProtuStrankaListFormatedWithAdressOIB>
  <DomainObject.Predmet.ProtuStrankaListNazivFormated>
    <izvorni_sadrzaj>
      <item>TOZ Penkala, Tvornica olovaka, školskog i uredskog pribora Zagreb, d.d.</item>
    </izvorni_sadrzaj>
    <derivirana_varijabla naziv="DomainObject.Predmet.ProtuStrankaListNazivFormated_1">
      <item>TOZ Penkala, Tvornica olovaka, školskog i uredskog pribora Zagreb, d.d.</item>
    </derivirana_varijabla>
  </DomainObject.Predmet.ProtuStrankaListNazivFormated>
  <DomainObject.Predmet.ProtuStrankaListNazivFormatedOIB>
    <izvorni_sadrzaj>
      <item>TOZ Penkala, Tvornica olovaka, školskog i uredskog pribora Zagreb, d.d., OIB 41257380203</item>
    </izvorni_sadrzaj>
    <derivirana_varijabla naziv="DomainObject.Predmet.ProtuStrankaListNazivFormatedOIB_1">
      <item>TOZ Penkala, Tvornica olovaka, školskog i uredskog pribora Zagreb, d.d., OIB 41257380203</item>
    </derivirana_varijabla>
  </DomainObject.Predmet.ProtuStrankaListNazivFormatedOIB>
  <DomainObject.Predmet.OstaliListFormated>
    <izvorni_sadrzaj>
      <item>TIHOMIR LALIĆ</item>
      <item>Milorad Zajkovski</item>
      <item>Borka Bajić</item>
      <item>Zoran Kralj</item>
      <item>Boris Anišić</item>
    </izvorni_sadrzaj>
    <derivirana_varijabla naziv="DomainObject.Predmet.OstaliListFormated_1">
      <item>TIHOMIR LALIĆ</item>
      <item>Milorad Zajkovski</item>
      <item>Borka Bajić</item>
      <item>Zoran Kralj</item>
      <item>Boris Anišić</item>
    </derivirana_varijabla>
  </DomainObject.Predmet.OstaliListFormated>
  <DomainObject.Predmet.OstaliListFormatedOIB>
    <izvorni_sadrzaj>
      <item>TIHOMIR LALIĆ</item>
      <item>Milorad Zajkovski, OIB 59768013642</item>
      <item>Borka Bajić</item>
      <item>Zoran Kralj</item>
      <item>Boris Anišić</item>
    </izvorni_sadrzaj>
    <derivirana_varijabla naziv="DomainObject.Predmet.OstaliListFormatedOIB_1">
      <item>TIHOMIR LALIĆ</item>
      <item>Milorad Zajkovski, OIB 59768013642</item>
      <item>Borka Bajić</item>
      <item>Zoran Kralj</item>
      <item>Boris Anišić</item>
    </derivirana_varijabla>
  </DomainObject.Predmet.OstaliListFormatedOIB>
  <DomainObject.Predmet.OstaliListFormatedWithAdress>
    <izvorni_sadrzaj>
      <item>TIHOMIR LALIĆ, BOŽIDARA MAGOVCA 68, 10000 Zagreb</item>
      <item>Milorad Zajkovski, Ivana Vencla 32, 10290 Zaprešić</item>
      <item>Borka Bajić, Biankinijeva 17/II, 10000 Zagreb</item>
      <item>Zoran Kralj, Dankovečka 8, 10000 Zagreb</item>
      <item>Boris Anišić, Ilica 191 B/I, 10000 Zagreb</item>
    </izvorni_sadrzaj>
    <derivirana_varijabla naziv="DomainObject.Predmet.OstaliListFormatedWithAdress_1">
      <item>TIHOMIR LALIĆ, BOŽIDARA MAGOVCA 68, 10000 Zagreb</item>
      <item>Milorad Zajkovski, Ivana Vencla 32, 10290 Zaprešić</item>
      <item>Borka Bajić, Biankinijeva 17/II, 10000 Zagreb</item>
      <item>Zoran Kralj, Dankovečka 8, 10000 Zagreb</item>
      <item>Boris Anišić, Ilica 191 B/I, 10000 Zagreb</item>
    </derivirana_varijabla>
  </DomainObject.Predmet.OstaliListFormatedWithAdress>
  <DomainObject.Predmet.OstaliListFormatedWithAdressOIB>
    <izvorni_sadrzaj>
      <item>TIHOMIR LALIĆ, BOŽIDARA MAGOVCA 68, 10000 Zagreb</item>
      <item>Milorad Zajkovski, OIB 59768013642, Ivana Vencla 32, 10290 Zaprešić</item>
      <item>Borka Bajić, Biankinijeva 17/II, 10000 Zagreb</item>
      <item>Zoran Kralj, Dankovečka 8, 10000 Zagreb</item>
      <item>Boris Anišić, Ilica 191 B/I, 10000 Zagreb</item>
    </izvorni_sadrzaj>
    <derivirana_varijabla naziv="DomainObject.Predmet.OstaliListFormatedWithAdressOIB_1">
      <item>TIHOMIR LALIĆ, BOŽIDARA MAGOVCA 68, 10000 Zagreb</item>
      <item>Milorad Zajkovski, OIB 59768013642, Ivana Vencla 32, 10290 Zaprešić</item>
      <item>Borka Bajić, Biankinijeva 17/II, 10000 Zagreb</item>
      <item>Zoran Kralj, Dankovečka 8, 10000 Zagreb</item>
      <item>Boris Anišić, Ilica 191 B/I, 10000 Zagreb</item>
    </derivirana_varijabla>
  </DomainObject.Predmet.OstaliListFormatedWithAdressOIB>
  <DomainObject.Predmet.OstaliListNazivFormated>
    <izvorni_sadrzaj>
      <item>TIHOMIR LALIĆ</item>
      <item>Milorad Zajkovski</item>
      <item>Borka Bajić</item>
      <item>Zoran Kralj</item>
      <item>Boris Anišić</item>
    </izvorni_sadrzaj>
    <derivirana_varijabla naziv="DomainObject.Predmet.OstaliListNazivFormated_1">
      <item>TIHOMIR LALIĆ</item>
      <item>Milorad Zajkovski</item>
      <item>Borka Bajić</item>
      <item>Zoran Kralj</item>
      <item>Boris Anišić</item>
    </derivirana_varijabla>
  </DomainObject.Predmet.OstaliListNazivFormated>
  <DomainObject.Predmet.OstaliListNazivFormatedOIB>
    <izvorni_sadrzaj>
      <item>TIHOMIR LALIĆ</item>
      <item>Milorad Zajkovski, OIB 59768013642</item>
      <item>Borka Bajić</item>
      <item>Zoran Kralj</item>
      <item>Boris Anišić</item>
    </izvorni_sadrzaj>
    <derivirana_varijabla naziv="DomainObject.Predmet.OstaliListNazivFormatedOIB_1">
      <item>TIHOMIR LALIĆ</item>
      <item>Milorad Zajkovski, OIB 59768013642</item>
      <item>Borka Bajić</item>
      <item>Zoran Kralj</item>
      <item>Boris Anišić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TOZ Penkala, Tvornica olovaka, školskog i uredskog pribora Zagreb, d.d.</izvorni_sadrzaj>
    <derivirana_varijabla naziv="DomainObject.Predmet.StrankaIDrugi_1">TOZ Penkala, Tvornica olovaka, školskog i uredskog pribora Zagreb, d.d.</derivirana_varijabla>
  </DomainObject.Predmet.StrankaIDrugi>
  <DomainObject.Predmet.ProtustrankaIDrugi>
    <izvorni_sadrzaj>TOZ Penkala, Tvornica olovaka, školskog i uredskog pribora Zagreb, d.d.</izvorni_sadrzaj>
    <derivirana_varijabla naziv="DomainObject.Predmet.ProtustrankaIDrugi_1">TOZ Penkala, Tvornica olovaka, školskog i uredskog pribora Zagreb, d.d.</derivirana_varijabla>
  </DomainObject.Predmet.ProtustrankaIDrugi>
  <DomainObject.Predmet.StrankaIDrugiAdressOIB>
    <izvorni_sadrzaj>TOZ Penkala, Tvornica olovaka, školskog i uredskog pribora Zagreb, d.d., OIB 41257380203, Poljačka 56, 10000 Zagreb</izvorni_sadrzaj>
    <derivirana_varijabla naziv="DomainObject.Predmet.StrankaIDrugiAdressOIB_1">TOZ Penkala, Tvornica olovaka, školskog i uredskog pribora Zagreb, d.d., OIB 41257380203, Poljačka 56, 10000 Zagreb</derivirana_varijabla>
  </DomainObject.Predmet.StrankaIDrugiAdressOIB>
  <DomainObject.Predmet.ProtustrankaIDrugiAdressOIB>
    <izvorni_sadrzaj>TOZ Penkala, Tvornica olovaka, školskog i uredskog pribora Zagreb, d.d., OIB 41257380203, Poljačka 56, 10000 Zagreb</izvorni_sadrzaj>
    <derivirana_varijabla naziv="DomainObject.Predmet.ProtustrankaIDrugiAdressOIB_1">TOZ Penkala, Tvornica olovaka, školskog i uredskog pribora Zagreb, d.d., OIB 41257380203, Poljačka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TOZ Penkala, Tvornica olovaka, školskog i uredskog pribora Zagreb, d.d.</item>
      <item>TOZ Penkala, Tvornica olovaka, školskog i uredskog pribora Zagreb, d.d.</item>
      <item>TIHOMIR LALIĆ</item>
      <item>Milorad Zajkovski</item>
      <item>Borka Bajić</item>
      <item>Zoran Kralj</item>
      <item>Boris Anišić</item>
    </izvorni_sadrzaj>
    <derivirana_varijabla naziv="DomainObject.Predmet.SudioniciListNaziv_1">
      <item>TOZ Penkala, Tvornica olovaka, školskog i uredskog pribora Zagreb, d.d.</item>
      <item>TOZ Penkala, Tvornica olovaka, školskog i uredskog pribora Zagreb, d.d.</item>
      <item>TIHOMIR LALIĆ</item>
      <item>Milorad Zajkovski</item>
      <item>Borka Bajić</item>
      <item>Zoran Kralj</item>
      <item>Boris Anišić</item>
    </derivirana_varijabla>
  </DomainObject.Predmet.SudioniciListNaziv>
  <DomainObject.Predmet.SudioniciListAdressOIB>
    <izvorni_sadrzaj>
      <item>TOZ Penkala, Tvornica olovaka, školskog i uredskog pribora Zagreb, d.d., OIB 41257380203, Poljačka 56,10000 Zagreb</item>
      <item>TOZ Penkala, Tvornica olovaka, školskog i uredskog pribora Zagreb, d.d., OIB 41257380203, Poljačka 56,10000 Zagreb</item>
      <item>TIHOMIR LALIĆ, BOŽIDARA MAGOVCA 68,10000 Zagreb</item>
      <item>Milorad Zajkovski, OIB 59768013642, Ivana Vencla 32,10290 Zaprešić</item>
      <item>Borka Bajić, Biankinijeva 17/II,10000 Zagreb</item>
      <item>Zoran Kralj, Dankovečka 8,10000 Zagreb</item>
      <item>Boris Anišić, Ilica 191 B/I,10000 Zagreb</item>
    </izvorni_sadrzaj>
    <derivirana_varijabla naziv="DomainObject.Predmet.SudioniciListAdressOIB_1">
      <item>TOZ Penkala, Tvornica olovaka, školskog i uredskog pribora Zagreb, d.d., OIB 41257380203, Poljačka 56,10000 Zagreb</item>
      <item>TOZ Penkala, Tvornica olovaka, školskog i uredskog pribora Zagreb, d.d., OIB 41257380203, Poljačka 56,10000 Zagreb</item>
      <item>TIHOMIR LALIĆ, BOŽIDARA MAGOVCA 68,10000 Zagreb</item>
      <item>Milorad Zajkovski, OIB 59768013642, Ivana Vencla 32,10290 Zaprešić</item>
      <item>Borka Bajić, Biankinijeva 17/II,10000 Zagreb</item>
      <item>Zoran Kralj, Dankovečka 8,10000 Zagreb</item>
      <item>Boris Anišić, Ilica 191 B/I,10000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41257380203</item>
      <item>, OIB 41257380203</item>
      <item>, OIB null</item>
      <item>, OIB 59768013642</item>
      <item>, OIB null</item>
      <item>, OIB null</item>
      <item>, OIB null</item>
    </izvorni_sadrzaj>
    <derivirana_varijabla naziv="DomainObject.Predmet.SudioniciListNazivOIB_1">
      <item>, OIB 41257380203</item>
      <item>, OIB 41257380203</item>
      <item>, OIB null</item>
      <item>, OIB 59768013642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E7A1CC-53CD-48AE-8679-EC58BE8A2B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1215</properties:Words>
  <properties:Characters>7030</properties:Characters>
  <properties:Lines>134</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Vts</vt:lpstr>
    </vt:vector>
  </properties:TitlesOfParts>
  <properties:LinksUpToDate>false</properties:LinksUpToDate>
  <properties:CharactersWithSpaces>8378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2016-05-13T07:32:00Z</dcterms:created>
  <dc:creator>agalic</dc:creator>
  <cp:lastModifiedBy>Valentina Delač</cp:lastModifiedBy>
  <cp:lastPrinted>2016-05-16T11:05:00Z</cp:lastPrinted>
  <dcterms:modified xmlns:xsi="http://www.w3.org/2001/XMLSchema-instance" xsi:type="dcterms:W3CDTF">2016-05-23T11:21:00Z</dcterms:modified>
  <cp:revision>10</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