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c913" w14:paraId="169c913" w:rsidRDefault="00956347" w:rsidP="002A01A2" w:rsidR="002A01A2" w:rsidRPr="002A01A2">
      <w:pPr>
        <w:spacing w:lineRule="auto" w:line="240" w:after="0"/>
        <w15:collapsed w:val="false"/>
        <w:rPr>
          <w:rFonts w:cs="Times New Roman" w:eastAsia="Times New Roman" w:hAnsi="Tahoma" w:ascii="Tahoma"/>
          <w:b/>
          <w:lang w:eastAsia="hr-HR"/>
        </w:rPr>
      </w:pPr>
      <w:r>
        <w:rPr>
          <w:rFonts w:cs="Times New Roman" w:eastAsia="Times New Roman" w:hAnsi="Tahoma" w:ascii="Tahoma"/>
          <w:b/>
          <w:noProof/>
          <w:lang w:eastAsia="hr-HR"/>
        </w:rPr>
        <w:drawing>
          <wp:inline distR="0" distL="0" distB="0" distT="0">
            <wp:extent cy="7674885" cx="5579745"/>
            <wp:effectExtent b="2540" r="1905" t="0" l="0"/>
            <wp:docPr descr="C:\Users\zvitez\AppData\Local\Microsoft\Windows\Temporary Internet Files\Content.Outlook\BUAJH1QU\Slika (2) (2).jpg" name="Slika 1" id="1"/>
            <wp:cNvGraphicFramePr>
              <a:graphicFrameLocks noChangeAspect="true"/>
            </wp:cNvGraphicFramePr>
            <a:graphic>
              <a:graphicData uri="http://schemas.openxmlformats.org/drawingml/2006/picture">
                <pic:pic>
                  <pic:nvPicPr>
                    <pic:cNvPr descr="C:\Users\zvitez\AppData\Local\Microsoft\Windows\Temporary Internet Files\Content.Outlook\BUAJH1QU\Slika (2) (2).jp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74885" cx="5579745"/>
                    </a:xfrm>
                    <a:prstGeom prst="rect">
                      <a:avLst/>
                    </a:prstGeom>
                    <a:noFill/>
                    <a:ln>
                      <a:noFill/>
                    </a:ln>
                  </pic:spPr>
                </pic:pic>
              </a:graphicData>
            </a:graphic>
          </wp:inline>
        </w:drawing>
      </w:r>
    </w:p>
    <w:p w:rsidRDefault="002A01A2" w:rsidP="002A01A2" w:rsidR="002A01A2" w:rsidRPr="002A01A2">
      <w:pPr>
        <w:spacing w:lineRule="auto" w:line="240" w:after="0"/>
        <w:rPr>
          <w:rFonts w:cs="Times New Roman" w:eastAsia="Times New Roman" w:hAnsi="Tahoma" w:ascii="Tahoma"/>
          <w:b/>
          <w:lang w:eastAsia="hr-HR"/>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956347" w:rsidP="002A01A2" w:rsidR="00956347">
      <w:pPr>
        <w:spacing w:lineRule="auto" w:line="240" w:after="0"/>
        <w:rPr>
          <w:rFonts w:cs="Tahoma" w:hAnsi="Tahoma" w:ascii="Tahoma"/>
          <w:b/>
          <w:noProof/>
          <w:sz w:val="24"/>
          <w:szCs w:val="24"/>
        </w:rPr>
      </w:pPr>
    </w:p>
    <w:p w:rsidRDefault="002A01A2" w:rsidP="002A01A2" w:rsidR="002A01A2" w:rsidRPr="002A01A2">
      <w:pPr>
        <w:spacing w:lineRule="auto" w:line="240" w:after="0"/>
        <w:rPr>
          <w:rFonts w:cs="Tahoma" w:hAnsi="Tahoma" w:ascii="Tahoma"/>
          <w:b/>
          <w:noProof/>
          <w:sz w:val="24"/>
          <w:szCs w:val="24"/>
        </w:rPr>
      </w:pPr>
      <w:bookmarkStart w:name="_GoBack" w:id="0"/>
      <w:bookmarkEnd w:id="0"/>
      <w:r w:rsidRPr="002A01A2">
        <w:rPr>
          <w:rFonts w:cs="Tahoma" w:hAnsi="Tahoma" w:ascii="Tahoma"/>
          <w:b/>
          <w:noProof/>
          <w:sz w:val="24"/>
          <w:szCs w:val="24"/>
        </w:rPr>
        <w:t>INFORMATIVNI CENTAR BJELOVAR d.o.o. u stečaju</w:t>
      </w:r>
    </w:p>
    <w:p w:rsidRDefault="002A01A2" w:rsidP="002A01A2" w:rsidR="002A01A2" w:rsidRPr="002A01A2">
      <w:pPr>
        <w:spacing w:lineRule="auto" w:line="240" w:after="0"/>
        <w:rPr>
          <w:rFonts w:cs="Tahoma" w:hAnsi="Tahoma" w:ascii="Tahoma"/>
          <w:noProof/>
          <w:sz w:val="24"/>
          <w:szCs w:val="24"/>
        </w:rPr>
      </w:pPr>
      <w:r w:rsidRPr="002A01A2">
        <w:rPr>
          <w:rFonts w:cs="Tahoma" w:hAnsi="Tahoma" w:ascii="Tahoma"/>
          <w:noProof/>
          <w:sz w:val="24"/>
          <w:szCs w:val="24"/>
        </w:rPr>
        <w:t xml:space="preserve"> Bjelovar, Trg Eugena Kvaternika bb</w:t>
      </w: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STEČAJNI PLAN</w:t>
      </w: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za stečajnog dužnika</w:t>
      </w: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 xml:space="preserve"> INFORMATIVNI CENTAR BJELOVAR d.o.o. u stečaju</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PRIPREMNA OSNOVA</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 xml:space="preserve"> </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Bjelovar,  28. svibnja 2018. godine</w:t>
      </w:r>
    </w:p>
    <w:p w:rsidRDefault="002A01A2" w:rsidP="002A01A2" w:rsidR="002A01A2" w:rsidRPr="002A01A2">
      <w:pPr>
        <w:spacing w:lineRule="auto" w:line="240" w:after="0"/>
        <w:jc w:val="center"/>
        <w:rPr>
          <w:rFonts w:cs="Tahoma" w:hAnsi="Tahoma" w:ascii="Tahoma"/>
          <w:b/>
          <w:noProof/>
          <w:sz w:val="40"/>
          <w:szCs w:val="40"/>
        </w:rPr>
        <w:sectPr w:rsidSect="002A01A2" w:rsidR="002A01A2" w:rsidRPr="002A01A2">
          <w:footerReference w:type="default" r:id="rId9"/>
          <w:headerReference w:type="first" r:id="rId10"/>
          <w:footerReference w:type="first" r:id="rId11"/>
          <w:pgSz w:h="16838" w:w="11906"/>
          <w:pgMar w:gutter="0" w:footer="709" w:header="709" w:left="1701" w:bottom="1418" w:right="1418" w:top="993"/>
          <w:cols w:space="708"/>
          <w:titlePg/>
          <w:docGrid w:linePitch="360"/>
        </w:sectPr>
      </w:pPr>
    </w:p>
    <w:p w:rsidRDefault="002A01A2" w:rsidP="002A01A2" w:rsidR="002A01A2" w:rsidRPr="002A01A2">
      <w:pPr>
        <w:tabs>
          <w:tab w:pos="440" w:val="left"/>
          <w:tab w:pos="9062" w:leader="dot" w:val="right"/>
        </w:tabs>
        <w:spacing w:lineRule="auto" w:line="240" w:after="100"/>
        <w:jc w:val="center"/>
        <w:rPr>
          <w:rFonts w:cs="Times New Roman" w:eastAsia="Times New Roman" w:hAnsi="Tahoma" w:ascii="Tahoma"/>
          <w:b/>
          <w:sz w:val="24"/>
          <w:lang w:eastAsia="hr-HR"/>
        </w:rPr>
      </w:pPr>
      <w:r w:rsidRPr="002A01A2">
        <w:rPr>
          <w:rFonts w:cs="Times New Roman" w:eastAsia="Times New Roman" w:hAnsi="Tahoma" w:ascii="Tahoma"/>
          <w:b/>
          <w:sz w:val="24"/>
          <w:lang w:eastAsia="hr-HR"/>
        </w:rPr>
        <w:lastRenderedPageBreak/>
        <w:t>SADRŽAJ</w:t>
      </w:r>
    </w:p>
    <w:p w:rsidRDefault="002A01A2" w:rsidP="002A01A2" w:rsidR="002A01A2" w:rsidRPr="002A01A2">
      <w:pPr>
        <w:tabs>
          <w:tab w:pos="440" w:val="left"/>
          <w:tab w:pos="9062" w:leader="dot" w:val="right"/>
        </w:tabs>
        <w:spacing w:lineRule="auto" w:line="240" w:after="100"/>
        <w:jc w:val="center"/>
        <w:rPr>
          <w:rFonts w:cs="Times New Roman" w:eastAsia="Times New Roman" w:hAnsi="Tahoma" w:ascii="Tahoma"/>
          <w:sz w:val="24"/>
          <w:lang w:eastAsia="hr-HR"/>
        </w:rPr>
      </w:pPr>
    </w:p>
    <w:p w:rsidRDefault="002A01A2"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r w:rsidRPr="002A01A2">
        <w:rPr>
          <w:rFonts w:cs="Times New Roman" w:eastAsia="Times New Roman" w:hAnsi="Tahoma" w:ascii="Tahoma"/>
          <w:color w:themeColor="text1" w:val="000000"/>
          <w:sz w:val="20"/>
          <w:szCs w:val="20"/>
          <w:lang w:eastAsia="hr-HR"/>
        </w:rPr>
        <w:fldChar w:fldCharType="begin"/>
      </w:r>
      <w:r w:rsidRPr="002A01A2">
        <w:rPr>
          <w:rFonts w:cs="Times New Roman" w:eastAsia="Times New Roman" w:hAnsi="Tahoma" w:ascii="Tahoma"/>
          <w:color w:themeColor="text1" w:val="000000"/>
          <w:sz w:val="20"/>
          <w:szCs w:val="20"/>
          <w:lang w:eastAsia="hr-HR"/>
        </w:rPr>
        <w:instrText xml:space="preserve"> TOC \h \z \t "Poglavlja;1" </w:instrText>
      </w:r>
      <w:r w:rsidRPr="002A01A2">
        <w:rPr>
          <w:rFonts w:cs="Times New Roman" w:eastAsia="Times New Roman" w:hAnsi="Tahoma" w:ascii="Tahoma"/>
          <w:color w:themeColor="text1" w:val="000000"/>
          <w:sz w:val="20"/>
          <w:szCs w:val="20"/>
          <w:lang w:eastAsia="hr-HR"/>
        </w:rPr>
        <w:fldChar w:fldCharType="separate"/>
      </w:r>
      <w:hyperlink w:anchor="_Toc514765934" w:history="true">
        <w:r w:rsidRPr="002A01A2">
          <w:rPr>
            <w:rFonts w:cs="Times New Roman" w:eastAsia="Times New Roman" w:hAnsi="Tahoma" w:ascii="Tahoma"/>
            <w:noProof/>
            <w:color w:val="0000FF"/>
            <w:sz w:val="20"/>
            <w:szCs w:val="20"/>
            <w:u w:val="single"/>
            <w:lang w:eastAsia="hr-HR"/>
          </w:rPr>
          <w:t>1.</w:t>
        </w:r>
        <w:r w:rsidRPr="002A01A2">
          <w:rPr>
            <w:rFonts w:eastAsiaTheme="minorEastAsia"/>
            <w:noProof/>
            <w:sz w:val="20"/>
            <w:szCs w:val="20"/>
            <w:lang w:eastAsia="hr-HR"/>
          </w:rPr>
          <w:tab/>
        </w:r>
        <w:r w:rsidRPr="002A01A2">
          <w:rPr>
            <w:rFonts w:cs="Times New Roman" w:eastAsia="Times New Roman" w:hAnsi="Tahoma" w:ascii="Tahoma"/>
            <w:noProof/>
            <w:color w:val="0000FF"/>
            <w:sz w:val="20"/>
            <w:szCs w:val="20"/>
            <w:u w:val="single"/>
            <w:lang w:eastAsia="hr-HR"/>
          </w:rPr>
          <w:t>Osnovni podaci o stečajnom dužniku</w:t>
        </w:r>
        <w:r w:rsidRPr="002A01A2">
          <w:rPr>
            <w:rFonts w:cs="Times New Roman" w:eastAsia="Times New Roman" w:hAnsi="Tahoma" w:ascii="Tahoma"/>
            <w:noProof/>
            <w:webHidden/>
            <w:sz w:val="20"/>
            <w:szCs w:val="20"/>
            <w:lang w:eastAsia="hr-HR"/>
          </w:rPr>
          <w:tab/>
        </w:r>
        <w:r w:rsidRPr="002A01A2">
          <w:rPr>
            <w:rFonts w:cs="Times New Roman" w:eastAsia="Times New Roman" w:hAnsi="Tahoma" w:ascii="Tahoma"/>
            <w:noProof/>
            <w:webHidden/>
            <w:sz w:val="20"/>
            <w:szCs w:val="20"/>
            <w:lang w:eastAsia="hr-HR"/>
          </w:rPr>
          <w:fldChar w:fldCharType="begin"/>
        </w:r>
        <w:r w:rsidRPr="002A01A2">
          <w:rPr>
            <w:rFonts w:cs="Times New Roman" w:eastAsia="Times New Roman" w:hAnsi="Tahoma" w:ascii="Tahoma"/>
            <w:noProof/>
            <w:webHidden/>
            <w:sz w:val="20"/>
            <w:szCs w:val="20"/>
            <w:lang w:eastAsia="hr-HR"/>
          </w:rPr>
          <w:instrText xml:space="preserve"> PAGEREF _Toc514765934 \h </w:instrText>
        </w:r>
        <w:r w:rsidRPr="002A01A2">
          <w:rPr>
            <w:rFonts w:cs="Times New Roman" w:eastAsia="Times New Roman" w:hAnsi="Tahoma" w:ascii="Tahoma"/>
            <w:noProof/>
            <w:webHidden/>
            <w:sz w:val="20"/>
            <w:szCs w:val="20"/>
            <w:lang w:eastAsia="hr-HR"/>
          </w:rPr>
        </w:r>
        <w:r w:rsidRPr="002A01A2">
          <w:rPr>
            <w:rFonts w:cs="Times New Roman" w:eastAsia="Times New Roman" w:hAnsi="Tahoma" w:ascii="Tahoma"/>
            <w:noProof/>
            <w:webHidden/>
            <w:sz w:val="20"/>
            <w:szCs w:val="20"/>
            <w:lang w:eastAsia="hr-HR"/>
          </w:rPr>
          <w:fldChar w:fldCharType="separate"/>
        </w:r>
        <w:r w:rsidRPr="002A01A2">
          <w:rPr>
            <w:rFonts w:cs="Times New Roman" w:eastAsia="Times New Roman" w:hAnsi="Tahoma" w:ascii="Tahoma"/>
            <w:noProof/>
            <w:webHidden/>
            <w:sz w:val="20"/>
            <w:szCs w:val="20"/>
            <w:lang w:eastAsia="hr-HR"/>
          </w:rPr>
          <w:t>3</w:t>
        </w:r>
        <w:r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35" w:history="true">
        <w:r w:rsidR="002A01A2" w:rsidRPr="002A01A2">
          <w:rPr>
            <w:rFonts w:cs="Times New Roman" w:eastAsia="Times New Roman" w:hAnsi="Tahoma" w:ascii="Tahoma"/>
            <w:noProof/>
            <w:color w:val="0000FF"/>
            <w:sz w:val="20"/>
            <w:szCs w:val="20"/>
            <w:u w:val="single"/>
            <w:lang w:eastAsia="hr-HR"/>
          </w:rPr>
          <w:t>2.</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Gospodarski  položaj stečajnog dužnika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_Toc514765935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4</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36" w:history="true">
        <w:r w:rsidR="002A01A2" w:rsidRPr="002A01A2">
          <w:rPr>
            <w:rFonts w:cs="Times New Roman" w:eastAsia="Times New Roman" w:hAnsi="Tahoma" w:ascii="Tahoma"/>
            <w:noProof/>
            <w:color w:val="0000FF"/>
            <w:sz w:val="20"/>
            <w:szCs w:val="20"/>
            <w:u w:val="single"/>
            <w:lang w:eastAsia="hr-HR"/>
          </w:rPr>
          <w:t>3.</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Dosadašnji tijek stečajnog postupka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_Toc514765936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5</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37" w:history="true">
        <w:r w:rsidR="002A01A2" w:rsidRPr="002A01A2">
          <w:rPr>
            <w:rFonts w:cs="Times New Roman" w:eastAsia="Times New Roman" w:hAnsi="Tahoma" w:ascii="Tahoma"/>
            <w:noProof/>
            <w:color w:val="0000FF"/>
            <w:sz w:val="20"/>
            <w:szCs w:val="20"/>
            <w:u w:val="single"/>
            <w:lang w:eastAsia="hr-HR"/>
          </w:rPr>
          <w:t>4.</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Imovina stečajnog dužnika (stečajna masa)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_Toc514765937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6</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38" w:history="true">
        <w:r w:rsidR="002A01A2" w:rsidRPr="002A01A2">
          <w:rPr>
            <w:rFonts w:cs="Times New Roman" w:eastAsia="Times New Roman" w:hAnsi="Tahoma" w:ascii="Tahoma"/>
            <w:noProof/>
            <w:color w:val="0000FF"/>
            <w:sz w:val="20"/>
            <w:szCs w:val="20"/>
            <w:u w:val="single"/>
            <w:lang w:eastAsia="hr-HR"/>
          </w:rPr>
          <w:t>5.</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Likvidacijska vrijednost imovine stečajnog dužnika i namirenje vjerovnika iz te vrijednosti</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_Toc514765938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6</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39" w:history="true">
        <w:r w:rsidR="002A01A2" w:rsidRPr="002A01A2">
          <w:rPr>
            <w:rFonts w:cs="Times New Roman" w:eastAsia="Times New Roman" w:hAnsi="Tahoma" w:ascii="Tahoma"/>
            <w:noProof/>
            <w:color w:val="0000FF"/>
            <w:sz w:val="20"/>
            <w:szCs w:val="20"/>
            <w:u w:val="single"/>
            <w:lang w:eastAsia="hr-HR"/>
          </w:rPr>
          <w:t>6.</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Vrijednost imovine stečajnog dužnika za slučaj nastavka poslovanja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_Toc514765939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7</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0" w:history="true">
        <w:r w:rsidR="002A01A2" w:rsidRPr="002A01A2">
          <w:rPr>
            <w:rFonts w:cs="Times New Roman" w:eastAsia="Times New Roman" w:hAnsi="Tahoma" w:ascii="Tahoma"/>
            <w:noProof/>
            <w:color w:val="0000FF"/>
            <w:sz w:val="20"/>
            <w:szCs w:val="20"/>
            <w:u w:val="single"/>
            <w:lang w:eastAsia="hr-HR"/>
          </w:rPr>
          <w:t>7.</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Obveze stečajnog dužnika prema stečajnim vjerovnicima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_Toc514765940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7</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1" w:history="true">
        <w:r w:rsidR="002A01A2" w:rsidRPr="002A01A2">
          <w:rPr>
            <w:rFonts w:cs="Times New Roman" w:eastAsia="Times New Roman" w:hAnsi="Tahoma" w:ascii="Tahoma"/>
            <w:iCs/>
            <w:noProof/>
            <w:color w:val="0000FF"/>
            <w:sz w:val="20"/>
            <w:szCs w:val="20"/>
            <w:u w:val="single"/>
            <w:lang w:eastAsia="hr-HR"/>
          </w:rPr>
          <w:t>8.</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Obveze stečajne mase</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_Toc514765941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10</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2" w:history="true">
        <w:r w:rsidR="002A01A2" w:rsidRPr="002A01A2">
          <w:rPr>
            <w:rFonts w:cs="Times New Roman" w:eastAsia="Times New Roman" w:hAnsi="Tahoma" w:ascii="Tahoma"/>
            <w:noProof/>
            <w:color w:val="0000FF"/>
            <w:sz w:val="20"/>
            <w:szCs w:val="20"/>
            <w:u w:val="single"/>
            <w:lang w:eastAsia="hr-HR"/>
          </w:rPr>
          <w:t>9.</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Mjere koje su  poduzete tijekom trajanja stečajnog postupka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_Toc514765942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11</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3" w:history="true">
        <w:r w:rsidR="002A01A2" w:rsidRPr="002A01A2">
          <w:rPr>
            <w:rFonts w:cs="Times New Roman" w:eastAsia="Times New Roman" w:hAnsi="Tahoma" w:ascii="Tahoma"/>
            <w:noProof/>
            <w:color w:val="0000FF"/>
            <w:sz w:val="20"/>
            <w:szCs w:val="20"/>
            <w:u w:val="single"/>
            <w:lang w:eastAsia="hr-HR"/>
          </w:rPr>
          <w:t>10.</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Stečajni plan – ciljevi</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_Toc514765943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11</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4" w:history="true">
        <w:r w:rsidR="002A01A2" w:rsidRPr="002A01A2">
          <w:rPr>
            <w:rFonts w:cs="Times New Roman" w:eastAsia="Times New Roman" w:hAnsi="Tahoma" w:ascii="Tahoma"/>
            <w:iCs/>
            <w:noProof/>
            <w:color w:val="0000FF"/>
            <w:sz w:val="20"/>
            <w:szCs w:val="20"/>
            <w:u w:val="single"/>
            <w:lang w:eastAsia="hr-HR"/>
          </w:rPr>
          <w:t>11.</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Mjere za ostvarenje stečajnog plana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_Toc514765944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12</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45" w:history="true">
        <w:r w:rsidR="002A01A2" w:rsidRPr="002A01A2">
          <w:rPr>
            <w:rFonts w:cs="Times New Roman" w:eastAsia="Times New Roman" w:hAnsi="Tahoma" w:ascii="Tahoma"/>
            <w:iCs/>
            <w:noProof/>
            <w:color w:val="0000FF"/>
            <w:sz w:val="20"/>
            <w:szCs w:val="20"/>
            <w:u w:val="single"/>
            <w:lang w:eastAsia="hr-HR"/>
          </w:rPr>
          <w:t>12.</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Smanjenje (otpis) obveza i isplata ostatka obveza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_Toc514765945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12</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57" w:history="true">
        <w:r w:rsidR="002A01A2" w:rsidRPr="002A01A2">
          <w:rPr>
            <w:rFonts w:cs="Times New Roman" w:eastAsia="Times New Roman" w:hAnsi="Tahoma" w:ascii="Tahoma"/>
            <w:iCs/>
            <w:noProof/>
            <w:color w:val="0000FF"/>
            <w:sz w:val="20"/>
            <w:szCs w:val="20"/>
            <w:u w:val="single"/>
            <w:lang w:eastAsia="hr-HR"/>
          </w:rPr>
          <w:t>13.</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Sanacija stečajnog dužnika pokrićem gubitaka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_Toc514765957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14</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58" w:history="true">
        <w:r w:rsidR="002A01A2" w:rsidRPr="002A01A2">
          <w:rPr>
            <w:rFonts w:cs="Times New Roman" w:eastAsia="Times New Roman" w:hAnsi="Tahoma" w:ascii="Tahoma"/>
            <w:noProof/>
            <w:color w:val="0000FF"/>
            <w:sz w:val="20"/>
            <w:szCs w:val="20"/>
            <w:u w:val="single"/>
            <w:lang w:eastAsia="hr-HR"/>
          </w:rPr>
          <w:t>14.</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Izdvajanje sredstava za novčano i nenovčano namirenje osporenih tražbina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_Toc514765958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17</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59" w:history="true">
        <w:r w:rsidR="002A01A2" w:rsidRPr="002A01A2">
          <w:rPr>
            <w:rFonts w:cs="Times New Roman" w:eastAsia="Times New Roman" w:hAnsi="Tahoma" w:ascii="Tahoma"/>
            <w:noProof/>
            <w:color w:val="0000FF"/>
            <w:sz w:val="20"/>
            <w:szCs w:val="20"/>
            <w:u w:val="single"/>
            <w:lang w:eastAsia="hr-HR"/>
          </w:rPr>
          <w:t>15.</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Namirenje vjerovnika nižih isplatnih redova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_Toc514765959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18</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60" w:history="true">
        <w:r w:rsidR="002A01A2" w:rsidRPr="002A01A2">
          <w:rPr>
            <w:rFonts w:cs="Times New Roman" w:eastAsia="Times New Roman" w:hAnsi="Tahoma" w:ascii="Tahoma"/>
            <w:noProof/>
            <w:color w:val="0000FF"/>
            <w:sz w:val="20"/>
            <w:szCs w:val="20"/>
            <w:u w:val="single"/>
            <w:lang w:eastAsia="hr-HR"/>
          </w:rPr>
          <w:t>16.</w:t>
        </w:r>
        <w:r w:rsidR="002A01A2" w:rsidRPr="002A01A2">
          <w:rPr>
            <w:rFonts w:eastAsiaTheme="minorEastAsia"/>
            <w:noProof/>
            <w:sz w:val="20"/>
            <w:szCs w:val="20"/>
            <w:lang w:eastAsia="hr-HR"/>
          </w:rPr>
          <w:tab/>
        </w:r>
        <w:r w:rsidR="002A01A2" w:rsidRPr="002A01A2">
          <w:rPr>
            <w:rFonts w:cs="Times New Roman" w:eastAsia="Times New Roman" w:hAnsi="Tahoma" w:ascii="Tahoma"/>
            <w:noProof/>
            <w:color w:val="0000FF"/>
            <w:sz w:val="20"/>
            <w:szCs w:val="20"/>
            <w:u w:val="single"/>
            <w:lang w:eastAsia="hr-HR"/>
          </w:rPr>
          <w:t>Namirenje obveza stečajne mase i troškova stečajnog postupka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_Toc514765960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18</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61" w:history="true">
        <w:r w:rsidR="002A01A2" w:rsidRPr="002A01A2">
          <w:rPr>
            <w:rFonts w:cs="Times New Roman" w:eastAsia="Times New Roman" w:hAnsi="Tahoma" w:ascii="Tahoma"/>
            <w:iCs/>
            <w:noProof/>
            <w:color w:val="0000FF"/>
            <w:sz w:val="20"/>
            <w:szCs w:val="20"/>
            <w:u w:val="single"/>
            <w:lang w:eastAsia="hr-HR"/>
          </w:rPr>
          <w:t>17.</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Ostavljanje sveukupne imovine stečajnom dužniku radi nastavka poslovanja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_Toc514765961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18</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62" w:history="true">
        <w:r w:rsidR="002A01A2" w:rsidRPr="002A01A2">
          <w:rPr>
            <w:rFonts w:cs="Times New Roman" w:eastAsia="Times New Roman" w:hAnsi="Tahoma" w:ascii="Tahoma"/>
            <w:iCs/>
            <w:noProof/>
            <w:color w:val="0000FF"/>
            <w:sz w:val="20"/>
            <w:szCs w:val="20"/>
            <w:u w:val="single"/>
            <w:lang w:eastAsia="hr-HR"/>
          </w:rPr>
          <w:t>18.</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Reorganizacija poslovanja stečajnog dužnika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_Toc514765962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18</w:t>
        </w:r>
        <w:r w:rsidR="002A01A2" w:rsidRPr="002A01A2">
          <w:rPr>
            <w:rFonts w:cs="Times New Roman" w:eastAsia="Times New Roman" w:hAnsi="Tahoma" w:ascii="Tahoma"/>
            <w:noProof/>
            <w:webHidden/>
            <w:sz w:val="20"/>
            <w:szCs w:val="20"/>
            <w:lang w:eastAsia="hr-HR"/>
          </w:rPr>
          <w:fldChar w:fldCharType="end"/>
        </w:r>
      </w:hyperlink>
    </w:p>
    <w:p w:rsidRDefault="005002CA" w:rsidP="002A01A2" w:rsidR="002A01A2" w:rsidRPr="002A01A2">
      <w:pPr>
        <w:tabs>
          <w:tab w:pos="440" w:val="left"/>
          <w:tab w:pos="9062" w:leader="dot" w:val="right"/>
        </w:tabs>
        <w:spacing w:lineRule="auto" w:line="240" w:after="100"/>
        <w:jc w:val="center"/>
        <w:rPr>
          <w:rFonts w:eastAsiaTheme="minorEastAsia"/>
          <w:noProof/>
          <w:sz w:val="20"/>
          <w:szCs w:val="20"/>
          <w:lang w:eastAsia="hr-HR"/>
        </w:rPr>
      </w:pPr>
      <w:hyperlink w:anchor="_Toc514765963" w:history="true">
        <w:r w:rsidR="002A01A2" w:rsidRPr="002A01A2">
          <w:rPr>
            <w:rFonts w:cs="Times New Roman" w:eastAsia="Times New Roman" w:hAnsi="Tahoma" w:ascii="Tahoma"/>
            <w:iCs/>
            <w:noProof/>
            <w:color w:val="0000FF"/>
            <w:sz w:val="20"/>
            <w:szCs w:val="20"/>
            <w:u w:val="single"/>
            <w:lang w:eastAsia="hr-HR"/>
          </w:rPr>
          <w:t>19.</w:t>
        </w:r>
        <w:r w:rsidR="002A01A2" w:rsidRPr="002A01A2">
          <w:rPr>
            <w:rFonts w:eastAsiaTheme="minorEastAsia"/>
            <w:noProof/>
            <w:sz w:val="20"/>
            <w:szCs w:val="20"/>
            <w:lang w:eastAsia="hr-HR"/>
          </w:rPr>
          <w:tab/>
        </w:r>
        <w:r w:rsidR="002A01A2" w:rsidRPr="002A01A2">
          <w:rPr>
            <w:rFonts w:cs="Times New Roman" w:eastAsia="Times New Roman" w:hAnsi="Tahoma" w:ascii="Tahoma"/>
            <w:iCs/>
            <w:noProof/>
            <w:color w:val="0000FF"/>
            <w:sz w:val="20"/>
            <w:szCs w:val="20"/>
            <w:u w:val="single"/>
            <w:lang w:eastAsia="hr-HR"/>
          </w:rPr>
          <w:t>Usporedba pravnog položaja vjerovnika uz primjenu sanacijskog modela prema stečajnom planu u  odnosu na redovni zakonski model stečajnog postupka</w:t>
        </w:r>
        <w:r w:rsidR="002A01A2" w:rsidRPr="002A01A2">
          <w:rPr>
            <w:rFonts w:cs="Times New Roman" w:eastAsia="Times New Roman" w:hAnsi="Tahoma" w:ascii="Tahoma"/>
            <w:noProof/>
            <w:webHidden/>
            <w:sz w:val="20"/>
            <w:szCs w:val="20"/>
            <w:lang w:eastAsia="hr-HR"/>
          </w:rPr>
          <w:tab/>
        </w:r>
        <w:r w:rsidR="002A01A2" w:rsidRPr="002A01A2">
          <w:rPr>
            <w:rFonts w:cs="Times New Roman" w:eastAsia="Times New Roman" w:hAnsi="Tahoma" w:ascii="Tahoma"/>
            <w:noProof/>
            <w:webHidden/>
            <w:sz w:val="20"/>
            <w:szCs w:val="20"/>
            <w:lang w:eastAsia="hr-HR"/>
          </w:rPr>
          <w:fldChar w:fldCharType="begin"/>
        </w:r>
        <w:r w:rsidR="002A01A2" w:rsidRPr="002A01A2">
          <w:rPr>
            <w:rFonts w:cs="Times New Roman" w:eastAsia="Times New Roman" w:hAnsi="Tahoma" w:ascii="Tahoma"/>
            <w:noProof/>
            <w:webHidden/>
            <w:sz w:val="20"/>
            <w:szCs w:val="20"/>
            <w:lang w:eastAsia="hr-HR"/>
          </w:rPr>
          <w:instrText xml:space="preserve"> PAGEREF _Toc514765963 \h </w:instrText>
        </w:r>
        <w:r w:rsidR="002A01A2" w:rsidRPr="002A01A2">
          <w:rPr>
            <w:rFonts w:cs="Times New Roman" w:eastAsia="Times New Roman" w:hAnsi="Tahoma" w:ascii="Tahoma"/>
            <w:noProof/>
            <w:webHidden/>
            <w:sz w:val="20"/>
            <w:szCs w:val="20"/>
            <w:lang w:eastAsia="hr-HR"/>
          </w:rPr>
        </w:r>
        <w:r w:rsidR="002A01A2" w:rsidRPr="002A01A2">
          <w:rPr>
            <w:rFonts w:cs="Times New Roman" w:eastAsia="Times New Roman" w:hAnsi="Tahoma" w:ascii="Tahoma"/>
            <w:noProof/>
            <w:webHidden/>
            <w:sz w:val="20"/>
            <w:szCs w:val="20"/>
            <w:lang w:eastAsia="hr-HR"/>
          </w:rPr>
          <w:fldChar w:fldCharType="separate"/>
        </w:r>
        <w:r w:rsidR="002A01A2" w:rsidRPr="002A01A2">
          <w:rPr>
            <w:rFonts w:cs="Times New Roman" w:eastAsia="Times New Roman" w:hAnsi="Tahoma" w:ascii="Tahoma"/>
            <w:noProof/>
            <w:webHidden/>
            <w:sz w:val="20"/>
            <w:szCs w:val="20"/>
            <w:lang w:eastAsia="hr-HR"/>
          </w:rPr>
          <w:t>19</w:t>
        </w:r>
        <w:r w:rsidR="002A01A2" w:rsidRPr="002A01A2">
          <w:rPr>
            <w:rFonts w:cs="Times New Roman" w:eastAsia="Times New Roman" w:hAnsi="Tahoma" w:ascii="Tahoma"/>
            <w:noProof/>
            <w:webHidden/>
            <w:sz w:val="20"/>
            <w:szCs w:val="20"/>
            <w:lang w:eastAsia="hr-HR"/>
          </w:rPr>
          <w:fldChar w:fldCharType="end"/>
        </w:r>
      </w:hyperlink>
    </w:p>
    <w:p w:rsidRDefault="002A01A2" w:rsidP="002A01A2" w:rsidR="002A01A2" w:rsidRPr="002A01A2">
      <w:pPr>
        <w:spacing w:lineRule="auto" w:line="240" w:after="0"/>
        <w:rPr>
          <w:rFonts w:cs="Times New Roman" w:eastAsia="Times New Roman" w:hAnsi="Tahoma" w:ascii="Tahoma"/>
          <w:color w:themeColor="text1" w:val="000000"/>
          <w:sz w:val="20"/>
          <w:szCs w:val="20"/>
          <w:lang w:eastAsia="hr-HR"/>
        </w:rPr>
      </w:pPr>
      <w:r w:rsidRPr="002A01A2">
        <w:rPr>
          <w:rFonts w:cs="Times New Roman" w:eastAsia="Times New Roman" w:hAnsi="Tahoma" w:ascii="Tahoma"/>
          <w:color w:themeColor="text1" w:val="000000"/>
          <w:sz w:val="20"/>
          <w:szCs w:val="20"/>
          <w:lang w:eastAsia="hr-HR"/>
        </w:rPr>
        <w:fldChar w:fldCharType="end"/>
      </w:r>
      <w:r w:rsidRPr="002A01A2">
        <w:rPr>
          <w:rFonts w:cs="Times New Roman" w:eastAsia="Times New Roman" w:hAnsi="Tahoma" w:ascii="Tahoma"/>
          <w:color w:themeColor="text1" w:val="000000"/>
          <w:sz w:val="20"/>
          <w:szCs w:val="20"/>
          <w:lang w:eastAsia="hr-HR"/>
        </w:rPr>
        <w:t>20. PRILOG: Poslovni plan</w:t>
      </w:r>
    </w:p>
    <w:p w:rsidRDefault="002A01A2" w:rsidP="002A01A2" w:rsidR="002A01A2" w:rsidRPr="002A01A2">
      <w:pPr>
        <w:spacing w:lineRule="auto" w:line="240" w:after="0"/>
        <w:rPr>
          <w:rFonts w:cs="Times New Roman" w:eastAsia="Times New Roman" w:hAnsi="Tahoma" w:ascii="Tahoma"/>
          <w:color w:val="FF0000"/>
          <w:sz w:val="20"/>
          <w:szCs w:val="20"/>
          <w:lang w:eastAsia="hr-HR"/>
        </w:rPr>
      </w:pPr>
    </w:p>
    <w:p w:rsidRDefault="002A01A2" w:rsidP="002A01A2" w:rsidR="002A01A2" w:rsidRPr="002A01A2">
      <w:pPr>
        <w:spacing w:lineRule="auto" w:line="240" w:after="0"/>
        <w:rPr>
          <w:rFonts w:cs="Times New Roman" w:eastAsia="Times New Roman" w:hAnsi="Tahoma" w:ascii="Tahoma"/>
          <w:color w:val="FF0000"/>
          <w:sz w:val="20"/>
          <w:szCs w:val="20"/>
          <w:lang w:eastAsia="hr-HR"/>
        </w:rPr>
      </w:pPr>
    </w:p>
    <w:p w:rsidRDefault="002A01A2" w:rsidP="002A01A2" w:rsidR="002A01A2" w:rsidRPr="002A01A2">
      <w:pPr>
        <w:spacing w:lineRule="auto" w:line="240" w:after="0"/>
        <w:rPr>
          <w:rFonts w:cs="Times New Roman" w:eastAsia="Times New Roman" w:hAnsi="Tahoma" w:ascii="Tahoma"/>
          <w:color w:val="FF0000"/>
          <w:sz w:val="20"/>
          <w:szCs w:val="20"/>
          <w:lang w:eastAsia="hr-HR"/>
        </w:rPr>
      </w:pPr>
    </w:p>
    <w:p w:rsidRDefault="002A01A2" w:rsidP="002A01A2" w:rsidR="002A01A2" w:rsidRPr="002A01A2">
      <w:pPr>
        <w:spacing w:lineRule="auto" w:line="240" w:after="0"/>
        <w:rPr>
          <w:rFonts w:cs="Times New Roman" w:eastAsia="Times New Roman" w:hAnsi="Tahoma" w:ascii="Tahoma"/>
          <w:color w:val="FF0000"/>
          <w:sz w:val="20"/>
          <w:szCs w:val="20"/>
          <w:lang w:eastAsia="hr-HR"/>
        </w:rPr>
      </w:pPr>
    </w:p>
    <w:p w:rsidRDefault="002A01A2" w:rsidP="002A01A2" w:rsidR="002A01A2" w:rsidRPr="002A01A2">
      <w:pPr>
        <w:spacing w:lineRule="auto" w:line="240" w:after="0"/>
        <w:rPr>
          <w:rFonts w:cs="Times New Roman" w:eastAsia="Times New Roman" w:hAnsi="Tahoma" w:ascii="Tahoma"/>
          <w:color w:val="FF0000"/>
          <w:sz w:val="20"/>
          <w:szCs w:val="2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color w:val="FF0000"/>
          <w:lang w:eastAsia="hr-HR"/>
        </w:rPr>
      </w:pPr>
    </w:p>
    <w:p w:rsidRDefault="002A01A2" w:rsidP="002A01A2" w:rsidR="002A01A2" w:rsidRPr="002A01A2">
      <w:pPr>
        <w:spacing w:lineRule="auto" w:line="240" w:after="0"/>
        <w:rPr>
          <w:rFonts w:cs="Times New Roman" w:eastAsia="Times New Roman" w:hAnsi="Tahoma" w:ascii="Tahoma"/>
          <w:b/>
          <w:lang w:eastAsia="hr-HR"/>
        </w:rPr>
      </w:pPr>
    </w:p>
    <w:p w:rsidRDefault="002A01A2" w:rsidP="002A01A2" w:rsidR="002A01A2" w:rsidRPr="002A01A2">
      <w:pPr>
        <w:spacing w:lineRule="auto" w:line="240" w:after="0"/>
        <w:ind w:left="1080"/>
        <w:contextualSpacing/>
        <w:jc w:val="center"/>
        <w:rPr>
          <w:rFonts w:cs="Tahoma" w:eastAsia="Times New Roman" w:hAnsi="Tahoma" w:ascii="Tahoma"/>
          <w:b/>
          <w:bCs/>
          <w:sz w:val="36"/>
          <w:szCs w:val="36"/>
          <w:lang w:eastAsia="hr-HR"/>
        </w:rPr>
      </w:pPr>
      <w:r w:rsidRPr="002A01A2">
        <w:rPr>
          <w:rFonts w:cs="Tahoma" w:eastAsia="Times New Roman" w:hAnsi="Tahoma" w:ascii="Tahoma"/>
          <w:b/>
          <w:bCs/>
          <w:sz w:val="36"/>
          <w:szCs w:val="36"/>
          <w:lang w:eastAsia="hr-HR"/>
        </w:rPr>
        <w:t xml:space="preserve"> </w:t>
      </w:r>
    </w:p>
    <w:p w:rsidRDefault="002A01A2" w:rsidP="002A01A2" w:rsidR="002A01A2" w:rsidRPr="002A01A2">
      <w:pPr>
        <w:spacing w:lineRule="auto" w:line="240" w:after="0"/>
        <w:ind w:left="1080"/>
        <w:contextualSpacing/>
        <w:jc w:val="center"/>
        <w:rPr>
          <w:rFonts w:cs="Tahoma" w:eastAsia="Times New Roman" w:hAnsi="Tahoma" w:ascii="Tahoma"/>
          <w:b/>
          <w:bCs/>
          <w:lang w:eastAsia="hr-HR"/>
        </w:rPr>
      </w:pPr>
    </w:p>
    <w:p w:rsidRDefault="002A01A2" w:rsidP="002A01A2" w:rsidR="002A01A2" w:rsidRPr="002A01A2">
      <w:pPr>
        <w:spacing w:lineRule="auto" w:line="240" w:after="0"/>
        <w:ind w:left="1080"/>
        <w:contextualSpacing/>
        <w:rPr>
          <w:rFonts w:cs="Tahoma" w:eastAsia="Times New Roman" w:hAnsi="Tahoma" w:ascii="Tahoma"/>
          <w:b/>
          <w:bCs/>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08192461" w:id="1"/>
      <w:bookmarkStart w:name="_Toc514765934" w:id="2"/>
      <w:r w:rsidRPr="002A01A2">
        <w:rPr>
          <w:rFonts w:cs="Tahoma" w:eastAsia="Times New Roman" w:hAnsi="Tahoma" w:ascii="Tahoma"/>
          <w:b/>
          <w:bCs/>
          <w:sz w:val="28"/>
          <w:szCs w:val="28"/>
          <w:lang w:eastAsia="hr-HR"/>
        </w:rPr>
        <w:t>Osnovni podaci o stečajnom dužniku</w:t>
      </w:r>
      <w:bookmarkEnd w:id="1"/>
      <w:bookmarkEnd w:id="2"/>
    </w:p>
    <w:p w:rsidRDefault="002A01A2" w:rsidP="002A01A2" w:rsidR="002A01A2" w:rsidRPr="002A01A2">
      <w:pPr>
        <w:spacing w:lineRule="auto" w:line="240" w:after="0"/>
        <w:rPr>
          <w:rFonts w:cs="Tahoma" w:eastAsia="Times New Roman" w:hAnsi="Tahoma" w:ascii="Tahoma"/>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 xml:space="preserve">Stečajni dužnik INFORMATIVNI CENTAR BJELOVAR d.o.o. u stečaju  (u nastavku: stečajni dužnik) upisan je u sudski registar Trgovačkog suda u Bjelovar, MBS 010009981, OIB 14895266944, sa sjedištem u Bjelovaru i s potanjom adresom Trg Eugena Kvaternika </w:t>
      </w:r>
      <w:proofErr w:type="spellStart"/>
      <w:r w:rsidRPr="002A01A2">
        <w:rPr>
          <w:rFonts w:cs="Tahoma" w:eastAsia="Times New Roman" w:hAnsi="Tahoma" w:ascii="Tahoma"/>
          <w:bCs/>
          <w:lang w:eastAsia="hr-HR"/>
        </w:rPr>
        <w:t>bb</w:t>
      </w:r>
      <w:proofErr w:type="spellEnd"/>
      <w:r w:rsidRPr="002A01A2">
        <w:rPr>
          <w:rFonts w:cs="Tahoma" w:eastAsia="Times New Roman" w:hAnsi="Tahoma" w:ascii="Tahoma"/>
          <w:bCs/>
          <w:lang w:eastAsia="hr-HR"/>
        </w:rPr>
        <w:t>.</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Prednik stečajnog dužnika je trgovačko društvo  INFORMATIVNI CENTAR BJELOVAR d.o.o., OIB 14895266944.</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Zakonski zastupnik stečajnog dužnika je Nenad Homar, stečajni upravitelj.</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2A01A2" w:rsidR="002A01A2" w:rsidRPr="002A01A2">
      <w:pPr>
        <w:widowControl w:val="false"/>
        <w:numPr>
          <w:ilvl w:val="1"/>
          <w:numId w:val="1"/>
        </w:numPr>
        <w:autoSpaceDE w:val="false"/>
        <w:autoSpaceDN w:val="false"/>
        <w:adjustRightInd w:val="false"/>
        <w:spacing w:lineRule="auto" w:line="240" w:after="0"/>
        <w:rPr>
          <w:rFonts w:cs="Tahoma" w:eastAsia="Times New Roman" w:hAnsi="Tahoma" w:ascii="Tahoma"/>
          <w:b/>
          <w:iCs/>
          <w:lang w:eastAsia="hr-HR"/>
        </w:rPr>
      </w:pPr>
      <w:r w:rsidRPr="002A01A2">
        <w:rPr>
          <w:rFonts w:cs="Tahoma" w:eastAsia="Times New Roman" w:hAnsi="Tahoma" w:ascii="Tahoma"/>
          <w:b/>
          <w:iCs/>
          <w:lang w:eastAsia="hr-HR"/>
        </w:rPr>
        <w:t>Osnivanje i statusne promjene od osnivanja</w:t>
      </w:r>
    </w:p>
    <w:p w:rsidRDefault="002A01A2" w:rsidP="002A01A2" w:rsidR="002A01A2" w:rsidRPr="002A01A2">
      <w:pPr>
        <w:widowControl w:val="false"/>
        <w:autoSpaceDE w:val="false"/>
        <w:autoSpaceDN w:val="false"/>
        <w:adjustRightInd w:val="false"/>
        <w:spacing w:lineRule="auto" w:line="240" w:after="0"/>
        <w:rPr>
          <w:rFonts w:cs="Tahoma" w:eastAsia="Times New Roman" w:hAnsi="Tahoma" w:ascii="Tahoma"/>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Trgovačko društvo INFORMATIVNI CENTAR BJELOVAR d.o.o. (u nastavku: prednik stečajnog dužnika), ustrojen je kao društvo s ograničenom odgovornošću.</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 xml:space="preserve">Nad prednikom stečajnog dužnika otvoren je dana 12. lipnja 2013. godine postupak </w:t>
      </w:r>
      <w:proofErr w:type="spellStart"/>
      <w:r w:rsidRPr="002A01A2">
        <w:rPr>
          <w:rFonts w:cs="Tahoma" w:eastAsia="Times New Roman" w:hAnsi="Tahoma" w:ascii="Tahoma"/>
          <w:iCs/>
          <w:lang w:eastAsia="hr-HR"/>
        </w:rPr>
        <w:t>predstečajne</w:t>
      </w:r>
      <w:proofErr w:type="spellEnd"/>
      <w:r w:rsidRPr="002A01A2">
        <w:rPr>
          <w:rFonts w:cs="Tahoma" w:eastAsia="Times New Roman" w:hAnsi="Tahoma" w:ascii="Tahoma"/>
          <w:iCs/>
          <w:lang w:eastAsia="hr-HR"/>
        </w:rPr>
        <w:t xml:space="preserve"> nagodbe prema odredbama Zakona o financijskom poslovanju i </w:t>
      </w:r>
      <w:proofErr w:type="spellStart"/>
      <w:r w:rsidRPr="002A01A2">
        <w:rPr>
          <w:rFonts w:cs="Tahoma" w:eastAsia="Times New Roman" w:hAnsi="Tahoma" w:ascii="Tahoma"/>
          <w:iCs/>
          <w:lang w:eastAsia="hr-HR"/>
        </w:rPr>
        <w:t>predstečajnoj</w:t>
      </w:r>
      <w:proofErr w:type="spellEnd"/>
      <w:r w:rsidRPr="002A01A2">
        <w:rPr>
          <w:rFonts w:cs="Tahoma" w:eastAsia="Times New Roman" w:hAnsi="Tahoma" w:ascii="Tahoma"/>
          <w:iCs/>
          <w:lang w:eastAsia="hr-HR"/>
        </w:rPr>
        <w:t xml:space="preserve"> nagodbi, koji postupak je vođen je pred Nagodbenim vijećem Financijske agencije – Regionalni centar Zagreb. U postupku su provedene radnje prijave i utvrđivanja tražbina vjerovnika, a </w:t>
      </w:r>
      <w:proofErr w:type="spellStart"/>
      <w:r w:rsidRPr="002A01A2">
        <w:rPr>
          <w:rFonts w:cs="Tahoma" w:eastAsia="Times New Roman" w:hAnsi="Tahoma" w:ascii="Tahoma"/>
          <w:iCs/>
          <w:lang w:eastAsia="hr-HR"/>
        </w:rPr>
        <w:t>predstečajna</w:t>
      </w:r>
      <w:proofErr w:type="spellEnd"/>
      <w:r w:rsidRPr="002A01A2">
        <w:rPr>
          <w:rFonts w:cs="Tahoma" w:eastAsia="Times New Roman" w:hAnsi="Tahoma" w:ascii="Tahoma"/>
          <w:iCs/>
          <w:lang w:eastAsia="hr-HR"/>
        </w:rPr>
        <w:t xml:space="preserve"> nagodba sklopljena je pred Trgovačkim sudom u Bjelovaru dana 14. siječnja 2014. godine, kojeg dana je doneseno Rješenje toga suda broj 1 </w:t>
      </w:r>
      <w:proofErr w:type="spellStart"/>
      <w:r w:rsidRPr="002A01A2">
        <w:rPr>
          <w:rFonts w:cs="Tahoma" w:eastAsia="Times New Roman" w:hAnsi="Tahoma" w:ascii="Tahoma"/>
          <w:iCs/>
          <w:lang w:eastAsia="hr-HR"/>
        </w:rPr>
        <w:t>Stpn</w:t>
      </w:r>
      <w:proofErr w:type="spellEnd"/>
      <w:r w:rsidRPr="002A01A2">
        <w:rPr>
          <w:rFonts w:cs="Tahoma" w:eastAsia="Times New Roman" w:hAnsi="Tahoma" w:ascii="Tahoma"/>
          <w:iCs/>
          <w:lang w:eastAsia="hr-HR"/>
        </w:rPr>
        <w:t xml:space="preserve">-46/2013 o odobrenju sklapanja </w:t>
      </w:r>
      <w:proofErr w:type="spellStart"/>
      <w:r w:rsidRPr="002A01A2">
        <w:rPr>
          <w:rFonts w:cs="Tahoma" w:eastAsia="Times New Roman" w:hAnsi="Tahoma" w:ascii="Tahoma"/>
          <w:iCs/>
          <w:lang w:eastAsia="hr-HR"/>
        </w:rPr>
        <w:t>predstečajne</w:t>
      </w:r>
      <w:proofErr w:type="spellEnd"/>
      <w:r w:rsidRPr="002A01A2">
        <w:rPr>
          <w:rFonts w:cs="Tahoma" w:eastAsia="Times New Roman" w:hAnsi="Tahoma" w:ascii="Tahoma"/>
          <w:iCs/>
          <w:lang w:eastAsia="hr-HR"/>
        </w:rPr>
        <w:t xml:space="preserve"> nagodbe.</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 xml:space="preserve">Budući da su  na strani prednika stečajnog dužnika, usprkos sklopljenoj </w:t>
      </w:r>
      <w:proofErr w:type="spellStart"/>
      <w:r w:rsidRPr="002A01A2">
        <w:rPr>
          <w:rFonts w:cs="Tahoma" w:eastAsia="Times New Roman" w:hAnsi="Tahoma" w:ascii="Tahoma"/>
          <w:iCs/>
          <w:lang w:eastAsia="hr-HR"/>
        </w:rPr>
        <w:t>predstečajnog</w:t>
      </w:r>
      <w:proofErr w:type="spellEnd"/>
      <w:r w:rsidRPr="002A01A2">
        <w:rPr>
          <w:rFonts w:cs="Tahoma" w:eastAsia="Times New Roman" w:hAnsi="Tahoma" w:ascii="Tahoma"/>
          <w:iCs/>
          <w:lang w:eastAsia="hr-HR"/>
        </w:rPr>
        <w:t xml:space="preserve"> nagodbi, nastupili stečajni razlozi, privremeni upravitelj prednika stečajnog dužnika podnio je dana 17. listopada 2017. godine  prijedlog za otvaranje stečajnog postupka, a Trgovački sud u Bjelovaru  otvorio je nad prednikom stečajnoga dužnika stečajni postupak Rješenjem 5 St-800/2017 dana 15. studenog 2017. godine, a pravne posljedice otvaranja stečajnoga postupka nastupile su istoga dana u 14,00 sati.  </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iCs/>
          <w:lang w:eastAsia="hr-HR"/>
        </w:rPr>
      </w:pPr>
    </w:p>
    <w:p w:rsidRDefault="002A01A2" w:rsidP="002A01A2" w:rsidR="002A01A2" w:rsidRPr="002A01A2">
      <w:pPr>
        <w:numPr>
          <w:ilvl w:val="1"/>
          <w:numId w:val="1"/>
        </w:numPr>
        <w:spacing w:lineRule="auto" w:line="240" w:after="0"/>
        <w:contextualSpacing/>
        <w:rPr>
          <w:rFonts w:cs="Tahoma" w:eastAsia="Times New Roman" w:hAnsi="Tahoma" w:ascii="Tahoma"/>
          <w:b/>
          <w:bCs/>
          <w:iCs/>
          <w:lang w:eastAsia="hr-HR"/>
        </w:rPr>
      </w:pPr>
      <w:r w:rsidRPr="002A01A2">
        <w:rPr>
          <w:rFonts w:cs="Tahoma" w:eastAsia="Times New Roman" w:hAnsi="Tahoma" w:ascii="Tahoma"/>
          <w:b/>
          <w:bCs/>
          <w:iCs/>
          <w:lang w:eastAsia="hr-HR"/>
        </w:rPr>
        <w:t>Temeljni kapital, poslovni udjeli, članovi društva</w:t>
      </w:r>
    </w:p>
    <w:p w:rsidRDefault="002A01A2" w:rsidP="002A01A2" w:rsidR="002A01A2" w:rsidRPr="002A01A2">
      <w:pPr>
        <w:spacing w:lineRule="auto" w:line="240" w:after="0"/>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Temeljni kapital društva stečajnog dužnika također ima iznos od </w:t>
      </w:r>
      <w:r w:rsidRPr="002A01A2">
        <w:rPr>
          <w:rFonts w:cs="Tahoma" w:eastAsia="Times New Roman" w:hAnsi="Tahoma" w:ascii="Tahoma"/>
          <w:b/>
          <w:bCs/>
          <w:iCs/>
          <w:lang w:eastAsia="hr-HR"/>
        </w:rPr>
        <w:t xml:space="preserve">1.115.628,00 </w:t>
      </w:r>
      <w:r w:rsidRPr="002A01A2">
        <w:rPr>
          <w:rFonts w:cs="Tahoma" w:eastAsia="Times New Roman" w:hAnsi="Tahoma" w:ascii="Tahoma"/>
          <w:bCs/>
          <w:iCs/>
          <w:lang w:eastAsia="hr-HR"/>
        </w:rPr>
        <w:t>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Temeljni kapital podijeljen je na 2.999 poslovnih udjela.</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Članovi društva su:</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6"/>
        </w:numPr>
        <w:spacing w:lineRule="auto" w:line="240" w:after="0"/>
        <w:contextualSpacing/>
        <w:jc w:val="both"/>
        <w:rPr>
          <w:rFonts w:cs="Tahoma" w:eastAsia="Times New Roman" w:hAnsi="Tahoma" w:ascii="Tahoma"/>
          <w:bCs/>
          <w:iCs/>
          <w:lang w:eastAsia="hr-HR"/>
        </w:rPr>
      </w:pPr>
      <w:proofErr w:type="spellStart"/>
      <w:r w:rsidRPr="002A01A2">
        <w:rPr>
          <w:rFonts w:cs="Tahoma" w:eastAsia="Times New Roman" w:hAnsi="Tahoma" w:ascii="Tahoma"/>
          <w:b/>
          <w:bCs/>
          <w:iCs/>
          <w:lang w:eastAsia="hr-HR"/>
        </w:rPr>
        <w:t>nasljednička</w:t>
      </w:r>
      <w:proofErr w:type="spellEnd"/>
      <w:r w:rsidRPr="002A01A2">
        <w:rPr>
          <w:rFonts w:cs="Tahoma" w:eastAsia="Times New Roman" w:hAnsi="Tahoma" w:ascii="Tahoma"/>
          <w:b/>
          <w:bCs/>
          <w:iCs/>
          <w:lang w:eastAsia="hr-HR"/>
        </w:rPr>
        <w:t xml:space="preserve"> zajednica iza </w:t>
      </w:r>
      <w:proofErr w:type="spellStart"/>
      <w:r w:rsidRPr="002A01A2">
        <w:rPr>
          <w:rFonts w:cs="Tahoma" w:eastAsia="Times New Roman" w:hAnsi="Tahoma" w:ascii="Tahoma"/>
          <w:b/>
          <w:bCs/>
          <w:iCs/>
          <w:lang w:eastAsia="hr-HR"/>
        </w:rPr>
        <w:t>pok</w:t>
      </w:r>
      <w:proofErr w:type="spellEnd"/>
      <w:r w:rsidRPr="002A01A2">
        <w:rPr>
          <w:rFonts w:cs="Tahoma" w:eastAsia="Times New Roman" w:hAnsi="Tahoma" w:ascii="Tahoma"/>
          <w:b/>
          <w:bCs/>
          <w:iCs/>
          <w:lang w:eastAsia="hr-HR"/>
        </w:rPr>
        <w:t>. Ivana Butkovića</w:t>
      </w:r>
      <w:r w:rsidRPr="002A01A2">
        <w:rPr>
          <w:rFonts w:cs="Tahoma" w:eastAsia="Times New Roman" w:hAnsi="Tahoma" w:ascii="Tahoma"/>
          <w:bCs/>
          <w:iCs/>
          <w:lang w:eastAsia="hr-HR"/>
        </w:rPr>
        <w:t>, sa sveukupno 2.903,5195 poslovnih udjela u ukupnom nominalnom iznosu od 1.080.109,25 kuna, koji poslovni udjeli  zajedno čine 96,82% temeljnog kapitala društva stečajnog dužnika,</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6"/>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
          <w:bCs/>
          <w:iCs/>
          <w:lang w:eastAsia="hr-HR"/>
        </w:rPr>
        <w:t>ERSTE&amp;STEIERMARKISCHE BANK d.d. Rijeka</w:t>
      </w:r>
      <w:r w:rsidRPr="002A01A2">
        <w:rPr>
          <w:rFonts w:cs="Tahoma" w:eastAsia="Times New Roman" w:hAnsi="Tahoma" w:ascii="Tahoma"/>
          <w:bCs/>
          <w:iCs/>
          <w:lang w:eastAsia="hr-HR"/>
        </w:rPr>
        <w:t>, sa sveukupno 62,4805 poslovnih udjela u ukupnom nominalnom iznosu od 23.242,75 kuna, koji poslovni udjeli zajedno čine 2,08% temeljnog kapitala društva stečajnog dužnika,</w:t>
      </w:r>
    </w:p>
    <w:p w:rsidRDefault="002A01A2" w:rsidP="002A01A2" w:rsidR="002A01A2" w:rsidRPr="002A01A2">
      <w:pPr>
        <w:spacing w:lineRule="auto" w:line="240" w:after="0"/>
        <w:ind w:left="720"/>
        <w:contextualSpacing/>
        <w:rPr>
          <w:rFonts w:cs="Tahoma" w:eastAsia="Times New Roman" w:hAnsi="Tahoma" w:ascii="Tahoma"/>
          <w:bCs/>
          <w:iCs/>
          <w:lang w:eastAsia="hr-HR"/>
        </w:rPr>
      </w:pP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6"/>
        </w:numPr>
        <w:spacing w:lineRule="auto" w:line="240" w:after="0"/>
        <w:contextualSpacing/>
        <w:jc w:val="both"/>
        <w:rPr>
          <w:rFonts w:cs="Tahoma" w:eastAsia="Times New Roman" w:hAnsi="Tahoma" w:ascii="Tahoma"/>
          <w:bCs/>
          <w:iCs/>
          <w:lang w:eastAsia="hr-HR"/>
        </w:rPr>
      </w:pPr>
      <w:proofErr w:type="spellStart"/>
      <w:r w:rsidRPr="002A01A2">
        <w:rPr>
          <w:rFonts w:cs="Tahoma" w:eastAsia="Times New Roman" w:hAnsi="Tahoma" w:ascii="Tahoma"/>
          <w:b/>
          <w:bCs/>
          <w:iCs/>
          <w:lang w:eastAsia="hr-HR"/>
        </w:rPr>
        <w:lastRenderedPageBreak/>
        <w:t>Moslavka</w:t>
      </w:r>
      <w:proofErr w:type="spellEnd"/>
      <w:r w:rsidRPr="002A01A2">
        <w:rPr>
          <w:rFonts w:cs="Tahoma" w:eastAsia="Times New Roman" w:hAnsi="Tahoma" w:ascii="Tahoma"/>
          <w:b/>
          <w:bCs/>
          <w:iCs/>
          <w:lang w:eastAsia="hr-HR"/>
        </w:rPr>
        <w:t xml:space="preserve"> d.o.o. Bjelovar</w:t>
      </w:r>
      <w:r w:rsidRPr="002A01A2">
        <w:rPr>
          <w:rFonts w:cs="Tahoma" w:eastAsia="Times New Roman" w:hAnsi="Tahoma" w:ascii="Tahoma"/>
          <w:bCs/>
          <w:iCs/>
          <w:lang w:eastAsia="hr-HR"/>
        </w:rPr>
        <w:t>, sa sveukupno 33,00 poslovna udjela u ukupnom nominalnom iznosu od 12.276,00 kuna, koji poslovni udjeli zajedno čine 1,10% temeljnog kapitala društva stečajnog dužnika.</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Temeljem članka 159. st. 1. Stečajnoga zakona (Narodne novine 71/2015, 104/2017),  na dan  15. studenog 2017. godine kao dan nastupa pravnih posljedica otvaranja stečajnoga postupka, na stečajnog upravitelja Nenada </w:t>
      </w:r>
      <w:proofErr w:type="spellStart"/>
      <w:r w:rsidRPr="002A01A2">
        <w:rPr>
          <w:rFonts w:cs="Tahoma" w:eastAsia="Times New Roman" w:hAnsi="Tahoma" w:ascii="Tahoma"/>
          <w:bCs/>
          <w:iCs/>
          <w:lang w:eastAsia="hr-HR"/>
        </w:rPr>
        <w:t>Homara</w:t>
      </w:r>
      <w:proofErr w:type="spellEnd"/>
      <w:r w:rsidRPr="002A01A2">
        <w:rPr>
          <w:rFonts w:cs="Tahoma" w:eastAsia="Times New Roman" w:hAnsi="Tahoma" w:ascii="Tahoma"/>
          <w:bCs/>
          <w:iCs/>
          <w:lang w:eastAsia="hr-HR"/>
        </w:rPr>
        <w:t xml:space="preserve"> prešla su sva prava tijela društva stečajnog dužnika (Skupštine društva, uprave i Nadzornog odbora).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numPr>
          <w:ilvl w:val="1"/>
          <w:numId w:val="1"/>
        </w:numPr>
        <w:spacing w:lineRule="auto" w:line="240" w:after="0"/>
        <w:contextualSpacing/>
        <w:rPr>
          <w:rFonts w:cs="Tahoma" w:eastAsia="Times New Roman" w:hAnsi="Tahoma" w:ascii="Tahoma"/>
          <w:b/>
          <w:bCs/>
          <w:iCs/>
          <w:lang w:eastAsia="hr-HR"/>
        </w:rPr>
      </w:pPr>
      <w:r w:rsidRPr="002A01A2">
        <w:rPr>
          <w:rFonts w:cs="Tahoma" w:eastAsia="Times New Roman" w:hAnsi="Tahoma" w:ascii="Tahoma"/>
          <w:b/>
          <w:bCs/>
          <w:iCs/>
          <w:lang w:eastAsia="hr-HR"/>
        </w:rPr>
        <w:t>Predmet poslovanja</w:t>
      </w:r>
    </w:p>
    <w:p w:rsidRDefault="002A01A2" w:rsidP="002A01A2" w:rsidR="002A01A2" w:rsidRPr="002A01A2">
      <w:pPr>
        <w:spacing w:lineRule="auto" w:line="240" w:after="0"/>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Stečajni dužnik ima u sudski registar Trgovačkog suda u Bjelovaru  upisane sljedeće djelatnosti kao predmet poslovanja: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 xml:space="preserve">  22.1</w:t>
      </w:r>
      <w:r w:rsidRPr="002A01A2">
        <w:rPr>
          <w:rFonts w:cs="Tahoma" w:eastAsia="Times New Roman" w:hAnsi="Tahoma" w:ascii="Tahoma"/>
          <w:bCs/>
          <w:iCs/>
          <w:lang w:eastAsia="hr-HR"/>
        </w:rPr>
        <w:tab/>
        <w:t>Izdavačka djelatnost</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22.2</w:t>
      </w:r>
      <w:r w:rsidRPr="002A01A2">
        <w:rPr>
          <w:rFonts w:cs="Tahoma" w:eastAsia="Times New Roman" w:hAnsi="Tahoma" w:ascii="Tahoma"/>
          <w:bCs/>
          <w:iCs/>
          <w:lang w:eastAsia="hr-HR"/>
        </w:rPr>
        <w:tab/>
        <w:t>Tiskarska djelatnost i s njom povezane usluge</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22.3</w:t>
      </w:r>
      <w:r w:rsidRPr="002A01A2">
        <w:rPr>
          <w:rFonts w:cs="Tahoma" w:eastAsia="Times New Roman" w:hAnsi="Tahoma" w:ascii="Tahoma"/>
          <w:bCs/>
          <w:iCs/>
          <w:lang w:eastAsia="hr-HR"/>
        </w:rPr>
        <w:tab/>
        <w:t>Umnožavanje snimljenih zapisa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50</w:t>
      </w:r>
      <w:r w:rsidRPr="002A01A2">
        <w:rPr>
          <w:rFonts w:cs="Tahoma" w:eastAsia="Times New Roman" w:hAnsi="Tahoma" w:ascii="Tahoma"/>
          <w:bCs/>
          <w:iCs/>
          <w:lang w:eastAsia="hr-HR"/>
        </w:rPr>
        <w:tab/>
        <w:t>Trgovina mot. vozilima; popravak mot. vozila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51</w:t>
      </w:r>
      <w:r w:rsidRPr="002A01A2">
        <w:rPr>
          <w:rFonts w:cs="Tahoma" w:eastAsia="Times New Roman" w:hAnsi="Tahoma" w:ascii="Tahoma"/>
          <w:bCs/>
          <w:iCs/>
          <w:lang w:eastAsia="hr-HR"/>
        </w:rPr>
        <w:tab/>
        <w:t>Trgovina na veliko i posredovanje u trgovini, osim trgovine motornim vozilima i motociklima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63.3</w:t>
      </w:r>
      <w:r w:rsidRPr="002A01A2">
        <w:rPr>
          <w:rFonts w:cs="Tahoma" w:eastAsia="Times New Roman" w:hAnsi="Tahoma" w:ascii="Tahoma"/>
          <w:bCs/>
          <w:iCs/>
          <w:lang w:eastAsia="hr-HR"/>
        </w:rPr>
        <w:tab/>
        <w:t>Djelatnost putničkih agencija i turoperatora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64.2</w:t>
      </w:r>
      <w:r w:rsidRPr="002A01A2">
        <w:rPr>
          <w:rFonts w:cs="Tahoma" w:eastAsia="Times New Roman" w:hAnsi="Tahoma" w:ascii="Tahoma"/>
          <w:bCs/>
          <w:iCs/>
          <w:lang w:eastAsia="hr-HR"/>
        </w:rPr>
        <w:tab/>
        <w:t>Telekomunikacije</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92.2</w:t>
      </w:r>
      <w:r w:rsidRPr="002A01A2">
        <w:rPr>
          <w:rFonts w:cs="Tahoma" w:eastAsia="Times New Roman" w:hAnsi="Tahoma" w:ascii="Tahoma"/>
          <w:bCs/>
          <w:iCs/>
          <w:lang w:eastAsia="hr-HR"/>
        </w:rPr>
        <w:tab/>
        <w:t>Radijska i televizijska djelatnost</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92.4</w:t>
      </w:r>
      <w:r w:rsidRPr="002A01A2">
        <w:rPr>
          <w:rFonts w:cs="Tahoma" w:eastAsia="Times New Roman" w:hAnsi="Tahoma" w:ascii="Tahoma"/>
          <w:bCs/>
          <w:iCs/>
          <w:lang w:eastAsia="hr-HR"/>
        </w:rPr>
        <w:tab/>
        <w:t>Djelatnost novinskih agencija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Organizacija kulturnih, športskih i dr. manifestacija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Promidžba (reklama i propaganda)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Kupnja i prodaja robe</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Posredovanje na domaćem i inozemnom tržištu</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Knjigovodstvena i računovodstvena djelatnost</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Djelatnost agencije za promet nekretninama</w:t>
      </w:r>
    </w:p>
    <w:p w:rsidRDefault="002A01A2" w:rsidP="002A01A2" w:rsidR="002A01A2" w:rsidRPr="002A01A2">
      <w:pPr>
        <w:spacing w:lineRule="auto" w:line="240" w:after="0"/>
        <w:rPr>
          <w:rFonts w:cs="Tahoma" w:eastAsia="Times New Roman" w:hAnsi="Tahoma" w:ascii="Tahoma"/>
          <w:bCs/>
          <w:iCs/>
          <w:lang w:eastAsia="hr-HR"/>
        </w:rPr>
      </w:pPr>
      <w:r w:rsidRPr="002A01A2">
        <w:rPr>
          <w:rFonts w:cs="Tahoma" w:eastAsia="Times New Roman" w:hAnsi="Tahoma" w:ascii="Tahoma"/>
          <w:bCs/>
          <w:iCs/>
          <w:lang w:eastAsia="hr-HR"/>
        </w:rPr>
        <w:t>*</w:t>
      </w:r>
      <w:r w:rsidRPr="002A01A2">
        <w:rPr>
          <w:rFonts w:cs="Tahoma" w:eastAsia="Times New Roman" w:hAnsi="Tahoma" w:ascii="Tahoma"/>
          <w:bCs/>
          <w:iCs/>
          <w:lang w:eastAsia="hr-HR"/>
        </w:rPr>
        <w:tab/>
        <w:t>Iznajmljivanje nekretnina i vozila</w:t>
      </w:r>
    </w:p>
    <w:p w:rsidRDefault="002A01A2" w:rsidP="002A01A2" w:rsidR="002A01A2" w:rsidRPr="002A01A2">
      <w:pPr>
        <w:spacing w:lineRule="auto" w:line="240" w:after="0"/>
        <w:rPr>
          <w:rFonts w:cs="Tahoma" w:eastAsia="Times New Roman" w:hAnsi="Tahoma" w:ascii="Tahoma"/>
          <w:bCs/>
          <w:iCs/>
          <w:lang w:eastAsia="hr-HR"/>
        </w:rPr>
      </w:pPr>
    </w:p>
    <w:p w:rsidRDefault="002A01A2" w:rsidP="002A01A2" w:rsidR="002A01A2" w:rsidRPr="002A01A2">
      <w:pPr>
        <w:numPr>
          <w:ilvl w:val="1"/>
          <w:numId w:val="1"/>
        </w:numPr>
        <w:spacing w:lineRule="auto" w:line="240" w:after="0"/>
        <w:contextualSpacing/>
        <w:rPr>
          <w:rFonts w:cs="Tahoma" w:eastAsia="Times New Roman" w:hAnsi="Tahoma" w:ascii="Tahoma"/>
          <w:b/>
          <w:bCs/>
          <w:iCs/>
          <w:lang w:eastAsia="hr-HR"/>
        </w:rPr>
      </w:pPr>
      <w:r w:rsidRPr="002A01A2">
        <w:rPr>
          <w:rFonts w:cs="Tahoma" w:eastAsia="Times New Roman" w:hAnsi="Tahoma" w:ascii="Tahoma"/>
          <w:b/>
          <w:bCs/>
          <w:iCs/>
          <w:lang w:eastAsia="hr-HR"/>
        </w:rPr>
        <w:t>Povezanost s drugim trgovačkim društvima, poduzetnički ugovori</w:t>
      </w:r>
    </w:p>
    <w:p w:rsidRDefault="002A01A2" w:rsidP="002A01A2" w:rsidR="002A01A2" w:rsidRPr="002A01A2">
      <w:pPr>
        <w:spacing w:lineRule="auto" w:line="240" w:after="0"/>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Prednik  stečajnog dužnika nema udjele u drugim trgovačkim društvima u zemlji ili inozemstvu, tako da se nije nalazio u položaju vladajućeg društva u odnosu na druga trgovačka društva.  Prednik stečajnog dužnika nije bio niti u odnosu ovisnoga društva prema drugome društvu.</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Prednik stečajnog dužnika nije imao sklopljenih poduzetničkih ugovora.</w:t>
      </w:r>
    </w:p>
    <w:p w:rsidRDefault="002A01A2" w:rsidP="002A01A2" w:rsidR="002A01A2" w:rsidRPr="002A01A2">
      <w:pPr>
        <w:spacing w:lineRule="auto" w:line="240" w:after="0"/>
        <w:rPr>
          <w:rFonts w:cs="Tahoma" w:eastAsia="Times New Roman" w:hAnsi="Tahoma" w:ascii="Tahoma"/>
          <w:b/>
          <w:bCs/>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08192462" w:id="3"/>
      <w:bookmarkStart w:name="_Toc514765935" w:id="4"/>
      <w:r w:rsidRPr="002A01A2">
        <w:rPr>
          <w:rFonts w:cs="Tahoma" w:eastAsia="Times New Roman" w:hAnsi="Tahoma" w:ascii="Tahoma"/>
          <w:b/>
          <w:bCs/>
          <w:sz w:val="28"/>
          <w:szCs w:val="28"/>
          <w:lang w:eastAsia="hr-HR"/>
        </w:rPr>
        <w:t>Gospodarski  položaj stečajnog dužnika</w:t>
      </w:r>
      <w:bookmarkEnd w:id="3"/>
      <w:bookmarkEnd w:id="4"/>
    </w:p>
    <w:p w:rsidRDefault="002A01A2" w:rsidP="002A01A2" w:rsidR="002A01A2" w:rsidRPr="002A01A2">
      <w:pPr>
        <w:spacing w:lineRule="auto" w:line="240" w:after="0"/>
        <w:rPr>
          <w:rFonts w:cs="Tahoma" w:eastAsia="Times New Roman" w:hAnsi="Tahoma" w:ascii="Tahoma"/>
          <w:b/>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 xml:space="preserve">Za razumijevanje gospodarskog položaja stečajnoga dužnika, potrebno je u najkraćem prikazati gospodarski položaj prednika stečajnog dužnika u posljednjih nekoliko godina prije otvaranja stečajnoga postupka. </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 xml:space="preserve">Budući da je stečajni dužnik za cijeloga dosadašnjega trajanja stečajnoga postupka obavljao poslovanje u kontinuitetu, za ocjenu, je li ostvarenje ovoga stečajnoga plana </w:t>
      </w:r>
      <w:r w:rsidRPr="002A01A2">
        <w:rPr>
          <w:rFonts w:cs="Tahoma" w:eastAsia="Times New Roman" w:hAnsi="Tahoma" w:ascii="Tahoma"/>
          <w:bCs/>
          <w:lang w:eastAsia="hr-HR"/>
        </w:rPr>
        <w:lastRenderedPageBreak/>
        <w:t>povoljnije od primjene redovitog (likvidacijskog) modela stečajnoga postupka, bilo je potrebno analizirati njegovo poslovanje u uvjetima stečajnoga postupka.</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DC3997" w:rsidR="002A01A2" w:rsidRPr="002A01A2">
      <w:pPr>
        <w:numPr>
          <w:ilvl w:val="1"/>
          <w:numId w:val="5"/>
        </w:numPr>
        <w:spacing w:lineRule="auto" w:line="240" w:after="0"/>
        <w:contextualSpacing/>
        <w:rPr>
          <w:rFonts w:cs="Tahoma" w:eastAsia="Times New Roman" w:hAnsi="Tahoma" w:ascii="Tahoma"/>
          <w:b/>
          <w:bCs/>
          <w:iCs/>
          <w:lang w:eastAsia="hr-HR"/>
        </w:rPr>
      </w:pPr>
      <w:r w:rsidRPr="002A01A2">
        <w:rPr>
          <w:rFonts w:cs="Tahoma" w:eastAsia="Times New Roman" w:hAnsi="Tahoma" w:ascii="Tahoma"/>
          <w:b/>
          <w:bCs/>
          <w:iCs/>
          <w:lang w:eastAsia="hr-HR"/>
        </w:rPr>
        <w:t>Gospodarski položaj prednika stečajnog dužnika</w:t>
      </w:r>
    </w:p>
    <w:p w:rsidRDefault="002A01A2" w:rsidP="002A01A2" w:rsidR="002A01A2" w:rsidRPr="002A01A2">
      <w:pPr>
        <w:spacing w:lineRule="auto" w:line="240" w:after="0"/>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Prednik stečajnog dužnika INFORMATIVNI CENTAR BJELOVAR d.o.o., osnovan prije više od 30 godina, je radijski nakladnik. Nositelj je radijske koncesije, a </w:t>
      </w:r>
      <w:proofErr w:type="spellStart"/>
      <w:r w:rsidRPr="002A01A2">
        <w:rPr>
          <w:rFonts w:cs="Tahoma" w:eastAsia="Times New Roman" w:hAnsi="Tahoma" w:ascii="Tahoma"/>
          <w:bCs/>
          <w:iCs/>
          <w:lang w:eastAsia="hr-HR"/>
        </w:rPr>
        <w:t>svo</w:t>
      </w:r>
      <w:proofErr w:type="spellEnd"/>
      <w:r w:rsidRPr="002A01A2">
        <w:rPr>
          <w:rFonts w:cs="Tahoma" w:eastAsia="Times New Roman" w:hAnsi="Tahoma" w:ascii="Tahoma"/>
          <w:bCs/>
          <w:iCs/>
          <w:lang w:eastAsia="hr-HR"/>
        </w:rPr>
        <w:t xml:space="preserve"> vrijeme obavljao je svoju djelatnost bez opomene. Glavninu prihoda prednik stečajnog dužnika ostvarivao je od obavljanja radijske djelatnosti, koji prihodi su bili dostatni za namirenje svih poslovnih rashoda i profitabilno poslovanje.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Prednik stečajnoga dužnika našao se u poslovnim i financijskim problemima koji su izvirali iz posljedica obavljanja drugih (sekundarnih) djelatnosti – poslovanju s nekretninama i sličnome. Upuštanje prednika stečajnog dužnika u te djelatnosti dovelo je do kreditne zaduženosti, koja je nastupom financijske i </w:t>
      </w:r>
      <w:proofErr w:type="spellStart"/>
      <w:r w:rsidRPr="002A01A2">
        <w:rPr>
          <w:rFonts w:cs="Tahoma" w:eastAsia="Times New Roman" w:hAnsi="Tahoma" w:ascii="Tahoma"/>
          <w:bCs/>
          <w:iCs/>
          <w:lang w:eastAsia="hr-HR"/>
        </w:rPr>
        <w:t>nekretninske</w:t>
      </w:r>
      <w:proofErr w:type="spellEnd"/>
      <w:r w:rsidRPr="002A01A2">
        <w:rPr>
          <w:rFonts w:cs="Tahoma" w:eastAsia="Times New Roman" w:hAnsi="Tahoma" w:ascii="Tahoma"/>
          <w:bCs/>
          <w:iCs/>
          <w:lang w:eastAsia="hr-HR"/>
        </w:rPr>
        <w:t xml:space="preserve"> krize krajem 2008. godine izazivala potrebe za daljnjim kreditnim zaduženjima, što je s vremenom imalo za učinak zapadanje u zonu nelikvidnosti, a potom i insolventnosti.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Goleme obveze, koje su uzrokovale snažan pritisak na likvidnost društva, izazvale su potrebu za otvaranjem postupka </w:t>
      </w:r>
      <w:proofErr w:type="spellStart"/>
      <w:r w:rsidRPr="002A01A2">
        <w:rPr>
          <w:rFonts w:cs="Tahoma" w:eastAsia="Times New Roman" w:hAnsi="Tahoma" w:ascii="Tahoma"/>
          <w:bCs/>
          <w:iCs/>
          <w:lang w:eastAsia="hr-HR"/>
        </w:rPr>
        <w:t>predstečajne</w:t>
      </w:r>
      <w:proofErr w:type="spellEnd"/>
      <w:r w:rsidRPr="002A01A2">
        <w:rPr>
          <w:rFonts w:cs="Tahoma" w:eastAsia="Times New Roman" w:hAnsi="Tahoma" w:ascii="Tahoma"/>
          <w:bCs/>
          <w:iCs/>
          <w:lang w:eastAsia="hr-HR"/>
        </w:rPr>
        <w:t xml:space="preserve"> nagodbe, koji postupak je uz podršku vjerovnika društva uspješno dovršen, ali prednik stečajnog dužnika nije uspio unovčenjem nekretnina pribaviti potrebna novčana sredstva za namirenje glavnine obveza prema vjerovnicima iz </w:t>
      </w:r>
      <w:proofErr w:type="spellStart"/>
      <w:r w:rsidRPr="002A01A2">
        <w:rPr>
          <w:rFonts w:cs="Tahoma" w:eastAsia="Times New Roman" w:hAnsi="Tahoma" w:ascii="Tahoma"/>
          <w:bCs/>
          <w:iCs/>
          <w:lang w:eastAsia="hr-HR"/>
        </w:rPr>
        <w:t>predstečajne</w:t>
      </w:r>
      <w:proofErr w:type="spellEnd"/>
      <w:r w:rsidRPr="002A01A2">
        <w:rPr>
          <w:rFonts w:cs="Tahoma" w:eastAsia="Times New Roman" w:hAnsi="Tahoma" w:ascii="Tahoma"/>
          <w:bCs/>
          <w:iCs/>
          <w:lang w:eastAsia="hr-HR"/>
        </w:rPr>
        <w:t xml:space="preserve"> nagodbe, tako da su </w:t>
      </w:r>
      <w:proofErr w:type="spellStart"/>
      <w:r w:rsidRPr="002A01A2">
        <w:rPr>
          <w:rFonts w:cs="Tahoma" w:eastAsia="Times New Roman" w:hAnsi="Tahoma" w:ascii="Tahoma"/>
          <w:bCs/>
          <w:iCs/>
          <w:lang w:eastAsia="hr-HR"/>
        </w:rPr>
        <w:t>razlučni</w:t>
      </w:r>
      <w:proofErr w:type="spellEnd"/>
      <w:r w:rsidRPr="002A01A2">
        <w:rPr>
          <w:rFonts w:cs="Tahoma" w:eastAsia="Times New Roman" w:hAnsi="Tahoma" w:ascii="Tahoma"/>
          <w:bCs/>
          <w:iCs/>
          <w:lang w:eastAsia="hr-HR"/>
        </w:rPr>
        <w:t xml:space="preserve"> vjerovnici, prisilnim unovčenjem u ovršnim postupcima, ostvarili namirenje svojih tražbina, prednik stečajnog dužnika ostao je bez svih nekretnina, a pritisak preostalih nepodmirenih tražbina uzrokovao je nastupanje stečajnih razloga koji su nakon toga doveli i do otvaranja stečajnog postupka.  </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DC3997" w:rsidR="002A01A2" w:rsidRPr="002A01A2">
      <w:pPr>
        <w:numPr>
          <w:ilvl w:val="1"/>
          <w:numId w:val="5"/>
        </w:numPr>
        <w:spacing w:lineRule="auto" w:line="240" w:after="0"/>
        <w:contextualSpacing/>
        <w:jc w:val="both"/>
        <w:rPr>
          <w:rFonts w:cs="Tahoma" w:eastAsia="Times New Roman" w:hAnsi="Tahoma" w:ascii="Tahoma"/>
          <w:b/>
          <w:iCs/>
          <w:lang w:eastAsia="hr-HR"/>
        </w:rPr>
      </w:pPr>
      <w:r w:rsidRPr="002A01A2">
        <w:rPr>
          <w:rFonts w:cs="Tahoma" w:eastAsia="Times New Roman" w:hAnsi="Tahoma" w:ascii="Tahoma"/>
          <w:b/>
          <w:iCs/>
          <w:lang w:eastAsia="hr-HR"/>
        </w:rPr>
        <w:t>Gospodarski položaj stečajnog dužnika i poslovanje u uvjetima stečajnog postupka</w:t>
      </w:r>
    </w:p>
    <w:p w:rsidRDefault="002A01A2" w:rsidP="002A01A2" w:rsidR="002A01A2" w:rsidRPr="002A01A2">
      <w:pPr>
        <w:spacing w:lineRule="auto" w:line="240" w:after="0"/>
        <w:jc w:val="both"/>
        <w:rPr>
          <w:rFonts w:cs="Tahoma" w:eastAsia="Times New Roman" w:hAnsi="Tahoma" w:ascii="Tahoma"/>
          <w:iCs/>
          <w:lang w:eastAsia="hr-HR"/>
        </w:rPr>
      </w:pPr>
    </w:p>
    <w:p w:rsidRDefault="002A01A2" w:rsidP="002A01A2" w:rsidR="002A01A2" w:rsidRPr="002A01A2">
      <w:pPr>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Stečajni dužnik je nakon otvaranja stečajnoga postupka nastavio s poslovanjem i obavljanjem svoje temeljne djelatnosti radijskog nakladništva, što je omogućilo i održavanje na snazi važeće radijske koncesije kao temeljnog uvjeta za obavljanje djelatnosti.</w:t>
      </w:r>
    </w:p>
    <w:p w:rsidRDefault="002A01A2" w:rsidP="002A01A2" w:rsidR="002A01A2" w:rsidRPr="002A01A2">
      <w:pPr>
        <w:spacing w:lineRule="auto" w:line="240" w:after="0"/>
        <w:jc w:val="both"/>
        <w:rPr>
          <w:rFonts w:cs="Tahoma" w:eastAsia="Times New Roman" w:hAnsi="Tahoma" w:ascii="Tahoma"/>
          <w:iCs/>
          <w:lang w:eastAsia="hr-HR"/>
        </w:rPr>
      </w:pPr>
    </w:p>
    <w:p w:rsidRDefault="002A01A2" w:rsidP="002A01A2" w:rsidR="002A01A2" w:rsidRPr="002A01A2">
      <w:pPr>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Stečajni dužnik je poslovanjem u tijeku stečajnoj postupka očuvao stečajnu masu, a prihodima od poslovanja uredno podmiruje tekuće obveze.</w:t>
      </w:r>
    </w:p>
    <w:p w:rsidRDefault="002A01A2" w:rsidP="002A01A2" w:rsidR="002A01A2" w:rsidRPr="002A01A2">
      <w:pPr>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 xml:space="preserve"> </w:t>
      </w: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08192463" w:id="5"/>
      <w:bookmarkStart w:name="_Toc514765936" w:id="6"/>
      <w:r w:rsidRPr="002A01A2">
        <w:rPr>
          <w:rFonts w:cs="Tahoma" w:eastAsia="Times New Roman" w:hAnsi="Tahoma" w:ascii="Tahoma"/>
          <w:b/>
          <w:bCs/>
          <w:sz w:val="28"/>
          <w:szCs w:val="28"/>
          <w:lang w:eastAsia="hr-HR"/>
        </w:rPr>
        <w:t>Dosadašnji tijek stečajnog postupka</w:t>
      </w:r>
      <w:bookmarkEnd w:id="5"/>
      <w:bookmarkEnd w:id="6"/>
    </w:p>
    <w:p w:rsidRDefault="002A01A2" w:rsidP="002A01A2" w:rsidR="002A01A2" w:rsidRPr="002A01A2">
      <w:pPr>
        <w:spacing w:lineRule="auto" w:line="240" w:after="0"/>
        <w:ind w:left="720"/>
        <w:contextualSpacing/>
        <w:jc w:val="both"/>
        <w:rPr>
          <w:rFonts w:cs="Tahoma" w:eastAsia="Times New Roman" w:hAnsi="Tahoma" w:ascii="Tahoma"/>
          <w:iCs/>
          <w:lang w:eastAsia="hr-HR"/>
        </w:rPr>
      </w:pPr>
    </w:p>
    <w:p w:rsidRDefault="002A01A2" w:rsidP="002A01A2" w:rsidR="002A01A2" w:rsidRPr="002A01A2">
      <w:pPr>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 xml:space="preserve">Stečajni upravitelj Nenad Homar podnio je stečajnim vjerovnicima detaljno izvješće   o gospodarskom položaju stečajnog dužnika i uzrocima zatečenoga gospodarskoga stanja. Stečajni je upravitelj predložio, da stečajni vjerovnici donijeli su odluku o nastavku poslovanja stečajnog dužnika u uvjetima stečajnoga postupka te odluku o pristupanju izradi stečajnog plana kao obliku dovršetka stečajnoga postupka. </w:t>
      </w:r>
    </w:p>
    <w:p w:rsidRDefault="002A01A2" w:rsidP="002A01A2" w:rsidR="002A01A2" w:rsidRPr="002A01A2">
      <w:pPr>
        <w:spacing w:lineRule="auto" w:line="240" w:after="0"/>
        <w:jc w:val="both"/>
        <w:rPr>
          <w:rFonts w:cs="Tahoma" w:eastAsia="Times New Roman" w:hAnsi="Tahoma" w:ascii="Tahoma"/>
          <w:iCs/>
          <w:lang w:eastAsia="hr-HR"/>
        </w:rPr>
      </w:pPr>
    </w:p>
    <w:p w:rsidRDefault="002A01A2" w:rsidP="002A01A2" w:rsidR="002A01A2" w:rsidRPr="002A01A2">
      <w:pPr>
        <w:spacing w:lineRule="auto" w:line="240" w:after="0"/>
        <w:jc w:val="both"/>
        <w:rPr>
          <w:rFonts w:cs="Tahoma" w:eastAsia="Times New Roman" w:hAnsi="Tahoma" w:ascii="Tahoma"/>
          <w:iCs/>
          <w:lang w:eastAsia="hr-HR"/>
        </w:rPr>
      </w:pPr>
      <w:r w:rsidRPr="002A01A2">
        <w:rPr>
          <w:rFonts w:cs="Tahoma" w:eastAsia="Times New Roman" w:hAnsi="Tahoma" w:ascii="Tahoma"/>
          <w:iCs/>
          <w:lang w:eastAsia="hr-HR"/>
        </w:rPr>
        <w:t xml:space="preserve">Slijedom izjašnjenja stečajnog upravitelja, stečajni sudac je rješenjem od 12. veljače 2018.  godine  utvrdio tražbine vjerovnika drugog višeg isplatnog reda koje je stečajni upravitelj priznao na ispitnome ročištu održanome dana 7. veljače 2018. godine, a na </w:t>
      </w:r>
      <w:r w:rsidRPr="002A01A2">
        <w:rPr>
          <w:rFonts w:cs="Tahoma" w:eastAsia="Times New Roman" w:hAnsi="Tahoma" w:ascii="Tahoma"/>
          <w:iCs/>
          <w:lang w:eastAsia="hr-HR"/>
        </w:rPr>
        <w:lastRenderedPageBreak/>
        <w:t>pokretanje parnice radi otklanjanja osporavanja uputio je vjerovnike s osporenim tražbinama. Naknadno, rješenjem Visokog trgovačkog suda RH, stečajni upravitelj upućen je na parnicu radi dokazivanja osnovanosti osporavanja dijela tražbine stečajnog vjerovnika Grad Zagreb, koju parnicu je stečajni upravitelj i pokrenuo.</w:t>
      </w:r>
    </w:p>
    <w:p w:rsidRDefault="002A01A2" w:rsidP="002A01A2" w:rsidR="002A01A2" w:rsidRPr="002A01A2">
      <w:pPr>
        <w:spacing w:lineRule="auto" w:line="240" w:after="0"/>
        <w:jc w:val="both"/>
        <w:rPr>
          <w:rFonts w:cs="Tahoma" w:eastAsia="Times New Roman" w:hAnsi="Tahoma" w:ascii="Tahoma"/>
          <w:iCs/>
          <w:lang w:eastAsia="hr-HR"/>
        </w:rPr>
      </w:pPr>
    </w:p>
    <w:p w:rsidRDefault="002A01A2" w:rsidP="002A01A2" w:rsidR="002A01A2" w:rsidRPr="002A01A2">
      <w:pPr>
        <w:spacing w:lineRule="auto" w:line="240" w:after="0"/>
        <w:ind w:hanging="360" w:left="720"/>
        <w:contextualSpacing/>
        <w:rPr>
          <w:rFonts w:cs="Tahoma" w:eastAsia="Times New Roman" w:hAnsi="Tahoma" w:ascii="Tahoma"/>
          <w:b/>
          <w:sz w:val="28"/>
          <w:szCs w:val="28"/>
          <w:lang w:eastAsia="hr-HR"/>
        </w:rPr>
      </w:pPr>
      <w:bookmarkStart w:name="_Toc508192464" w:id="7"/>
      <w:bookmarkStart w:name="_Toc514765937" w:id="8"/>
      <w:r w:rsidRPr="002A01A2">
        <w:rPr>
          <w:rFonts w:cs="Tahoma" w:eastAsia="Times New Roman" w:hAnsi="Tahoma" w:ascii="Tahoma"/>
          <w:b/>
          <w:bCs/>
          <w:sz w:val="28"/>
          <w:szCs w:val="28"/>
          <w:lang w:eastAsia="hr-HR"/>
        </w:rPr>
        <w:t>Imovina stečajnog dužnika (stečajna masa)</w:t>
      </w:r>
      <w:bookmarkEnd w:id="7"/>
      <w:bookmarkEnd w:id="8"/>
      <w:r w:rsidRPr="002A01A2">
        <w:rPr>
          <w:rFonts w:cs="Tahoma" w:eastAsia="Times New Roman" w:hAnsi="Tahoma" w:ascii="Tahoma"/>
          <w:b/>
          <w:bCs/>
          <w:sz w:val="28"/>
          <w:szCs w:val="28"/>
          <w:lang w:eastAsia="hr-HR"/>
        </w:rPr>
        <w:t xml:space="preserve">  </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Imovinu stečajnoga dužnika čini dugotrajna imovina (pokretnine), kratkotrajna imovina  (tražbine prema trećim osobama) te novčana sredstva.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Stečajni dužnik nema nekretnina u svojem vlasništvu, a posluje u zakupljenom poslovnom prostoru.</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Prema stanju u poslovnim knjigama stečajnog dužnika, na dan 31. prosinca 2017. godine stečajni dužnik imao je dugotrajnu materijalnu imovinu (opremu) u vrijednosti od 28.472,00 kuna, te ostale pokretnine (alate, inventar) u vrijednosti od 5.616,00 kuna.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Kratkotrajnu imovinu stečajnog dužnika sačinjavaju tražbine prema trećim osobama, koje su na dan 31. prosinca 2017. godine iznosile 151.081,00 kuna i dani zajmovi u iznosu od 1.658,00 kuna. U aktivi stečajnog dužnika, na dan 31. prosinca 2017. godine, nalazila su se i novčana sredstva u iznosu od 94.665,00 kuna.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DC3997" w:rsidR="002A01A2" w:rsidRPr="002A01A2">
      <w:pPr>
        <w:numPr>
          <w:ilvl w:val="1"/>
          <w:numId w:val="4"/>
        </w:numPr>
        <w:spacing w:lineRule="auto" w:line="240" w:after="0"/>
        <w:contextualSpacing/>
        <w:jc w:val="both"/>
        <w:rPr>
          <w:rFonts w:cs="Tahoma" w:eastAsia="Times New Roman" w:hAnsi="Tahoma" w:ascii="Tahoma"/>
          <w:b/>
          <w:lang w:eastAsia="hr-HR"/>
        </w:rPr>
      </w:pPr>
      <w:r w:rsidRPr="002A01A2">
        <w:rPr>
          <w:rFonts w:cs="Tahoma" w:eastAsia="Times New Roman" w:hAnsi="Tahoma" w:ascii="Tahoma"/>
          <w:b/>
          <w:lang w:eastAsia="hr-HR"/>
        </w:rPr>
        <w:t>Radijska koncesija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Stečajni dužnik je nositelj radijske koncesije koja predstavlja temelj za obavljanje radijske nakladničke djelatnosti, a važeća je do 31. svibnja 2019., s tim da je ugovorom o koncesiji određen rok od najmanje 6 mjeseci prije isteka koncesije za podnošenje zahtjeva za obnovu koncesije, a koji rok istječe 30. studenog 2018. godine. </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Za slučaj, da ovaj Stečajni plan bude pravomoćno potvrđen prije isteka roka za podnošenje zahtjeva za obnovu koncesije, to će omogućiti obnavljanje radijske koncesije i time nastavak poslovanja stečajnog dužnika. U suprotnome, neće biti moguć nastavak poslovanja stečajnog dužnika.</w:t>
      </w: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 </w:t>
      </w: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08192465" w:id="9"/>
      <w:bookmarkStart w:name="_Toc514765938" w:id="10"/>
      <w:r w:rsidRPr="002A01A2">
        <w:rPr>
          <w:rFonts w:cs="Tahoma" w:eastAsia="Times New Roman" w:hAnsi="Tahoma" w:ascii="Tahoma"/>
          <w:b/>
          <w:bCs/>
          <w:sz w:val="28"/>
          <w:szCs w:val="28"/>
          <w:lang w:eastAsia="hr-HR"/>
        </w:rPr>
        <w:t>Likvidacijska vrijednost imovine stečajnog dužnika</w:t>
      </w:r>
      <w:bookmarkEnd w:id="9"/>
      <w:r w:rsidRPr="002A01A2">
        <w:rPr>
          <w:rFonts w:cs="Tahoma" w:eastAsia="Times New Roman" w:hAnsi="Tahoma" w:ascii="Tahoma"/>
          <w:b/>
          <w:bCs/>
          <w:sz w:val="28"/>
          <w:szCs w:val="28"/>
          <w:lang w:eastAsia="hr-HR"/>
        </w:rPr>
        <w:t xml:space="preserve"> i namirenje vjerovnika iz te vrijednosti</w:t>
      </w:r>
      <w:bookmarkEnd w:id="10"/>
    </w:p>
    <w:p w:rsidRDefault="002A01A2" w:rsidP="002A01A2" w:rsidR="002A01A2" w:rsidRPr="002A01A2">
      <w:pPr>
        <w:spacing w:lineRule="auto" w:line="240" w:after="0"/>
        <w:jc w:val="both"/>
        <w:rPr>
          <w:rFonts w:cs="Tahoma" w:eastAsia="Times New Roman" w:hAnsi="Tahoma" w:ascii="Tahoma"/>
          <w:b/>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Iz pregleda imovine stečajnoga dužnika, koja čini stečajnu masu, slijedi, kako je knjigovodstvena vrijednost te imovine na dan 31. prosinca 2017. godine iznosila 279.834,00 kuna.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Pod pretpostavkom</w:t>
      </w:r>
      <w:r w:rsidRPr="002A01A2">
        <w:rPr>
          <w:rFonts w:cs="Tahoma" w:eastAsia="Times New Roman" w:hAnsi="Tahoma" w:ascii="Tahoma"/>
          <w:strike/>
          <w:lang w:eastAsia="hr-HR"/>
        </w:rPr>
        <w:t>,</w:t>
      </w:r>
      <w:r w:rsidRPr="002A01A2">
        <w:rPr>
          <w:rFonts w:cs="Tahoma" w:eastAsia="Times New Roman" w:hAnsi="Tahoma" w:ascii="Tahoma"/>
          <w:lang w:eastAsia="hr-HR"/>
        </w:rPr>
        <w:t xml:space="preserve"> da je vrijednost te imovine jednaka njezinoj likvidacijskog vrijednosti, dakle, da bi se, za slučaj provođenja likvidacijskog modela stečajnog postupka, unovčenjem imovine (unovčenjem pokretnina, naplatom tražbina i korištenjem raspoloživih novčanih sredstava na računu) mogla ostvariti jednaka vrijednost u novcu kao što je u poslovnim knjigama iskazana vrijednost te imovine.</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To ima značiti, da bi za slučaj namirenja vjerovnika u uvjetima provođenja likvidacijskog modela stečajnog postupka bilo raspoloživo najviše do 279.834,00 kuna, uz uvjet, da sve </w:t>
      </w:r>
      <w:r w:rsidRPr="002A01A2">
        <w:rPr>
          <w:rFonts w:cs="Tahoma" w:eastAsia="Times New Roman" w:hAnsi="Tahoma" w:ascii="Tahoma"/>
          <w:lang w:eastAsia="hr-HR"/>
        </w:rPr>
        <w:lastRenderedPageBreak/>
        <w:t xml:space="preserve">tražbine prema svim dužnicima stečajnog dužnika budu naplaćene u potpunosti, te uz uvjet, da pokretnine budu unovčene po svojoj knjigovodstvenoj vrijednosti. Pri tome, za namirenje troškova stečajnog postupka i namirenje ostalih obveza stečajne mase potrebno je predvidjeti iznos od minimalno 100.000,00 kuna, tako da bi za namirenje vjerovnika drugog višeg isplatnog reda preostalo najviše do </w:t>
      </w:r>
      <w:r w:rsidRPr="002A01A2">
        <w:rPr>
          <w:rFonts w:cs="Tahoma" w:eastAsia="Times New Roman" w:hAnsi="Tahoma" w:ascii="Tahoma"/>
          <w:b/>
          <w:lang w:eastAsia="hr-HR"/>
        </w:rPr>
        <w:t>179.834,00</w:t>
      </w:r>
      <w:r w:rsidRPr="002A01A2">
        <w:rPr>
          <w:rFonts w:cs="Tahoma" w:eastAsia="Times New Roman" w:hAnsi="Tahoma" w:ascii="Tahoma"/>
          <w:lang w:eastAsia="hr-HR"/>
        </w:rPr>
        <w:t xml:space="preserve"> kuna.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Iz navedenoga slijedi, da bi se stečajni vjerovnici s utvrđenim tražbinama, koje sveukupno iznose  8.561.912,40 kuna, za slučaj likvidacijskog modela stečajnog postupka, mogli namiriti sa svega 2,1% svojih tražbina, a </w:t>
      </w:r>
      <w:bookmarkStart w:name="_Hlk514659896" w:id="11"/>
      <w:r w:rsidRPr="002A01A2">
        <w:rPr>
          <w:rFonts w:cs="Tahoma" w:eastAsia="Times New Roman" w:hAnsi="Tahoma" w:ascii="Tahoma"/>
          <w:lang w:eastAsia="hr-HR"/>
        </w:rPr>
        <w:t>za slučaj da sve osporene tražbine budu pravomoćno utvrđene tražbinama drugog višeg isplatnog reda</w:t>
      </w:r>
      <w:bookmarkEnd w:id="11"/>
      <w:r w:rsidRPr="002A01A2">
        <w:rPr>
          <w:rFonts w:cs="Tahoma" w:eastAsia="Times New Roman" w:hAnsi="Tahoma" w:ascii="Tahoma"/>
          <w:lang w:eastAsia="hr-HR"/>
        </w:rPr>
        <w:t>, namirenje vjerovnika u uvjetima likvidacijskog modela ne bi prešlo 1,00% svih tražbina.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Ovdje je potrebno napomenuti kako su pokretnine procijenjene u ovom stečajnom postupku i to na iznos od 76.545,00 kn, no za očekivati je kako pri unovčenju pokretnina na javnim dražbama neće biti ostvarena </w:t>
      </w:r>
      <w:proofErr w:type="spellStart"/>
      <w:r w:rsidRPr="002A01A2">
        <w:rPr>
          <w:rFonts w:cs="Tahoma" w:eastAsia="Times New Roman" w:hAnsi="Tahoma" w:ascii="Tahoma"/>
          <w:lang w:eastAsia="hr-HR"/>
        </w:rPr>
        <w:t>kupovnina</w:t>
      </w:r>
      <w:proofErr w:type="spellEnd"/>
      <w:r w:rsidRPr="002A01A2">
        <w:rPr>
          <w:rFonts w:cs="Tahoma" w:eastAsia="Times New Roman" w:hAnsi="Tahoma" w:ascii="Tahoma"/>
          <w:lang w:eastAsia="hr-HR"/>
        </w:rPr>
        <w:t xml:space="preserve"> u iznosu procijenjene vrijednosti već će ona biti znatno manja. Isto tako nije realno očekivati naplatu potraživanja u cijelosti, jer je već sada izvjesno da će neke od knjiženih tražbina biti potrebno otpisati (nad jednim od društva otvoren je i zaključen stečajni postupak i sl.) Stoga je, uzimajući u obzir pozitivni utjecaj veće procijenjene vrijednosti pokretnina, te oba navedena negativna utjecaja, razumno za pretpostaviti kako je održiva pretpostavka o tome da će likvidacijska vrijednost imovine biti jednaka njenoj knjigovodstvenoj vrijednosti.</w:t>
      </w:r>
    </w:p>
    <w:p w:rsidRDefault="002A01A2" w:rsidP="002A01A2" w:rsidR="002A01A2" w:rsidRPr="002A01A2">
      <w:pPr>
        <w:spacing w:lineRule="auto" w:line="240" w:after="0"/>
        <w:jc w:val="both"/>
        <w:rPr>
          <w:rFonts w:cs="Tahoma" w:eastAsia="Times New Roman" w:hAnsi="Tahoma" w:ascii="Tahoma"/>
          <w:color w:val="FF0000"/>
          <w:lang w:eastAsia="hr-HR"/>
        </w:rPr>
      </w:pPr>
    </w:p>
    <w:p w:rsidRDefault="002A01A2" w:rsidP="002A01A2" w:rsidR="002A01A2" w:rsidRPr="002A01A2">
      <w:pPr>
        <w:spacing w:lineRule="auto" w:line="240" w:after="0"/>
        <w:jc w:val="both"/>
        <w:rPr>
          <w:rFonts w:cs="Tahoma" w:eastAsia="Times New Roman" w:hAnsi="Tahoma" w:ascii="Tahoma"/>
          <w:color w:val="FF0000"/>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14765939" w:id="12"/>
      <w:r w:rsidRPr="002A01A2">
        <w:rPr>
          <w:rFonts w:cs="Tahoma" w:eastAsia="Times New Roman" w:hAnsi="Tahoma" w:ascii="Tahoma"/>
          <w:b/>
          <w:bCs/>
          <w:sz w:val="28"/>
          <w:szCs w:val="28"/>
          <w:lang w:eastAsia="hr-HR"/>
        </w:rPr>
        <w:t>Vrijednost imovine stečajnog dužnika za slučaj nastavka poslovanja na temelju potvrđenog Stečajnog plana</w:t>
      </w:r>
      <w:bookmarkEnd w:id="12"/>
    </w:p>
    <w:p w:rsidRDefault="002A01A2" w:rsidP="002A01A2" w:rsidR="002A01A2" w:rsidRPr="002A01A2">
      <w:pPr>
        <w:spacing w:lineRule="auto" w:line="240" w:after="0"/>
        <w:ind w:left="720"/>
        <w:contextualSpacing/>
        <w:jc w:val="both"/>
        <w:rPr>
          <w:rFonts w:cs="Tahoma" w:eastAsia="Times New Roman" w:hAnsi="Tahoma" w:ascii="Tahoma"/>
          <w:lang w:eastAsia="hr-HR"/>
        </w:rPr>
      </w:pPr>
    </w:p>
    <w:p w:rsidRDefault="002A01A2" w:rsidP="002A01A2" w:rsidR="002A01A2" w:rsidRPr="002A01A2">
      <w:pPr>
        <w:spacing w:lineRule="auto" w:line="240" w:after="0"/>
        <w:ind w:left="720"/>
        <w:contextualSpacing/>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Za slučaj nastavka poslovanja stečajnog dužnika, kojem se prema daljnjim odredbama ovoga Stečajnoga plana treba ostaviti sva zatečena imovina kako bi ona bila korištena u nastavku poslovanja, bit će omogućeno ostvarivanje budućih prihoda iz kojih će dijelom biti namirenje preostale obveze stečajnog dužnika prema stečajnim vjerovnicima.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14765940" w:id="13"/>
      <w:bookmarkStart w:name="_Toc508192466" w:id="14"/>
      <w:r w:rsidRPr="002A01A2">
        <w:rPr>
          <w:rFonts w:cs="Tahoma" w:eastAsia="Times New Roman" w:hAnsi="Tahoma" w:ascii="Tahoma"/>
          <w:b/>
          <w:bCs/>
          <w:sz w:val="28"/>
          <w:szCs w:val="28"/>
          <w:lang w:eastAsia="hr-HR"/>
        </w:rPr>
        <w:t>Obveze stečajnog dužnika prema stečajnim vjerovnicima</w:t>
      </w:r>
      <w:bookmarkEnd w:id="13"/>
      <w:r w:rsidRPr="002A01A2">
        <w:rPr>
          <w:rFonts w:cs="Tahoma" w:eastAsia="Times New Roman" w:hAnsi="Tahoma" w:ascii="Tahoma"/>
          <w:b/>
          <w:bCs/>
          <w:sz w:val="28"/>
          <w:szCs w:val="28"/>
          <w:lang w:eastAsia="hr-HR"/>
        </w:rPr>
        <w:t xml:space="preserve"> </w:t>
      </w:r>
      <w:bookmarkEnd w:id="14"/>
      <w:r w:rsidRPr="002A01A2">
        <w:rPr>
          <w:rFonts w:cs="Tahoma" w:eastAsia="Times New Roman" w:hAnsi="Tahoma" w:ascii="Tahoma"/>
          <w:b/>
          <w:bCs/>
          <w:sz w:val="28"/>
          <w:szCs w:val="28"/>
          <w:lang w:eastAsia="hr-HR"/>
        </w:rPr>
        <w:t xml:space="preserve"> </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Rješenjem Trgovačkog suda u Bjelovaru  broj 5 St-800/2017 od 12. veljače 2018. godine utvrđene su tražbine vjerovnika drugog višeg isplatnog reda u sveukupnom iznosu od</w:t>
      </w:r>
      <w:r w:rsidRPr="002A01A2">
        <w:rPr>
          <w:rFonts w:cs="Times New Roman" w:eastAsia="Times New Roman" w:hAnsi="Tahoma" w:ascii="Tahoma"/>
          <w:lang w:eastAsia="hr-HR"/>
        </w:rPr>
        <w:t xml:space="preserve"> </w:t>
      </w:r>
      <w:r w:rsidRPr="002A01A2">
        <w:rPr>
          <w:rFonts w:cs="Tahoma" w:eastAsia="Times New Roman" w:hAnsi="Tahoma" w:ascii="Tahoma"/>
          <w:b/>
          <w:lang w:eastAsia="hr-HR"/>
        </w:rPr>
        <w:t>8.561.912,40</w:t>
      </w:r>
      <w:r w:rsidRPr="002A01A2">
        <w:rPr>
          <w:rFonts w:cs="Tahoma" w:eastAsia="Times New Roman" w:hAnsi="Tahoma" w:ascii="Tahoma"/>
          <w:lang w:eastAsia="hr-HR"/>
        </w:rPr>
        <w:t xml:space="preserve"> kuna.  </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Stečajni vjerovnici drugog višeg isplatnog reda, pojedinačno, imaju utvrđene tražbine, kako slijedi:</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center"/>
        <w:rPr>
          <w:rFonts w:cs="Tahoma" w:eastAsia="Times New Roman" w:hAnsi="Tahoma" w:ascii="Tahoma"/>
          <w:b/>
          <w:lang w:eastAsia="hr-HR"/>
        </w:rPr>
      </w:pPr>
      <w:r w:rsidRPr="002A01A2">
        <w:rPr>
          <w:rFonts w:cs="Tahoma" w:eastAsia="Times New Roman" w:hAnsi="Tahoma" w:ascii="Tahoma"/>
          <w:b/>
          <w:lang w:eastAsia="hr-HR"/>
        </w:rPr>
        <w:t>TABLICA 1.</w:t>
      </w:r>
    </w:p>
    <w:p w:rsidRDefault="002A01A2" w:rsidP="002A01A2" w:rsidR="002A01A2" w:rsidRPr="002A01A2">
      <w:pPr>
        <w:spacing w:lineRule="auto" w:line="240" w:after="0"/>
        <w:jc w:val="center"/>
        <w:rPr>
          <w:rFonts w:cs="Tahoma" w:eastAsia="Times New Roman" w:hAnsi="Tahoma" w:ascii="Tahoma"/>
          <w:b/>
          <w:lang w:eastAsia="hr-HR"/>
        </w:rPr>
      </w:pPr>
      <w:r w:rsidRPr="002A01A2">
        <w:rPr>
          <w:rFonts w:cs="Tahoma" w:eastAsia="Times New Roman" w:hAnsi="Tahoma" w:ascii="Tahoma"/>
          <w:b/>
          <w:lang w:eastAsia="hr-HR"/>
        </w:rPr>
        <w:t>Utvrđene tražbine vjerovnika drugog višeg isplatnog reda</w:t>
      </w:r>
    </w:p>
    <w:p w:rsidRDefault="002A01A2" w:rsidP="002A01A2" w:rsidR="002A01A2" w:rsidRPr="002A01A2">
      <w:pPr>
        <w:spacing w:lineRule="auto" w:line="240" w:after="0"/>
        <w:jc w:val="both"/>
        <w:rPr>
          <w:rFonts w:cs="Tahoma" w:eastAsia="Times New Roman" w:hAnsi="Tahoma" w:ascii="Tahoma"/>
          <w:lang w:eastAsia="hr-HR"/>
        </w:rPr>
      </w:pPr>
    </w:p>
    <w:tbl>
      <w:tblPr>
        <w:tblStyle w:val="Reetkatablice"/>
        <w:tblW w:type="dxa" w:w="10065"/>
        <w:tblInd w:type="dxa" w:w="-459"/>
        <w:tblLook w:val="04A0" w:noVBand="1" w:noHBand="0" w:lastColumn="0" w:firstColumn="1" w:lastRow="0" w:firstRow="1"/>
      </w:tblPr>
      <w:tblGrid>
        <w:gridCol w:w="3476"/>
        <w:gridCol w:w="1538"/>
        <w:gridCol w:w="3208"/>
        <w:gridCol w:w="1843"/>
      </w:tblGrid>
      <w:tr w:rsidTr="002A01A2" w:rsidR="002A01A2" w:rsidRPr="002A01A2">
        <w:trPr>
          <w:trHeight w:val="564"/>
        </w:trPr>
        <w:tc>
          <w:tcPr>
            <w:tcW w:type="dxa" w:w="3476"/>
            <w:shd w:themeFillShade="D9" w:themeFill="background1" w:fill="D9D9D9" w:color="auto" w:val="clear"/>
            <w:hideMark/>
          </w:tcPr>
          <w:p w:rsidRDefault="002A01A2" w:rsidP="002A01A2" w:rsidR="002A01A2" w:rsidRPr="002A01A2">
            <w:pPr>
              <w:jc w:val="both"/>
              <w:rPr>
                <w:rFonts w:cs="Tahoma" w:eastAsia="Times New Roman" w:hAnsi="Tahoma" w:ascii="Tahoma"/>
                <w:b/>
                <w:lang w:eastAsia="hr-HR"/>
              </w:rPr>
            </w:pPr>
            <w:bookmarkStart w:name="RANGE!A1" w:id="15"/>
            <w:r w:rsidRPr="002A01A2">
              <w:rPr>
                <w:rFonts w:cs="Tahoma" w:eastAsia="Times New Roman" w:hAnsi="Tahoma" w:ascii="Tahoma"/>
                <w:b/>
                <w:lang w:eastAsia="hr-HR"/>
              </w:rPr>
              <w:t>STEČAJNI VJEROVNIK</w:t>
            </w:r>
            <w:bookmarkEnd w:id="15"/>
          </w:p>
        </w:tc>
        <w:tc>
          <w:tcPr>
            <w:tcW w:type="dxa" w:w="1538"/>
            <w:shd w:themeFillShade="D9" w:themeFill="background1" w:fill="D9D9D9" w:color="auto" w:val="clear"/>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OIB</w:t>
            </w:r>
          </w:p>
        </w:tc>
        <w:tc>
          <w:tcPr>
            <w:tcW w:type="dxa" w:w="3208"/>
            <w:shd w:themeFillShade="D9" w:themeFill="background1" w:fill="D9D9D9" w:color="auto" w:val="clear"/>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ADRESA VJEROVNIKA</w:t>
            </w:r>
          </w:p>
        </w:tc>
        <w:tc>
          <w:tcPr>
            <w:tcW w:type="dxa" w:w="1843"/>
            <w:shd w:themeFillShade="D9" w:themeFill="background1" w:fill="D9D9D9" w:color="auto" w:val="clear"/>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UTVRĐENA</w:t>
            </w:r>
          </w:p>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TRAŽBINA</w:t>
            </w:r>
          </w:p>
        </w:tc>
      </w:tr>
      <w:tr w:rsidTr="002A01A2" w:rsidR="002A01A2" w:rsidRPr="002A01A2">
        <w:trPr>
          <w:trHeight w:val="72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lastRenderedPageBreak/>
              <w:t>HRVATSKE VODE, pravna osoba za upravljanje vodama</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28921383001</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Ulica grada Vukovara 220</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20.217,36</w:t>
            </w:r>
          </w:p>
        </w:tc>
      </w:tr>
      <w:tr w:rsidTr="002A01A2" w:rsidR="002A01A2" w:rsidRPr="002A01A2">
        <w:trPr>
          <w:trHeight w:val="958"/>
        </w:trPr>
        <w:tc>
          <w:tcPr>
            <w:tcW w:type="dxa" w:w="3476"/>
            <w:hideMark/>
          </w:tcPr>
          <w:p w:rsidRDefault="002A01A2" w:rsidP="002A01A2" w:rsidR="002A01A2" w:rsidRPr="002A01A2">
            <w:pPr>
              <w:rPr>
                <w:rFonts w:cs="Tahoma" w:eastAsia="Times New Roman" w:hAnsi="Tahoma" w:ascii="Tahoma"/>
                <w:lang w:eastAsia="hr-HR"/>
              </w:rPr>
            </w:pPr>
            <w:r w:rsidRPr="002A01A2">
              <w:rPr>
                <w:rFonts w:cs="Tahoma" w:eastAsia="Times New Roman" w:hAnsi="Tahoma" w:ascii="Tahoma"/>
                <w:lang w:eastAsia="hr-HR"/>
              </w:rPr>
              <w:t>REPUBLIKA HRVATSKA MINISTARSTVO FINANCIJA, Porezna uprava, Područni ured Bjelovar</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18683136487</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Boškovićeva 5</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284.643,26</w:t>
            </w:r>
          </w:p>
        </w:tc>
      </w:tr>
      <w:tr w:rsidTr="002A01A2" w:rsidR="002A01A2" w:rsidRPr="002A01A2">
        <w:trPr>
          <w:trHeight w:val="30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KOMUNALAC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27962400486</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Ferde Livadića 14 a</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4.418,35</w:t>
            </w:r>
          </w:p>
        </w:tc>
      </w:tr>
      <w:tr w:rsidTr="002A01A2" w:rsidR="002A01A2" w:rsidRPr="002A01A2">
        <w:trPr>
          <w:trHeight w:val="30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VODNE USLUGE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43307218011</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Ferde Livadića 14 a</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106,3</w:t>
            </w:r>
          </w:p>
        </w:tc>
      </w:tr>
      <w:tr w:rsidTr="002A01A2" w:rsidR="002A01A2" w:rsidRPr="002A01A2">
        <w:trPr>
          <w:trHeight w:val="648"/>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GRAD BJELOVAR</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18970641692</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Trg Eugena Kvaternika 2</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115.139,40</w:t>
            </w:r>
          </w:p>
        </w:tc>
      </w:tr>
      <w:tr w:rsidTr="002A01A2" w:rsidR="002A01A2" w:rsidRPr="002A01A2">
        <w:trPr>
          <w:trHeight w:val="252"/>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IT Jedan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75235737688</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Selska cesta 90/a</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446,13</w:t>
            </w:r>
          </w:p>
        </w:tc>
      </w:tr>
      <w:tr w:rsidTr="002A01A2" w:rsidR="002A01A2" w:rsidRPr="002A01A2">
        <w:trPr>
          <w:trHeight w:val="384"/>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ČAZMATRANS PROMET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96107776452</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Čazma, M. Novačića 10</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616,68</w:t>
            </w:r>
          </w:p>
        </w:tc>
      </w:tr>
      <w:tr w:rsidTr="002A01A2" w:rsidR="002A01A2" w:rsidRPr="002A01A2">
        <w:trPr>
          <w:trHeight w:val="312"/>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GRAD ZAGREB</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61817894937</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Trg Stjepana Radića 1</w:t>
            </w:r>
          </w:p>
        </w:tc>
        <w:tc>
          <w:tcPr>
            <w:tcW w:type="dxa" w:w="1843"/>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79.718,41</w:t>
            </w:r>
          </w:p>
        </w:tc>
      </w:tr>
      <w:tr w:rsidTr="002A01A2" w:rsidR="002A01A2" w:rsidRPr="002A01A2">
        <w:trPr>
          <w:trHeight w:val="924"/>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HRVATSKA REGULATORNA AGENCIJA ZA MREŽNE DJELATNOSTI</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87950783661</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Ulica Roberta Frangeša Mihanovića 9</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12.807,00</w:t>
            </w:r>
          </w:p>
        </w:tc>
      </w:tr>
      <w:tr w:rsidTr="002A01A2" w:rsidR="002A01A2" w:rsidRPr="002A01A2">
        <w:trPr>
          <w:trHeight w:val="78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HRVATSKO DRUŠTVO SKLADATELJA</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56668956985</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 xml:space="preserve">Zagreb, </w:t>
            </w:r>
            <w:proofErr w:type="spellStart"/>
            <w:r w:rsidRPr="002A01A2">
              <w:rPr>
                <w:rFonts w:cs="Tahoma" w:eastAsia="Times New Roman" w:hAnsi="Tahoma" w:ascii="Tahoma"/>
                <w:lang w:eastAsia="hr-HR"/>
              </w:rPr>
              <w:t>Berislavićeva</w:t>
            </w:r>
            <w:proofErr w:type="spellEnd"/>
            <w:r w:rsidRPr="002A01A2">
              <w:rPr>
                <w:rFonts w:cs="Tahoma" w:eastAsia="Times New Roman" w:hAnsi="Tahoma" w:ascii="Tahoma"/>
                <w:lang w:eastAsia="hr-HR"/>
              </w:rPr>
              <w:t xml:space="preserve"> 9</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842.984,90</w:t>
            </w:r>
          </w:p>
        </w:tc>
      </w:tr>
      <w:tr w:rsidTr="002A01A2" w:rsidR="002A01A2" w:rsidRPr="002A01A2">
        <w:trPr>
          <w:trHeight w:val="672"/>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AGENCIJA ZA ELEKTRONIČKE MEDIJE</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35237547014</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Jagićeva 31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14.537,30</w:t>
            </w:r>
          </w:p>
        </w:tc>
      </w:tr>
      <w:tr w:rsidTr="002A01A2" w:rsidR="002A01A2" w:rsidRPr="002A01A2">
        <w:trPr>
          <w:trHeight w:val="1335"/>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SUVLASNICI STAMBENE ZGRADE U ZAGREBU, JURJA ŽERJAVIĆA 19, zastupani po: GRADSKO STAMBENO KOMUNALNO PODUZEĆE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3744272526</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Savska cesta 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16.927,32</w:t>
            </w:r>
          </w:p>
        </w:tc>
      </w:tr>
      <w:tr w:rsidTr="002A01A2" w:rsidR="002A01A2" w:rsidRPr="002A01A2">
        <w:trPr>
          <w:trHeight w:val="612"/>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CROATIA OSIGURANJE d.d.</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26187994862</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Vatroslava Jagića 33</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1.301,39</w:t>
            </w:r>
          </w:p>
        </w:tc>
      </w:tr>
      <w:tr w:rsidTr="002A01A2" w:rsidR="002A01A2" w:rsidRPr="002A01A2">
        <w:trPr>
          <w:trHeight w:val="516"/>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ERSTE CARD CLUB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85941596441</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 xml:space="preserve">Zagreb, Frana </w:t>
            </w:r>
            <w:proofErr w:type="spellStart"/>
            <w:r w:rsidRPr="002A01A2">
              <w:rPr>
                <w:rFonts w:cs="Tahoma" w:eastAsia="Times New Roman" w:hAnsi="Tahoma" w:ascii="Tahoma"/>
                <w:lang w:eastAsia="hr-HR"/>
              </w:rPr>
              <w:t>Folnegovića</w:t>
            </w:r>
            <w:proofErr w:type="spellEnd"/>
            <w:r w:rsidRPr="002A01A2">
              <w:rPr>
                <w:rFonts w:cs="Tahoma" w:eastAsia="Times New Roman" w:hAnsi="Tahoma" w:ascii="Tahoma"/>
                <w:lang w:eastAsia="hr-HR"/>
              </w:rPr>
              <w:t xml:space="preserve"> 6</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1.511,15</w:t>
            </w:r>
          </w:p>
        </w:tc>
      </w:tr>
      <w:tr w:rsidTr="002A01A2" w:rsidR="002A01A2" w:rsidRPr="002A01A2">
        <w:trPr>
          <w:trHeight w:val="30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ELEKTROMETAL d.d.</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45669853088</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Ferde Rusana 21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13.698,28</w:t>
            </w:r>
          </w:p>
        </w:tc>
      </w:tr>
      <w:tr w:rsidTr="002A01A2" w:rsidR="002A01A2" w:rsidRPr="002A01A2">
        <w:trPr>
          <w:trHeight w:val="48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BJELOVARSKI SAJAM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95270568579</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Dr. Ante Starčevića 8</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171.079,58</w:t>
            </w:r>
          </w:p>
        </w:tc>
      </w:tr>
      <w:tr w:rsidTr="002A01A2" w:rsidR="002A01A2" w:rsidRPr="002A01A2">
        <w:trPr>
          <w:trHeight w:val="505"/>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ODVJETNICA RUŽICA PILIČIĆ ŠINKO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69036652687</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Bjelovar, A. Mihanovića 2/c</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15.500,00</w:t>
            </w:r>
          </w:p>
        </w:tc>
      </w:tr>
      <w:tr w:rsidTr="002A01A2" w:rsidR="002A01A2" w:rsidRPr="002A01A2">
        <w:trPr>
          <w:trHeight w:val="384"/>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PROENERGY</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63962176928</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 xml:space="preserve">Zagreb, J. </w:t>
            </w:r>
            <w:proofErr w:type="spellStart"/>
            <w:r w:rsidRPr="002A01A2">
              <w:rPr>
                <w:rFonts w:cs="Tahoma" w:eastAsia="Times New Roman" w:hAnsi="Tahoma" w:ascii="Tahoma"/>
                <w:lang w:eastAsia="hr-HR"/>
              </w:rPr>
              <w:t>Marohnića</w:t>
            </w:r>
            <w:proofErr w:type="spellEnd"/>
            <w:r w:rsidRPr="002A01A2">
              <w:rPr>
                <w:rFonts w:cs="Tahoma" w:eastAsia="Times New Roman" w:hAnsi="Tahoma" w:ascii="Tahoma"/>
                <w:lang w:eastAsia="hr-HR"/>
              </w:rPr>
              <w:t xml:space="preserve"> 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6.505,79</w:t>
            </w:r>
          </w:p>
        </w:tc>
      </w:tr>
      <w:tr w:rsidTr="002A01A2" w:rsidR="002A01A2" w:rsidRPr="002A01A2">
        <w:trPr>
          <w:trHeight w:val="276"/>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MEDIARITAM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95283343666</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 xml:space="preserve">Krapina, Frana Galovića </w:t>
            </w:r>
            <w:proofErr w:type="spellStart"/>
            <w:r w:rsidRPr="002A01A2">
              <w:rPr>
                <w:rFonts w:cs="Tahoma" w:eastAsia="Times New Roman" w:hAnsi="Tahoma" w:ascii="Tahoma"/>
                <w:lang w:eastAsia="hr-HR"/>
              </w:rPr>
              <w:t>bb</w:t>
            </w:r>
            <w:proofErr w:type="spellEnd"/>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3.825,00</w:t>
            </w:r>
          </w:p>
        </w:tc>
      </w:tr>
      <w:tr w:rsidTr="002A01A2" w:rsidR="002A01A2" w:rsidRPr="002A01A2">
        <w:trPr>
          <w:trHeight w:val="266"/>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ZAGREBAČKI HOLDING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85584865987</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Ul. grada Vukovara 41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411,51</w:t>
            </w:r>
          </w:p>
        </w:tc>
      </w:tr>
      <w:tr w:rsidTr="002A01A2" w:rsidR="002A01A2" w:rsidRPr="002A01A2">
        <w:trPr>
          <w:trHeight w:val="554"/>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GRADSKA PLINARA ZAGREB OPSKRBA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74364571096</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Radnička cesta 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11.271,51</w:t>
            </w:r>
          </w:p>
        </w:tc>
      </w:tr>
      <w:tr w:rsidTr="002A01A2" w:rsidR="002A01A2" w:rsidRPr="002A01A2">
        <w:trPr>
          <w:trHeight w:val="48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EVENT MASTER d.o.o.</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47792707577</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Supilova 7</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28.948,88</w:t>
            </w:r>
          </w:p>
        </w:tc>
      </w:tr>
      <w:tr w:rsidTr="002A01A2" w:rsidR="002A01A2" w:rsidRPr="002A01A2">
        <w:trPr>
          <w:trHeight w:val="444"/>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ROBERT VESELJAK</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67946168060</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Varaždin, A. B. Šimića 1</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4.052.136,61</w:t>
            </w:r>
          </w:p>
        </w:tc>
      </w:tr>
      <w:tr w:rsidTr="002A01A2" w:rsidR="002A01A2" w:rsidRPr="002A01A2">
        <w:trPr>
          <w:trHeight w:val="461"/>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ODAŠILJAČI I VEZE</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88150534338</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Zagreb, Ulica grada Vukovara 269d</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570.603,01</w:t>
            </w:r>
          </w:p>
        </w:tc>
      </w:tr>
      <w:tr w:rsidTr="002A01A2" w:rsidR="002A01A2" w:rsidRPr="002A01A2">
        <w:trPr>
          <w:trHeight w:val="300"/>
        </w:trPr>
        <w:tc>
          <w:tcPr>
            <w:tcW w:type="dxa" w:w="3476"/>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lastRenderedPageBreak/>
              <w:t>GLAS SLAVONIJE d.d.</w:t>
            </w:r>
          </w:p>
        </w:tc>
        <w:tc>
          <w:tcPr>
            <w:tcW w:type="dxa" w:w="153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87192735882</w:t>
            </w:r>
          </w:p>
        </w:tc>
        <w:tc>
          <w:tcPr>
            <w:tcW w:type="dxa" w:w="3208"/>
            <w:hideMark/>
          </w:tcPr>
          <w:p w:rsidRDefault="002A01A2" w:rsidP="002A01A2" w:rsidR="002A01A2" w:rsidRPr="002A01A2">
            <w:pPr>
              <w:jc w:val="both"/>
              <w:rPr>
                <w:rFonts w:cs="Tahoma" w:eastAsia="Times New Roman" w:hAnsi="Tahoma" w:ascii="Tahoma"/>
                <w:lang w:eastAsia="hr-HR"/>
              </w:rPr>
            </w:pPr>
            <w:r w:rsidRPr="002A01A2">
              <w:rPr>
                <w:rFonts w:cs="Tahoma" w:eastAsia="Times New Roman" w:hAnsi="Tahoma" w:ascii="Tahoma"/>
                <w:lang w:eastAsia="hr-HR"/>
              </w:rPr>
              <w:t>Osijek, Hrvatske Republike 20</w:t>
            </w:r>
          </w:p>
        </w:tc>
        <w:tc>
          <w:tcPr>
            <w:tcW w:type="dxa" w:w="1843"/>
            <w:noWrap/>
            <w:hideMark/>
          </w:tcPr>
          <w:p w:rsidRDefault="002A01A2" w:rsidP="002A01A2" w:rsidR="002A01A2" w:rsidRPr="002A01A2">
            <w:pPr>
              <w:jc w:val="right"/>
              <w:rPr>
                <w:rFonts w:cs="Tahoma" w:eastAsia="Times New Roman" w:hAnsi="Tahoma" w:ascii="Tahoma"/>
                <w:lang w:eastAsia="hr-HR"/>
              </w:rPr>
            </w:pPr>
            <w:r w:rsidRPr="002A01A2">
              <w:rPr>
                <w:rFonts w:cs="Tahoma" w:eastAsia="Times New Roman" w:hAnsi="Tahoma" w:ascii="Tahoma"/>
                <w:lang w:eastAsia="hr-HR"/>
              </w:rPr>
              <w:t>2.292.557,28</w:t>
            </w:r>
          </w:p>
        </w:tc>
      </w:tr>
      <w:tr w:rsidTr="002A01A2" w:rsidR="002A01A2" w:rsidRPr="002A01A2">
        <w:trPr>
          <w:trHeight w:val="324"/>
        </w:trPr>
        <w:tc>
          <w:tcPr>
            <w:tcW w:type="dxa" w:w="3476"/>
            <w:shd w:themeFillShade="D9" w:themeFill="background1" w:fill="D9D9D9" w:color="auto" w:val="clear"/>
            <w:noWrap/>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 xml:space="preserve">                        </w:t>
            </w:r>
          </w:p>
        </w:tc>
        <w:tc>
          <w:tcPr>
            <w:tcW w:type="dxa" w:w="1538"/>
            <w:shd w:themeFillShade="D9" w:themeFill="background1" w:fill="D9D9D9" w:color="auto" w:val="clear"/>
            <w:noWrap/>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 </w:t>
            </w:r>
          </w:p>
        </w:tc>
        <w:tc>
          <w:tcPr>
            <w:tcW w:type="dxa" w:w="3208"/>
            <w:shd w:themeFillShade="D9" w:themeFill="background1" w:fill="D9D9D9" w:color="auto" w:val="clear"/>
            <w:hideMark/>
          </w:tcPr>
          <w:p w:rsidRDefault="002A01A2" w:rsidP="002A01A2" w:rsidR="002A01A2" w:rsidRPr="002A01A2">
            <w:pPr>
              <w:jc w:val="both"/>
              <w:rPr>
                <w:rFonts w:cs="Tahoma" w:eastAsia="Times New Roman" w:hAnsi="Tahoma" w:ascii="Tahoma"/>
                <w:b/>
                <w:lang w:eastAsia="hr-HR"/>
              </w:rPr>
            </w:pPr>
            <w:r w:rsidRPr="002A01A2">
              <w:rPr>
                <w:rFonts w:cs="Tahoma" w:eastAsia="Times New Roman" w:hAnsi="Tahoma" w:ascii="Tahoma"/>
                <w:b/>
                <w:lang w:eastAsia="hr-HR"/>
              </w:rPr>
              <w:t>UKUPNO</w:t>
            </w:r>
          </w:p>
        </w:tc>
        <w:tc>
          <w:tcPr>
            <w:tcW w:type="dxa" w:w="1843"/>
            <w:shd w:themeFillShade="D9" w:themeFill="background1" w:fill="D9D9D9" w:color="auto" w:val="clear"/>
            <w:noWrap/>
            <w:hideMark/>
          </w:tcPr>
          <w:p w:rsidRDefault="002A01A2" w:rsidP="002A01A2" w:rsidR="002A01A2" w:rsidRPr="002A01A2">
            <w:pPr>
              <w:jc w:val="right"/>
              <w:rPr>
                <w:rFonts w:cs="Tahoma" w:eastAsia="Times New Roman" w:hAnsi="Tahoma" w:ascii="Tahoma"/>
                <w:b/>
                <w:lang w:eastAsia="hr-HR"/>
              </w:rPr>
            </w:pPr>
            <w:r w:rsidRPr="002A01A2">
              <w:rPr>
                <w:rFonts w:cs="Tahoma" w:eastAsia="Times New Roman" w:hAnsi="Tahoma" w:ascii="Tahoma"/>
                <w:b/>
                <w:lang w:eastAsia="hr-HR"/>
              </w:rPr>
              <w:t>8.561.912,40</w:t>
            </w:r>
          </w:p>
        </w:tc>
      </w:tr>
    </w:tbl>
    <w:p w:rsidRDefault="002A01A2" w:rsidP="002A01A2" w:rsidR="002A01A2" w:rsidRPr="002A01A2">
      <w:pPr>
        <w:spacing w:lineRule="auto" w:line="240" w:after="0"/>
        <w:jc w:val="both"/>
        <w:rPr>
          <w:rFonts w:cs="Tahoma" w:eastAsia="Times New Roman" w:hAnsi="Tahoma" w:ascii="Tahoma"/>
          <w:b/>
          <w:lang w:eastAsia="hr-HR"/>
        </w:rPr>
      </w:pPr>
    </w:p>
    <w:p w:rsidRDefault="002A01A2" w:rsidP="00DC3997" w:rsidR="002A01A2" w:rsidRPr="002A01A2">
      <w:pPr>
        <w:numPr>
          <w:ilvl w:val="1"/>
          <w:numId w:val="5"/>
        </w:numPr>
        <w:spacing w:lineRule="auto" w:line="240" w:after="0"/>
        <w:contextualSpacing/>
        <w:jc w:val="both"/>
        <w:rPr>
          <w:rFonts w:cs="Tahoma" w:eastAsia="Times New Roman" w:hAnsi="Tahoma" w:ascii="Tahoma"/>
          <w:b/>
          <w:lang w:eastAsia="hr-HR"/>
        </w:rPr>
      </w:pPr>
      <w:r w:rsidRPr="002A01A2">
        <w:rPr>
          <w:rFonts w:cs="Tahoma" w:eastAsia="Times New Roman" w:hAnsi="Tahoma" w:ascii="Tahoma"/>
          <w:b/>
          <w:lang w:eastAsia="hr-HR"/>
        </w:rPr>
        <w:t>Osporene tražbine drugog višeg isplatnog reda</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Stečajni upravitelj osporio je tražbine stečajnih vjerovnika, i to:</w:t>
      </w:r>
    </w:p>
    <w:p w:rsidRDefault="002A01A2" w:rsidP="002A01A2" w:rsidR="002A01A2" w:rsidRPr="002A01A2">
      <w:pPr>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 xml:space="preserve">HRVATSKE VODE, pravna osoba za upravljanje vodama, Zagreb, Ulica grada Vukovara 220, OIB: 28921383001, u iznosu od 2.379,40 kn,  </w:t>
      </w:r>
    </w:p>
    <w:p w:rsidRDefault="002A01A2" w:rsidP="002A01A2" w:rsidR="002A01A2" w:rsidRPr="002A01A2">
      <w:pPr>
        <w:overflowPunct w:val="false"/>
        <w:autoSpaceDE w:val="false"/>
        <w:autoSpaceDN w:val="false"/>
        <w:adjustRightInd w:val="false"/>
        <w:spacing w:lineRule="auto" w:line="240" w:after="0"/>
        <w:ind w:left="1211"/>
        <w:contextualSpacing/>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GRAD ZAGREB, Zagreb, Trg Stjepana Radića 1, OIB: 61817894937, u iznosu od 47.455,88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HRVATSKA REGULATORNA AGENCIJA ZA MREŽNE DJELATNOSTI, Zagreb, Ulica Roberta Frangeša Mihanovića 9, OIB: 87950783661, u iznosu od 4.095,50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 xml:space="preserve">HRVATSKO DRUŠTVO SKLADATELJA, Zagreb, </w:t>
      </w:r>
      <w:proofErr w:type="spellStart"/>
      <w:r w:rsidRPr="002A01A2">
        <w:rPr>
          <w:rFonts w:cs="Tahoma" w:eastAsia="Times New Roman" w:hAnsi="Tahoma" w:ascii="Tahoma"/>
          <w:lang w:eastAsia="hr-HR"/>
        </w:rPr>
        <w:t>Berislavićeva</w:t>
      </w:r>
      <w:proofErr w:type="spellEnd"/>
      <w:r w:rsidRPr="002A01A2">
        <w:rPr>
          <w:rFonts w:cs="Tahoma" w:eastAsia="Times New Roman" w:hAnsi="Tahoma" w:ascii="Tahoma"/>
          <w:lang w:eastAsia="hr-HR"/>
        </w:rPr>
        <w:t xml:space="preserve"> 9, OIB: 56668956985, u iznosu od 251.465,88 kn,  </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SUVLASNICI STAMBENE ZGRADE U ZAGREBU, JURJA ŽERJAVIĆA 19, Zagreb, zastupani po: GRADSKO STAMBENO KOMUNALNO PODUZEĆE d.o.o. Zagreb, Savska cesta 1, OIB: 03744272526, u iznosu od 26.931,65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CROATIA OSIGURANJE d.d. Zagreb, Vatroslava Jagića 33, OIB: 26187994862, u iznosu od 1.039,50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ERSTE &amp; STEIERMARKISCHE BANK d.d.  Rijeka, Jadranski trg 3a, OIB: 23057039320, u iznosu od 8.372.639,18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lang w:eastAsia="hr-HR"/>
        </w:rPr>
      </w:pPr>
      <w:r w:rsidRPr="002A01A2">
        <w:rPr>
          <w:rFonts w:cs="Tahoma" w:eastAsia="Times New Roman" w:hAnsi="Tahoma" w:ascii="Tahoma"/>
          <w:lang w:eastAsia="hr-HR"/>
        </w:rPr>
        <w:t>ZAGREBAČKI HOLDING d.o.o. Zagreb, Ulica grada Vukovara 41, OIB: 85584865987, u iznosu od 634,41 kn,</w:t>
      </w:r>
    </w:p>
    <w:p w:rsidRDefault="002A01A2" w:rsidP="002A01A2" w:rsidR="002A01A2" w:rsidRPr="002A01A2">
      <w:pPr>
        <w:overflowPunct w:val="false"/>
        <w:autoSpaceDE w:val="false"/>
        <w:autoSpaceDN w:val="false"/>
        <w:adjustRightInd w:val="false"/>
        <w:spacing w:lineRule="auto" w:line="240" w:after="0"/>
        <w:jc w:val="both"/>
        <w:rPr>
          <w:rFonts w:cs="Tahoma" w:eastAsia="Times New Roman" w:hAnsi="Tahoma" w:ascii="Tahoma"/>
          <w:lang w:eastAsia="hr-HR"/>
        </w:rPr>
      </w:pPr>
    </w:p>
    <w:p w:rsidRDefault="002A01A2" w:rsidP="00DC3997" w:rsidR="002A01A2" w:rsidRPr="002A01A2">
      <w:pPr>
        <w:numPr>
          <w:ilvl w:val="0"/>
          <w:numId w:val="7"/>
        </w:numPr>
        <w:overflowPunct w:val="false"/>
        <w:autoSpaceDE w:val="false"/>
        <w:autoSpaceDN w:val="false"/>
        <w:adjustRightInd w:val="false"/>
        <w:spacing w:lineRule="auto" w:line="240" w:after="0"/>
        <w:contextualSpacing/>
        <w:jc w:val="both"/>
        <w:rPr>
          <w:rFonts w:cs="Tahoma" w:eastAsia="Times New Roman" w:hAnsi="Tahoma" w:ascii="Tahoma"/>
          <w:noProof/>
          <w:lang w:eastAsia="hr-HR"/>
        </w:rPr>
      </w:pPr>
      <w:r w:rsidRPr="002A01A2">
        <w:rPr>
          <w:rFonts w:cs="Tahoma" w:eastAsia="Times New Roman" w:hAnsi="Tahoma" w:ascii="Tahoma"/>
          <w:lang w:eastAsia="hr-HR"/>
        </w:rPr>
        <w:t>GRADSKA PLINARA ZAGREB OPSKRBA d.o.o. Zagreb, Radnička cesta 1, OIB: 74364571096, u iznosu od 1.436,00 kn.</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Stečajni sudac je rješenjem o utvrđenim i osporenim tražbinama uputio na parnicu radi otklanjanja osporavanja sve stečajne vjerovnike s osporenim tražbinama a rješenjem Visokog trgovačkog suda RH na pokretanje parnice upućen je stečajni upravitelj, radi dokazivanja osnovanosti osporavanja dijela tražbine stečajnog vjerovnika Grad Zagreb u iznosu od 47.455,88 kn, koju parnicu je stečajni upravitelj i pokrenuo.</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Ostali stečajni vjerovnici s osporenim tražbinama u dodijeljenom roku nisu pokrenuli parnice radi otklanjanja osporavanja, tako da su tim vjerovnicima tražbine prestale.</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U odnosu na stečajnog vjerovnika Erste&amp;</w:t>
      </w:r>
      <w:proofErr w:type="spellStart"/>
      <w:r w:rsidRPr="002A01A2">
        <w:rPr>
          <w:rFonts w:cs="Tahoma" w:eastAsia="Times New Roman" w:hAnsi="Tahoma" w:ascii="Tahoma"/>
          <w:lang w:eastAsia="hr-HR"/>
        </w:rPr>
        <w:t>Steiermarkische</w:t>
      </w:r>
      <w:proofErr w:type="spellEnd"/>
      <w:r w:rsidRPr="002A01A2">
        <w:rPr>
          <w:rFonts w:cs="Tahoma" w:eastAsia="Times New Roman" w:hAnsi="Tahoma" w:ascii="Tahoma"/>
          <w:lang w:eastAsia="hr-HR"/>
        </w:rPr>
        <w:t xml:space="preserve"> Bank d.d. rješenje o upućivanju stečajnog upravitelja na parnicu radi otklanjanja osporavanja još nije postalo pravomoćnim, tako da se tog vjerovnika u nastavku ovoga stečajnoga plana uzima kao vjerovnika s osporenom tražbinom i pravima koja mu kao takvom vjerovniku po Stečajnom zakonu pripadaju.</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Pravne radnje stečajnog dužnika poduzete prije otvaranja stečajnog postupka koje su ili koje bi mogle biti predmet pobijanja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Stečajni upravitelj, nakon preuzimanja stečajno-upraviteljskih ovlasti, a ni nakon toga tijekom trajanja stečajnoga postupka, nije utvrdio postojanje radnji stečajnoga dužnika, poduzetih prije otvaranja stečajnoga postupka, koje bi mogle biti predmetom pobijanja.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Također, tijekom dosadašnjeg trajanja stečajnog postupka, niti jedan od vjerovnika stečajnog dužnika nije pokrenuo postupak radi pobijanja neke radnje stečajnog dužnika poduzete prije otvaranja stečajnoga postupka prema pravilima o pobijanju pravnih radnji  iz Stečajnog zakona.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Obveze stečajnog dužnika po osnovi poreza, doprinosa i drugih sličnih davanja</w:t>
      </w:r>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Obveze stečajnoga dužnika po osnovi poreza, doprinosa i drugih javnih davanja obuhvaćene su prijavama tražbina vjerovnika, te se nalaze među utvrđenim tražbinama navedenima u ovoj Pripremnoj osnovi.</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Tekuće obveze za poreze, doprinose i druga javna davanja stečajni dužnik, koji obavlja poslovanje u uvjetima trajanja stečajnoga postupka, uredno podmiruje i nema dospjelih i nepodmirenih obveza stečajne mase te vrste.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14765941" w:id="16"/>
      <w:bookmarkStart w:name="_Toc508192467" w:id="17"/>
      <w:r w:rsidRPr="002A01A2">
        <w:rPr>
          <w:rFonts w:cs="Tahoma" w:eastAsia="Times New Roman" w:hAnsi="Tahoma" w:ascii="Tahoma"/>
          <w:b/>
          <w:bCs/>
          <w:iCs/>
          <w:sz w:val="28"/>
          <w:szCs w:val="28"/>
          <w:lang w:eastAsia="hr-HR"/>
        </w:rPr>
        <w:t>Obveze stečajne mase</w:t>
      </w:r>
      <w:bookmarkEnd w:id="16"/>
      <w:r w:rsidRPr="002A01A2">
        <w:rPr>
          <w:rFonts w:cs="Tahoma" w:eastAsia="Times New Roman" w:hAnsi="Tahoma" w:ascii="Tahoma"/>
          <w:b/>
          <w:bCs/>
          <w:iCs/>
          <w:sz w:val="28"/>
          <w:szCs w:val="28"/>
          <w:lang w:eastAsia="hr-HR"/>
        </w:rPr>
        <w:t xml:space="preserve"> </w:t>
      </w:r>
      <w:bookmarkEnd w:id="17"/>
      <w:r w:rsidRPr="002A01A2">
        <w:rPr>
          <w:rFonts w:cs="Tahoma" w:eastAsia="Times New Roman" w:hAnsi="Tahoma" w:ascii="Tahoma"/>
          <w:b/>
          <w:bCs/>
          <w:iCs/>
          <w:sz w:val="28"/>
          <w:szCs w:val="28"/>
          <w:lang w:eastAsia="hr-HR"/>
        </w:rPr>
        <w:t xml:space="preserve"> </w:t>
      </w:r>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Obveze stečajne mase namiruju se prije tražbina stečajnih vjerovnika, tako da je za uspjeh Stečajnoga plana važno ispitati može li stečajni dužnik o rokovima dospijeća podmirivati sve postojeće i do predvidivog okončanja stečajnog postupka nastupajuće obveze stečajne mase.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1"/>
          <w:numId w:val="5"/>
        </w:numPr>
        <w:spacing w:lineRule="auto" w:line="240" w:after="0"/>
        <w:contextualSpacing/>
        <w:jc w:val="both"/>
        <w:rPr>
          <w:rFonts w:cs="Tahoma" w:eastAsia="Times New Roman" w:hAnsi="Tahoma" w:ascii="Tahoma"/>
          <w:b/>
          <w:lang w:eastAsia="hr-HR"/>
        </w:rPr>
      </w:pPr>
      <w:r w:rsidRPr="002A01A2">
        <w:rPr>
          <w:rFonts w:cs="Tahoma" w:eastAsia="Times New Roman" w:hAnsi="Tahoma" w:ascii="Tahoma"/>
          <w:b/>
          <w:lang w:eastAsia="hr-HR"/>
        </w:rPr>
        <w:t xml:space="preserve">Obveze iz tekućeg poslovanja u uvjetima stečajnoga postupka  </w:t>
      </w:r>
    </w:p>
    <w:p w:rsidRDefault="002A01A2" w:rsidP="002A01A2" w:rsidR="002A01A2" w:rsidRPr="002A01A2">
      <w:pPr>
        <w:spacing w:lineRule="auto" w:line="240" w:after="0"/>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Stečajni dužnik obavljat će poslovanje tijekom preostalog trajanja stečajnoga postupka, do njegova zaključenja, koje će uslijediti nakon nastupa pravomoćnosti rješenja o potvrdi stečajnoga plana. </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Kako je za sada nemoguće predvidjeti trenutak zaključenja stečajnoga postupka, za potrebe ovoga Stečajnoga plana predviđa se, da će stečajni dužnik poslovanjem pribavljati prihode iznad visine tekućih troškova poslovanja, tako da neće doći do oštećenja stečajne mase.</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r w:rsidRPr="002A01A2">
        <w:rPr>
          <w:rFonts w:cs="Tahoma" w:eastAsia="Times New Roman" w:hAnsi="Tahoma" w:ascii="Tahoma"/>
          <w:lang w:eastAsia="hr-HR"/>
        </w:rPr>
        <w:t xml:space="preserve">U ukupnim obvezama stečajnog dužnika, koje će nastati poslovanjem u 2018. godini, očekuje se da će po svojem su učešću najviši biti troškovi osoblja, koji se za 2018. procjenjuju na razini od 419.901 kuna,  potom troškovi najma od 164.000,00 kuna, te ostali troškovi, tako da će sveukupni troškovi poslovanja stečajnog dužnika u 2018. godini </w:t>
      </w:r>
      <w:r w:rsidRPr="002A01A2">
        <w:rPr>
          <w:rFonts w:cs="Tahoma" w:eastAsia="Times New Roman" w:hAnsi="Tahoma" w:ascii="Tahoma"/>
          <w:lang w:eastAsia="hr-HR"/>
        </w:rPr>
        <w:lastRenderedPageBreak/>
        <w:t xml:space="preserve">iznositi 1.084.547,13 kuna, a istovremeno, iz poslovanja se očekuje ostvarenje prihoda od 1.305.344,36 kuna.  </w:t>
      </w: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lang w:eastAsia="hr-HR"/>
        </w:rPr>
      </w:pP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Ostale obveze stečajne mase</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Tijekom trajanja stečajnog postupka tražbine radnika, nastale nakon otvaranja stečajnog postupka, uredno se podmiruju u rokovima kako one dospijevaju, tako da stečajna masa nije opterećena zaostacima u isplati te vrste obveza stečajne mase.</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Troškovi stečajnog postupka</w:t>
      </w:r>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Namirenje troškova stečajnog postupka provodi se na teret stečajne mase.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Ostali troškovi stečajnog postupka bit će do zaključenja stečajnog postupka namireni na teret stečajne mase.</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2A01A2" w:rsidR="002A01A2" w:rsidRPr="002A01A2">
      <w:pPr>
        <w:spacing w:lineRule="auto" w:line="240" w:after="0"/>
        <w:ind w:hanging="360" w:left="720"/>
        <w:contextualSpacing/>
        <w:jc w:val="both"/>
        <w:rPr>
          <w:rFonts w:cs="Tahoma" w:eastAsia="Times New Roman" w:hAnsi="Tahoma" w:ascii="Tahoma"/>
          <w:b/>
          <w:sz w:val="28"/>
          <w:szCs w:val="28"/>
          <w:lang w:eastAsia="hr-HR"/>
        </w:rPr>
      </w:pPr>
      <w:bookmarkStart w:name="_Toc508192469" w:id="18"/>
      <w:bookmarkStart w:name="_Toc514765942" w:id="19"/>
      <w:r w:rsidRPr="002A01A2">
        <w:rPr>
          <w:rFonts w:cs="Tahoma" w:eastAsia="Times New Roman" w:hAnsi="Tahoma" w:ascii="Tahoma"/>
          <w:b/>
          <w:bCs/>
          <w:sz w:val="28"/>
          <w:szCs w:val="28"/>
          <w:lang w:eastAsia="hr-HR"/>
        </w:rPr>
        <w:t>Mjere koje su  poduzete tijekom trajanja stečajnog postupka radi izrade i ostvarenja  stečajnog plana  kao oblika dovršetka stečajnog postupka, namirenja vjerovnika i nastavka poslovanja stečajnog dužnika</w:t>
      </w:r>
      <w:bookmarkEnd w:id="18"/>
      <w:bookmarkEnd w:id="19"/>
    </w:p>
    <w:p w:rsidRDefault="002A01A2" w:rsidP="002A01A2" w:rsidR="002A01A2" w:rsidRPr="002A01A2">
      <w:pPr>
        <w:spacing w:lineRule="auto" w:line="240" w:after="0"/>
        <w:jc w:val="both"/>
        <w:rPr>
          <w:rFonts w:cs="Tahoma" w:eastAsia="Times New Roman" w:hAnsi="Tahoma" w:ascii="Tahoma"/>
          <w:b/>
          <w:bCs/>
          <w:lang w:eastAsia="hr-HR"/>
        </w:rPr>
      </w:pPr>
    </w:p>
    <w:p w:rsidRDefault="002A01A2" w:rsidP="002A01A2" w:rsidR="002A01A2" w:rsidRPr="002A01A2">
      <w:pPr>
        <w:spacing w:lineRule="auto" w:line="240" w:after="0"/>
        <w:jc w:val="both"/>
        <w:rPr>
          <w:rFonts w:cs="Tahoma" w:eastAsia="Times New Roman" w:hAnsi="Tahoma" w:ascii="Tahoma"/>
          <w:bCs/>
          <w:lang w:eastAsia="hr-HR"/>
        </w:rPr>
      </w:pPr>
      <w:r w:rsidRPr="002A01A2">
        <w:rPr>
          <w:rFonts w:cs="Tahoma" w:eastAsia="Times New Roman" w:hAnsi="Tahoma" w:ascii="Tahoma"/>
          <w:bCs/>
          <w:lang w:eastAsia="hr-HR"/>
        </w:rPr>
        <w:t>U tijeku stečajnoga postupka poduzete su različite mjere kojima su stvarane pretpostavke za ostvarenje ciljeva stečajnoga plana</w:t>
      </w:r>
    </w:p>
    <w:p w:rsidRDefault="002A01A2" w:rsidP="002A01A2" w:rsidR="002A01A2" w:rsidRPr="002A01A2">
      <w:pPr>
        <w:spacing w:lineRule="auto" w:line="240" w:after="0"/>
        <w:jc w:val="both"/>
        <w:rPr>
          <w:rFonts w:cs="Tahoma" w:eastAsia="Times New Roman" w:hAnsi="Tahoma" w:ascii="Tahoma"/>
          <w:bCs/>
          <w:lang w:eastAsia="hr-HR"/>
        </w:rPr>
      </w:pPr>
    </w:p>
    <w:p w:rsidRDefault="002A01A2" w:rsidP="00DC3997" w:rsidR="002A01A2" w:rsidRPr="002A01A2">
      <w:pPr>
        <w:widowControl w:val="false"/>
        <w:numPr>
          <w:ilvl w:val="1"/>
          <w:numId w:val="5"/>
        </w:numPr>
        <w:autoSpaceDE w:val="false"/>
        <w:autoSpaceDN w:val="false"/>
        <w:adjustRightInd w:val="false"/>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Mjere na zaštiti imovine (stečajne mase) stečajnog dužnika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Odmah nakon preuzimanja </w:t>
      </w:r>
      <w:proofErr w:type="spellStart"/>
      <w:r w:rsidRPr="002A01A2">
        <w:rPr>
          <w:rFonts w:cs="Tahoma" w:eastAsia="Times New Roman" w:hAnsi="Tahoma" w:ascii="Tahoma"/>
          <w:bCs/>
          <w:iCs/>
          <w:lang w:eastAsia="hr-HR"/>
        </w:rPr>
        <w:t>stečajnoupraviteljske</w:t>
      </w:r>
      <w:proofErr w:type="spellEnd"/>
      <w:r w:rsidRPr="002A01A2">
        <w:rPr>
          <w:rFonts w:cs="Tahoma" w:eastAsia="Times New Roman" w:hAnsi="Tahoma" w:ascii="Tahoma"/>
          <w:bCs/>
          <w:iCs/>
          <w:lang w:eastAsia="hr-HR"/>
        </w:rPr>
        <w:t xml:space="preserve"> dužnosti, stečajni upravitelj poduzeo je nužne i potrebne mjere na popisivanju imovine koja ulazi u stečajnu masu stečajnog dužnika, kao i potrebne mjere upravljene na zaštitu te imovine </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Poduzimanje mjera zaštite imovine olakšala je činjenica, da je ubrzo nakon otvaranja stečajnoga postupka nastavljeno poslovanje stečajnog dužnika u uvjetima stečajnoga postupka.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p>
    <w:p w:rsidRDefault="002A01A2" w:rsidP="00DC3997" w:rsidR="002A01A2" w:rsidRPr="002A01A2">
      <w:pPr>
        <w:widowControl w:val="false"/>
        <w:numPr>
          <w:ilvl w:val="1"/>
          <w:numId w:val="5"/>
        </w:numPr>
        <w:autoSpaceDE w:val="false"/>
        <w:autoSpaceDN w:val="false"/>
        <w:adjustRightInd w:val="false"/>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Nastavak poslovanja u uvjetima stečajnog postupka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
          <w:bCs/>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U vrlo teškim uvjetima u kojima je zatečen stečajni dužnik pri otvaranju stečajnog postupka, stečajni upravitelj je, uz zavidan napor i zalaganje zaposlenika koji su nakon otvaranja stečajnog postupka zadržani u radnome odnosu uspio održati i nastaviti poslovanje stečajnog dužnika u kontinuitetu, bez prekidanja emitiranja radijskog programa, što je omogućilo daljnje poslovanje i održavanje poslovnih odnosa s oglašivačima.   </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p>
    <w:p w:rsidRDefault="002A01A2" w:rsidP="00DC3997" w:rsidR="002A01A2" w:rsidRPr="002A01A2">
      <w:pPr>
        <w:widowControl w:val="false"/>
        <w:numPr>
          <w:ilvl w:val="1"/>
          <w:numId w:val="5"/>
        </w:numPr>
        <w:autoSpaceDE w:val="false"/>
        <w:autoSpaceDN w:val="false"/>
        <w:adjustRightInd w:val="false"/>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Mjere u području radnih odnosa</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Nakon otvaranja stečajnog postupka osnovan je  Odbor vjerovnika, koji je odobrio nastavljanje poslovanja stečajnoga dužnika u uvjetima provođenja stečajnoga postupka. </w:t>
      </w:r>
      <w:r w:rsidRPr="002A01A2">
        <w:rPr>
          <w:rFonts w:cs="Tahoma" w:eastAsia="Times New Roman" w:hAnsi="Tahoma" w:ascii="Tahoma"/>
          <w:bCs/>
          <w:iCs/>
          <w:lang w:eastAsia="hr-HR"/>
        </w:rPr>
        <w:lastRenderedPageBreak/>
        <w:t>Stečajni upravitelj je Odboru vjerovnika predložio i da se ugovori o radu ne otkazuju, a u skladu sa prijedlogom radnika sa sastanka od 20.11.2017. godine.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sz w:val="28"/>
          <w:szCs w:val="28"/>
          <w:lang w:eastAsia="hr-HR"/>
        </w:rPr>
      </w:pPr>
      <w:bookmarkStart w:name="_Toc508192471" w:id="20"/>
      <w:bookmarkStart w:name="_Toc514765943" w:id="21"/>
      <w:r w:rsidRPr="002A01A2">
        <w:rPr>
          <w:rFonts w:cs="Tahoma" w:eastAsia="Times New Roman" w:hAnsi="Tahoma" w:ascii="Tahoma"/>
          <w:b/>
          <w:bCs/>
          <w:sz w:val="28"/>
          <w:szCs w:val="28"/>
          <w:lang w:eastAsia="hr-HR"/>
        </w:rPr>
        <w:t>Stečajni plan – ciljevi</w:t>
      </w:r>
      <w:bookmarkEnd w:id="20"/>
      <w:bookmarkEnd w:id="21"/>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
          <w:bCs/>
          <w:lang w:eastAsia="hr-HR"/>
        </w:rPr>
      </w:pPr>
    </w:p>
    <w:p w:rsidRDefault="002A01A2" w:rsidP="002A01A2" w:rsidR="002A01A2" w:rsidRPr="002A01A2">
      <w:pPr>
        <w:spacing w:lineRule="auto" w:line="240" w:after="0"/>
        <w:rPr>
          <w:rFonts w:cs="Tahoma" w:eastAsia="Times New Roman" w:hAnsi="Tahoma" w:ascii="Tahoma"/>
          <w:bCs/>
          <w:lang w:eastAsia="hr-HR"/>
        </w:rPr>
      </w:pPr>
      <w:r w:rsidRPr="002A01A2">
        <w:rPr>
          <w:rFonts w:cs="Tahoma" w:eastAsia="Times New Roman" w:hAnsi="Tahoma" w:ascii="Tahoma"/>
          <w:bCs/>
          <w:lang w:eastAsia="hr-HR"/>
        </w:rPr>
        <w:t>Stečajnim planom treba ostvariti sljedeće ciljeve:</w:t>
      </w:r>
    </w:p>
    <w:p w:rsidRDefault="002A01A2" w:rsidP="002A01A2" w:rsidR="002A01A2" w:rsidRPr="002A01A2">
      <w:pPr>
        <w:spacing w:lineRule="auto" w:line="240" w:after="0"/>
        <w:rPr>
          <w:rFonts w:cs="Tahoma" w:eastAsia="Times New Roman" w:hAnsi="Tahoma" w:ascii="Tahoma"/>
          <w:bCs/>
          <w:lang w:eastAsia="hr-HR"/>
        </w:rPr>
      </w:pPr>
    </w:p>
    <w:p w:rsidRDefault="002A01A2" w:rsidP="002A01A2" w:rsidR="002A01A2" w:rsidRPr="002A01A2">
      <w:pPr>
        <w:spacing w:lineRule="auto" w:line="240" w:after="0"/>
        <w:rPr>
          <w:rFonts w:cs="Tahoma" w:eastAsia="Times New Roman" w:hAnsi="Tahoma" w:ascii="Tahoma"/>
          <w:bCs/>
          <w:lang w:eastAsia="hr-HR"/>
        </w:rPr>
      </w:pPr>
    </w:p>
    <w:p w:rsidRDefault="002A01A2" w:rsidP="002A01A2" w:rsidR="002A01A2" w:rsidRPr="002A01A2">
      <w:pPr>
        <w:widowControl w:val="false"/>
        <w:numPr>
          <w:ilvl w:val="0"/>
          <w:numId w:val="2"/>
        </w:numPr>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
          <w:bCs/>
          <w:lang w:eastAsia="hr-HR"/>
        </w:rPr>
        <w:t>sanacija</w:t>
      </w:r>
      <w:r w:rsidRPr="002A01A2">
        <w:rPr>
          <w:rFonts w:cs="Tahoma" w:eastAsia="Times New Roman" w:hAnsi="Tahoma" w:ascii="Tahoma"/>
          <w:bCs/>
          <w:lang w:eastAsia="hr-HR"/>
        </w:rPr>
        <w:t xml:space="preserve"> stečajnog dužnika, radi omogućavanja nastavka poslovanja stečajnog dužnika na profitabilnim osnovama te radi omogućavanja provedbe mjera reorganizacije (preustroja),</w:t>
      </w:r>
    </w:p>
    <w:p w:rsidRDefault="002A01A2" w:rsidP="002A01A2" w:rsidR="002A01A2" w:rsidRPr="002A01A2">
      <w:pPr>
        <w:spacing w:lineRule="auto" w:line="240" w:after="0"/>
        <w:ind w:left="360"/>
        <w:jc w:val="both"/>
        <w:rPr>
          <w:rFonts w:cs="Tahoma" w:eastAsia="Times New Roman" w:hAnsi="Tahoma" w:ascii="Tahoma"/>
          <w:bCs/>
          <w:lang w:eastAsia="hr-HR"/>
        </w:rPr>
      </w:pPr>
    </w:p>
    <w:p w:rsidRDefault="002A01A2" w:rsidP="002A01A2" w:rsidR="002A01A2" w:rsidRPr="002A01A2">
      <w:pPr>
        <w:widowControl w:val="false"/>
        <w:numPr>
          <w:ilvl w:val="0"/>
          <w:numId w:val="2"/>
        </w:numPr>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
          <w:bCs/>
          <w:lang w:eastAsia="hr-HR"/>
        </w:rPr>
        <w:t>smanjenje (otpis) obveza</w:t>
      </w:r>
      <w:r w:rsidRPr="002A01A2">
        <w:rPr>
          <w:rFonts w:cs="Tahoma" w:eastAsia="Times New Roman" w:hAnsi="Tahoma" w:ascii="Tahoma"/>
          <w:bCs/>
          <w:lang w:eastAsia="hr-HR"/>
        </w:rPr>
        <w:t xml:space="preserve"> stečajnog dužnika prema vjerovnicima drugog višeg isplatnog reda, radi njegove sanacije i omogućavanja nastavka poslovanja,</w:t>
      </w:r>
    </w:p>
    <w:p w:rsidRDefault="002A01A2" w:rsidP="002A01A2" w:rsidR="002A01A2" w:rsidRPr="002A01A2">
      <w:pPr>
        <w:spacing w:lineRule="auto" w:line="240" w:after="0"/>
        <w:ind w:left="720"/>
        <w:contextualSpacing/>
        <w:rPr>
          <w:rFonts w:cs="Tahoma" w:eastAsia="Times New Roman" w:hAnsi="Tahoma" w:ascii="Tahoma"/>
          <w:b/>
          <w:bCs/>
          <w:lang w:eastAsia="hr-HR"/>
        </w:rPr>
      </w:pPr>
    </w:p>
    <w:p w:rsidRDefault="002A01A2" w:rsidP="002A01A2" w:rsidR="002A01A2" w:rsidRPr="002A01A2">
      <w:pPr>
        <w:widowControl w:val="false"/>
        <w:numPr>
          <w:ilvl w:val="0"/>
          <w:numId w:val="2"/>
        </w:numPr>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
          <w:bCs/>
          <w:lang w:eastAsia="hr-HR"/>
        </w:rPr>
        <w:t xml:space="preserve">namirenje </w:t>
      </w:r>
      <w:r w:rsidRPr="002A01A2">
        <w:rPr>
          <w:rFonts w:cs="Tahoma" w:eastAsia="Times New Roman" w:hAnsi="Tahoma" w:ascii="Tahoma"/>
          <w:bCs/>
          <w:lang w:eastAsia="hr-HR"/>
        </w:rPr>
        <w:t>stečajnih vjerovnika drugog višeg isplatnog reda s utvrđenim tražbinama s ostatkom obveza, u obliku i na način koji nije nepovoljniji od eventualnog namirenja prema redovnom modelu okončanja stečajnog postupka nad stečajnim dužnikom,</w:t>
      </w:r>
    </w:p>
    <w:p w:rsidRDefault="002A01A2" w:rsidP="002A01A2" w:rsidR="002A01A2" w:rsidRPr="002A01A2">
      <w:pPr>
        <w:spacing w:lineRule="auto" w:line="240" w:after="0"/>
        <w:rPr>
          <w:rFonts w:cs="Tahoma" w:eastAsia="Times New Roman" w:hAnsi="Tahoma" w:ascii="Tahoma"/>
          <w:bCs/>
          <w:lang w:eastAsia="hr-HR"/>
        </w:rPr>
      </w:pPr>
    </w:p>
    <w:p w:rsidRDefault="002A01A2" w:rsidP="002A01A2" w:rsidR="002A01A2" w:rsidRPr="002A01A2">
      <w:pPr>
        <w:widowControl w:val="false"/>
        <w:numPr>
          <w:ilvl w:val="0"/>
          <w:numId w:val="2"/>
        </w:numPr>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
          <w:bCs/>
          <w:lang w:eastAsia="hr-HR"/>
        </w:rPr>
        <w:t>nastavak poslovanja</w:t>
      </w:r>
      <w:r w:rsidRPr="002A01A2">
        <w:rPr>
          <w:rFonts w:cs="Tahoma" w:eastAsia="Times New Roman" w:hAnsi="Tahoma" w:ascii="Tahoma"/>
          <w:bCs/>
          <w:lang w:eastAsia="hr-HR"/>
        </w:rPr>
        <w:t xml:space="preserve"> stečajnog dužnika na profitabilnim osnovama, uz ostavljanje sveukupne imovine stečajnom dužniku,   </w:t>
      </w:r>
    </w:p>
    <w:p w:rsidRDefault="002A01A2" w:rsidP="002A01A2" w:rsidR="002A01A2" w:rsidRPr="002A01A2">
      <w:pPr>
        <w:spacing w:lineRule="auto" w:line="240" w:after="0"/>
        <w:ind w:left="720"/>
        <w:contextualSpacing/>
        <w:rPr>
          <w:rFonts w:cs="Tahoma" w:eastAsia="Times New Roman" w:hAnsi="Tahoma" w:ascii="Tahoma"/>
          <w:bCs/>
          <w:lang w:eastAsia="hr-HR"/>
        </w:rPr>
      </w:pPr>
    </w:p>
    <w:p w:rsidRDefault="002A01A2" w:rsidP="002A01A2" w:rsidR="002A01A2" w:rsidRPr="002A01A2">
      <w:pPr>
        <w:widowControl w:val="false"/>
        <w:numPr>
          <w:ilvl w:val="0"/>
          <w:numId w:val="2"/>
        </w:numPr>
        <w:autoSpaceDE w:val="false"/>
        <w:autoSpaceDN w:val="false"/>
        <w:adjustRightInd w:val="false"/>
        <w:spacing w:lineRule="auto" w:line="240" w:after="0"/>
        <w:jc w:val="both"/>
        <w:rPr>
          <w:rFonts w:cs="Tahoma" w:eastAsia="Times New Roman" w:hAnsi="Tahoma" w:ascii="Tahoma"/>
          <w:bCs/>
          <w:lang w:eastAsia="hr-HR"/>
        </w:rPr>
      </w:pPr>
      <w:r w:rsidRPr="002A01A2">
        <w:rPr>
          <w:rFonts w:cs="Tahoma" w:eastAsia="Times New Roman" w:hAnsi="Tahoma" w:ascii="Tahoma"/>
          <w:b/>
          <w:bCs/>
          <w:lang w:eastAsia="hr-HR"/>
        </w:rPr>
        <w:t xml:space="preserve">reorganizacija poslovanja </w:t>
      </w:r>
      <w:r w:rsidRPr="002A01A2">
        <w:rPr>
          <w:rFonts w:cs="Tahoma" w:eastAsia="Times New Roman" w:hAnsi="Tahoma" w:ascii="Tahoma"/>
          <w:bCs/>
          <w:lang w:eastAsia="hr-HR"/>
        </w:rPr>
        <w:t xml:space="preserve">stečajnog dužnika. </w:t>
      </w:r>
    </w:p>
    <w:p w:rsidRDefault="002A01A2" w:rsidP="002A01A2" w:rsidR="002A01A2" w:rsidRPr="002A01A2">
      <w:pPr>
        <w:widowControl w:val="false"/>
        <w:autoSpaceDE w:val="false"/>
        <w:autoSpaceDN w:val="false"/>
        <w:adjustRightInd w:val="false"/>
        <w:spacing w:lineRule="auto" w:line="240" w:after="0"/>
        <w:jc w:val="both"/>
        <w:rPr>
          <w:rFonts w:cs="Tahoma" w:eastAsia="Times New Roman" w:hAnsi="Tahoma" w:ascii="Tahoma"/>
          <w:b/>
          <w:bCs/>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r w:rsidRPr="002A01A2">
        <w:rPr>
          <w:rFonts w:cs="Tahoma" w:eastAsia="Times New Roman" w:hAnsi="Tahoma" w:ascii="Tahoma"/>
          <w:b/>
          <w:bCs/>
          <w:iCs/>
          <w:sz w:val="28"/>
          <w:szCs w:val="28"/>
          <w:lang w:eastAsia="hr-HR"/>
        </w:rPr>
        <w:t xml:space="preserve">  </w:t>
      </w:r>
      <w:bookmarkStart w:name="_Toc508192472" w:id="22"/>
      <w:bookmarkStart w:name="_Toc514765944" w:id="23"/>
      <w:r w:rsidRPr="002A01A2">
        <w:rPr>
          <w:rFonts w:cs="Tahoma" w:eastAsia="Times New Roman" w:hAnsi="Tahoma" w:ascii="Tahoma"/>
          <w:b/>
          <w:bCs/>
          <w:iCs/>
          <w:sz w:val="28"/>
          <w:szCs w:val="28"/>
          <w:lang w:eastAsia="hr-HR"/>
        </w:rPr>
        <w:t>Mjere za ostvarenje stečajnog plana</w:t>
      </w:r>
      <w:bookmarkEnd w:id="22"/>
      <w:bookmarkEnd w:id="23"/>
    </w:p>
    <w:p w:rsidRDefault="002A01A2" w:rsidP="002A01A2" w:rsidR="002A01A2" w:rsidRPr="002A01A2">
      <w:pPr>
        <w:spacing w:lineRule="auto" w:line="240" w:after="0"/>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Odredbom članka 303. st. 1. SZ/15 pobrojene su mjere za ostvarenje stečajnoga plana,  kao oblika dovršetka stečajnog postupka nad stečajnim dužnikom. Ovim stečajnim planom predviđa se provedba sljedećih zakonom dopuštenih mjera:</w:t>
      </w:r>
    </w:p>
    <w:p w:rsidRDefault="002A01A2" w:rsidP="002A01A2" w:rsidR="002A01A2" w:rsidRPr="002A01A2">
      <w:pPr>
        <w:spacing w:lineRule="auto" w:line="240" w:after="0"/>
        <w:rPr>
          <w:rFonts w:cs="Tahoma" w:eastAsia="Times New Roman" w:hAnsi="Tahoma" w:ascii="Tahoma"/>
          <w:bCs/>
          <w:iCs/>
          <w:lang w:eastAsia="hr-HR"/>
        </w:rPr>
      </w:pPr>
    </w:p>
    <w:p w:rsidRDefault="002A01A2" w:rsidP="00DC3997" w:rsidR="002A01A2" w:rsidRPr="002A01A2">
      <w:pPr>
        <w:numPr>
          <w:ilvl w:val="0"/>
          <w:numId w:val="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 xml:space="preserve">ostavljanje stečajnom dužniku sveukupne imovine, radi uporabe te imovine u nastavku poslovanja stečajnog dužnika,  </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 xml:space="preserve">smanjenje (otpis) obveza stečajnog dužnika prema stečajnim vjerovnicima </w:t>
      </w:r>
    </w:p>
    <w:p w:rsidRDefault="002A01A2" w:rsidP="002A01A2" w:rsidR="002A01A2" w:rsidRPr="002A01A2">
      <w:pPr>
        <w:spacing w:lineRule="auto" w:line="240" w:after="0"/>
        <w:ind w:left="720"/>
        <w:contextualSpacing/>
        <w:rPr>
          <w:rFonts w:cs="Tahoma" w:eastAsia="Times New Roman" w:hAnsi="Tahoma" w:ascii="Tahoma"/>
          <w:bCs/>
          <w:iCs/>
          <w:lang w:eastAsia="hr-HR"/>
        </w:rPr>
      </w:pPr>
    </w:p>
    <w:p w:rsidRDefault="002A01A2" w:rsidP="00DC3997" w:rsidR="002A01A2" w:rsidRPr="002A01A2">
      <w:pPr>
        <w:numPr>
          <w:ilvl w:val="0"/>
          <w:numId w:val="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sanacija stečajnog dužnika, djelomičnim namirenjem vjerovnika i pokrićem gubitaka stečajnog dužnika,</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DC3997" w:rsidR="002A01A2" w:rsidRPr="002A01A2">
      <w:pPr>
        <w:numPr>
          <w:ilvl w:val="0"/>
          <w:numId w:val="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namirenje stečajnih vjerovnika, novčanim i nenovčanim namirenjem, povoljnije od namirenja u uvjetima likvidacijskog modela stečajnog postupka,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uređivanje odgovornosti stečajnog dužnika za ispunjenje obveza prema stečajnim vjerovnicima s onim osporenim tražbinama koje naknadno budu pravomoćno utvrđene, uz izdvajanje sredstava za novčano i nenovčano namirenje tih tražbina.</w:t>
      </w:r>
    </w:p>
    <w:p w:rsidRDefault="002A01A2" w:rsidP="002A01A2" w:rsidR="002A01A2" w:rsidRPr="002A01A2">
      <w:pPr>
        <w:spacing w:lineRule="auto" w:line="240" w:after="0"/>
        <w:contextualSpacing/>
        <w:rPr>
          <w:rFonts w:cs="Tahoma" w:eastAsia="Times New Roman" w:hAnsi="Tahoma" w:ascii="Tahoma"/>
          <w:b/>
          <w:iCs/>
          <w:sz w:val="28"/>
          <w:szCs w:val="28"/>
          <w:lang w:eastAsia="hr-HR"/>
        </w:rPr>
      </w:pPr>
      <w:bookmarkStart w:name="_Toc508192473" w:id="24"/>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14765945" w:id="25"/>
      <w:r w:rsidRPr="002A01A2">
        <w:rPr>
          <w:rFonts w:cs="Tahoma" w:eastAsia="Times New Roman" w:hAnsi="Tahoma" w:ascii="Tahoma"/>
          <w:b/>
          <w:iCs/>
          <w:sz w:val="28"/>
          <w:szCs w:val="28"/>
          <w:lang w:eastAsia="hr-HR"/>
        </w:rPr>
        <w:t>Smanjenje (otpis) obveza i isplata ostatka obveza</w:t>
      </w:r>
      <w:bookmarkEnd w:id="25"/>
    </w:p>
    <w:p w:rsidRDefault="002A01A2" w:rsidP="002A01A2" w:rsidR="002A01A2" w:rsidRPr="002A01A2">
      <w:pPr>
        <w:spacing w:lineRule="auto" w:line="240" w:after="0"/>
        <w:contextualSpacing/>
        <w:rPr>
          <w:rFonts w:cs="Tahoma" w:eastAsia="Times New Roman" w:hAnsi="Tahoma" w:ascii="Tahoma"/>
          <w:b/>
          <w:iCs/>
          <w:sz w:val="28"/>
          <w:szCs w:val="28"/>
          <w:lang w:eastAsia="hr-HR"/>
        </w:rPr>
      </w:pPr>
    </w:p>
    <w:p w:rsidRDefault="002A01A2" w:rsidP="002A01A2" w:rsidR="002A01A2" w:rsidRPr="002A01A2">
      <w:pPr>
        <w:spacing w:lineRule="auto" w:line="240" w:after="0"/>
        <w:contextualSpacing/>
        <w:jc w:val="both"/>
        <w:rPr>
          <w:rFonts w:cs="Tahoma" w:eastAsia="Times New Roman" w:hAnsi="Tahoma" w:ascii="Tahoma"/>
          <w:iCs/>
          <w:lang w:eastAsia="hr-HR"/>
        </w:rPr>
      </w:pPr>
      <w:bookmarkStart w:name="_Toc514765946" w:id="26"/>
      <w:r w:rsidRPr="002A01A2">
        <w:rPr>
          <w:rFonts w:cs="Tahoma" w:eastAsia="Times New Roman" w:hAnsi="Tahoma" w:ascii="Tahoma"/>
          <w:iCs/>
          <w:lang w:eastAsia="hr-HR"/>
        </w:rPr>
        <w:lastRenderedPageBreak/>
        <w:t>Visina obveza stečajnog dužnika prema stečajnim vjerovnicima, nasuprot likvidacijskoj vrijednosti njegove imovine, pokazala je, da stečajnim vjerovnicima, u najboljem slučaju, preostaje za namirenje iz te imovine vrijednost do najviše 2% iznosa utvrđenih tražbina.</w:t>
      </w:r>
      <w:bookmarkEnd w:id="26"/>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2A01A2" w:rsidR="002A01A2" w:rsidRPr="002A01A2">
      <w:pPr>
        <w:spacing w:lineRule="auto" w:line="240" w:after="0"/>
        <w:contextualSpacing/>
        <w:jc w:val="both"/>
        <w:rPr>
          <w:rFonts w:cs="Tahoma" w:eastAsia="Times New Roman" w:hAnsi="Tahoma" w:ascii="Tahoma"/>
          <w:iCs/>
          <w:lang w:eastAsia="hr-HR"/>
        </w:rPr>
      </w:pPr>
      <w:bookmarkStart w:name="_Toc514765947" w:id="27"/>
      <w:r w:rsidRPr="002A01A2">
        <w:rPr>
          <w:rFonts w:cs="Tahoma" w:eastAsia="Times New Roman" w:hAnsi="Tahoma" w:ascii="Tahoma"/>
          <w:iCs/>
          <w:lang w:eastAsia="hr-HR"/>
        </w:rPr>
        <w:t>S obzirom na to, da je poslovanje stečajnog dužnika u uvjetima stečajnog postupka pokazalo, da stečajni dužnik ima poslovnu sposobnost potrebnu za uspješno nastavljanje poslovanja nakon zaključenja stečajnog postupka, razumno je učiniti napor na održavanju poslovanja stečajnog dužnika. To je moguće učiniti samo uz znatno smanjenje njegovih obveza, a da istovremeno stečajnim vjerovnicima bude radi isplate ponuđen iznos namirenja znatno povoljniji od onoga, kojega mogu očekivati u uvjetima likvidacijskog modela.</w:t>
      </w:r>
      <w:bookmarkEnd w:id="27"/>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2A01A2" w:rsidR="002A01A2" w:rsidRPr="002A01A2">
      <w:pPr>
        <w:spacing w:lineRule="auto" w:line="240" w:after="0"/>
        <w:contextualSpacing/>
        <w:jc w:val="both"/>
        <w:rPr>
          <w:rFonts w:cs="Tahoma" w:eastAsia="Times New Roman" w:hAnsi="Tahoma" w:ascii="Tahoma"/>
          <w:iCs/>
          <w:lang w:eastAsia="hr-HR"/>
        </w:rPr>
      </w:pPr>
      <w:bookmarkStart w:name="_Toc514765948" w:id="28"/>
      <w:r w:rsidRPr="002A01A2">
        <w:rPr>
          <w:rFonts w:cs="Tahoma" w:eastAsia="Times New Roman" w:hAnsi="Tahoma" w:ascii="Tahoma"/>
          <w:iCs/>
          <w:lang w:eastAsia="hr-HR"/>
        </w:rPr>
        <w:t>Zbog toga, ovim se stečajnim planom predlaže:</w:t>
      </w:r>
      <w:bookmarkEnd w:id="28"/>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DC3997" w:rsidR="002A01A2" w:rsidRPr="002A01A2">
      <w:pPr>
        <w:numPr>
          <w:ilvl w:val="0"/>
          <w:numId w:val="8"/>
        </w:numPr>
        <w:spacing w:lineRule="auto" w:line="240" w:after="0"/>
        <w:contextualSpacing/>
        <w:jc w:val="both"/>
        <w:rPr>
          <w:rFonts w:cs="Tahoma" w:eastAsia="Times New Roman" w:hAnsi="Tahoma" w:ascii="Tahoma"/>
          <w:iCs/>
          <w:lang w:eastAsia="hr-HR"/>
        </w:rPr>
      </w:pPr>
      <w:bookmarkStart w:name="_Toc514765949" w:id="29"/>
      <w:r w:rsidRPr="002A01A2">
        <w:rPr>
          <w:rFonts w:cs="Tahoma" w:eastAsia="Times New Roman" w:hAnsi="Tahoma" w:ascii="Tahoma"/>
          <w:iCs/>
          <w:lang w:eastAsia="hr-HR"/>
        </w:rPr>
        <w:t>smanjenje (otpis) obveza stečajnog dužnika prema stečajnim vjerovnicima, za 90% u odnosu na iznos utvrđene tražbine,</w:t>
      </w:r>
      <w:bookmarkEnd w:id="29"/>
    </w:p>
    <w:p w:rsidRDefault="002A01A2" w:rsidP="002A01A2" w:rsidR="002A01A2" w:rsidRPr="002A01A2">
      <w:pPr>
        <w:spacing w:lineRule="auto" w:line="240" w:after="0"/>
        <w:ind w:left="720"/>
        <w:contextualSpacing/>
        <w:jc w:val="both"/>
        <w:rPr>
          <w:rFonts w:cs="Tahoma" w:eastAsia="Times New Roman" w:hAnsi="Tahoma" w:ascii="Tahoma"/>
          <w:iCs/>
          <w:lang w:eastAsia="hr-HR"/>
        </w:rPr>
      </w:pPr>
    </w:p>
    <w:p w:rsidRDefault="002A01A2" w:rsidP="00DC3997" w:rsidR="002A01A2" w:rsidRPr="002A01A2">
      <w:pPr>
        <w:numPr>
          <w:ilvl w:val="0"/>
          <w:numId w:val="8"/>
        </w:numPr>
        <w:spacing w:lineRule="auto" w:line="240" w:after="0"/>
        <w:contextualSpacing/>
        <w:jc w:val="both"/>
        <w:rPr>
          <w:rFonts w:cs="Tahoma" w:eastAsia="Times New Roman" w:hAnsi="Tahoma" w:ascii="Tahoma"/>
          <w:iCs/>
          <w:lang w:eastAsia="hr-HR"/>
        </w:rPr>
      </w:pPr>
      <w:bookmarkStart w:name="_Toc514765950" w:id="30"/>
      <w:r w:rsidRPr="002A01A2">
        <w:rPr>
          <w:rFonts w:cs="Tahoma" w:eastAsia="Times New Roman" w:hAnsi="Tahoma" w:ascii="Tahoma"/>
          <w:iCs/>
          <w:lang w:eastAsia="hr-HR"/>
        </w:rPr>
        <w:t>isplatu ostatka utvrđene tražbine, u dijelu koji čini 10% iznosa utvrđene tražbine, svim onim vjerovnicima, koji ne prihvate unos toga dijela tražbine u temeljni kapital stečajnoga dužnika radi stjecanja poslovnih udjela u društvu stečajnoga dužnika,</w:t>
      </w:r>
      <w:bookmarkEnd w:id="30"/>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DC3997" w:rsidR="002A01A2" w:rsidRPr="002A01A2">
      <w:pPr>
        <w:numPr>
          <w:ilvl w:val="0"/>
          <w:numId w:val="8"/>
        </w:numPr>
        <w:spacing w:lineRule="auto" w:line="240" w:after="0"/>
        <w:contextualSpacing/>
        <w:jc w:val="both"/>
        <w:rPr>
          <w:rFonts w:cs="Tahoma" w:eastAsia="Times New Roman" w:hAnsi="Tahoma" w:ascii="Tahoma"/>
          <w:iCs/>
          <w:lang w:eastAsia="hr-HR"/>
        </w:rPr>
      </w:pPr>
      <w:bookmarkStart w:name="_Toc514765951" w:id="31"/>
      <w:r w:rsidRPr="002A01A2">
        <w:rPr>
          <w:rFonts w:cs="Tahoma" w:eastAsia="Times New Roman" w:hAnsi="Tahoma" w:ascii="Tahoma"/>
          <w:iCs/>
          <w:lang w:eastAsia="hr-HR"/>
        </w:rPr>
        <w:t>namirenje ostatka utvrđene tražbine, u dijelu koji čini 10% iznosa utvrđene tražbine, unosom toga dijela tražbine u temeljni kapital stečajnoga dužnika, radi stjecanja poslovnih udjela u društvu stečajnoga dužnika.</w:t>
      </w:r>
      <w:bookmarkEnd w:id="31"/>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2A01A2" w:rsidR="002A01A2" w:rsidRPr="002A01A2">
      <w:pPr>
        <w:spacing w:lineRule="auto" w:line="240" w:after="0"/>
        <w:contextualSpacing/>
        <w:jc w:val="both"/>
        <w:rPr>
          <w:rFonts w:cs="Tahoma" w:eastAsia="Times New Roman" w:hAnsi="Tahoma" w:ascii="Tahoma"/>
          <w:iCs/>
          <w:lang w:eastAsia="hr-HR"/>
        </w:rPr>
      </w:pPr>
      <w:bookmarkStart w:name="_Toc514765952" w:id="32"/>
      <w:r w:rsidRPr="002A01A2">
        <w:rPr>
          <w:rFonts w:cs="Tahoma" w:eastAsia="Times New Roman" w:hAnsi="Tahoma" w:ascii="Tahoma"/>
          <w:iCs/>
          <w:lang w:eastAsia="hr-HR"/>
        </w:rPr>
        <w:t>Do dana podnošenja ovoga Stečajnoga plana, za unos ostatka tražbine, u visini od 10% utvrđene tražbine u temeljni kapital društva stečajnoga dužnika, izjasnili su se i o tome dali pisanu izjavu stečajni vjerovnik Robert Veseljak i stečajni vjerovnik Glas Slavonije d.d..</w:t>
      </w:r>
      <w:bookmarkEnd w:id="32"/>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2A01A2" w:rsidR="002A01A2" w:rsidRPr="002A01A2">
      <w:pPr>
        <w:spacing w:lineRule="auto" w:line="240" w:after="0"/>
        <w:contextualSpacing/>
        <w:jc w:val="both"/>
        <w:rPr>
          <w:rFonts w:cs="Tahoma" w:eastAsia="Times New Roman" w:hAnsi="Tahoma" w:ascii="Tahoma"/>
          <w:iCs/>
          <w:lang w:eastAsia="hr-HR"/>
        </w:rPr>
      </w:pPr>
      <w:bookmarkStart w:name="_Toc514765953" w:id="33"/>
      <w:r w:rsidRPr="002A01A2">
        <w:rPr>
          <w:rFonts w:cs="Tahoma" w:eastAsia="Times New Roman" w:hAnsi="Tahoma" w:ascii="Tahoma"/>
          <w:iCs/>
          <w:lang w:eastAsia="hr-HR"/>
        </w:rPr>
        <w:t>Slijedom toga, u tablici koja slijedi, daje se pregled iznosa smanjenja (otpisa) obveza stečajnih vjerovnika i iznosa za isplatu, s izuzetkom stečajnih vjerovnika Robert Veseljak i Glas Slavonije d.d., kojima se neće ništa isplatiti, jer će ostatak njihovih tražbina biti predmetom unosa u temeljni kapital društva stečajnog dužnika</w:t>
      </w:r>
      <w:bookmarkEnd w:id="33"/>
    </w:p>
    <w:p w:rsidRDefault="002A01A2" w:rsidP="002A01A2" w:rsidR="002A01A2" w:rsidRPr="002A01A2">
      <w:pPr>
        <w:spacing w:lineRule="auto" w:line="240" w:after="0"/>
        <w:contextualSpacing/>
        <w:jc w:val="both"/>
        <w:rPr>
          <w:rFonts w:cs="Tahoma" w:eastAsia="Times New Roman" w:hAnsi="Tahoma" w:ascii="Tahoma"/>
          <w:iCs/>
          <w:lang w:eastAsia="hr-HR"/>
        </w:rPr>
      </w:pPr>
    </w:p>
    <w:p w:rsidRDefault="002A01A2" w:rsidP="002A01A2" w:rsidR="002A01A2" w:rsidRPr="002A01A2">
      <w:pPr>
        <w:spacing w:lineRule="auto" w:line="240" w:after="0"/>
        <w:contextualSpacing/>
        <w:jc w:val="center"/>
        <w:rPr>
          <w:rFonts w:cs="Tahoma" w:eastAsia="Times New Roman" w:hAnsi="Tahoma" w:ascii="Tahoma"/>
          <w:b/>
          <w:iCs/>
          <w:lang w:eastAsia="hr-HR"/>
        </w:rPr>
      </w:pPr>
      <w:bookmarkStart w:name="_Toc514765954" w:id="34"/>
      <w:r w:rsidRPr="002A01A2">
        <w:rPr>
          <w:rFonts w:cs="Tahoma" w:eastAsia="Times New Roman" w:hAnsi="Tahoma" w:ascii="Tahoma"/>
          <w:b/>
          <w:iCs/>
          <w:lang w:eastAsia="hr-HR"/>
        </w:rPr>
        <w:t>TABLICA 2.</w:t>
      </w:r>
      <w:bookmarkEnd w:id="34"/>
    </w:p>
    <w:p w:rsidRDefault="002A01A2" w:rsidP="002A01A2" w:rsidR="002A01A2" w:rsidRPr="002A01A2">
      <w:pPr>
        <w:spacing w:lineRule="auto" w:line="240" w:after="0"/>
        <w:contextualSpacing/>
        <w:jc w:val="center"/>
        <w:rPr>
          <w:rFonts w:cs="Tahoma" w:eastAsia="Times New Roman" w:hAnsi="Tahoma" w:ascii="Tahoma"/>
          <w:b/>
          <w:iCs/>
          <w:lang w:eastAsia="hr-HR"/>
        </w:rPr>
      </w:pPr>
      <w:bookmarkStart w:name="_Toc514765955" w:id="35"/>
      <w:r w:rsidRPr="002A01A2">
        <w:rPr>
          <w:rFonts w:cs="Tahoma" w:eastAsia="Times New Roman" w:hAnsi="Tahoma" w:ascii="Tahoma"/>
          <w:b/>
          <w:iCs/>
          <w:lang w:eastAsia="hr-HR"/>
        </w:rPr>
        <w:t>Smanjenje obveza i namirenje vjerovnika</w:t>
      </w:r>
      <w:bookmarkEnd w:id="35"/>
    </w:p>
    <w:tbl>
      <w:tblPr>
        <w:tblStyle w:val="Reetkatablice"/>
        <w:tblW w:type="auto" w:w="0"/>
        <w:tblLayout w:type="fixed"/>
        <w:tblLook w:val="04A0" w:noVBand="1" w:noHBand="0" w:lastColumn="0" w:firstColumn="1" w:lastRow="0" w:firstRow="1"/>
      </w:tblPr>
      <w:tblGrid>
        <w:gridCol w:w="3085"/>
        <w:gridCol w:w="1559"/>
        <w:gridCol w:w="1604"/>
        <w:gridCol w:w="1646"/>
        <w:gridCol w:w="1394"/>
      </w:tblGrid>
      <w:tr w:rsidTr="002A01A2" w:rsidR="002A01A2" w:rsidRPr="002A01A2">
        <w:trPr>
          <w:trHeight w:val="564"/>
        </w:trPr>
        <w:tc>
          <w:tcPr>
            <w:tcW w:type="dxa" w:w="3085"/>
            <w:tcBorders>
              <w:righ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STEČAJNI VJEROVNIK</w:t>
            </w:r>
          </w:p>
        </w:tc>
        <w:tc>
          <w:tcPr>
            <w:tcW w:type="dxa" w:w="155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OIB</w:t>
            </w:r>
          </w:p>
        </w:tc>
        <w:tc>
          <w:tcPr>
            <w:tcW w:type="dxa" w:w="1604"/>
            <w:tcBorders>
              <w:lef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UTVRĐENA TRAŽBINA</w:t>
            </w:r>
          </w:p>
        </w:tc>
        <w:tc>
          <w:tcPr>
            <w:tcW w:type="dxa" w:w="1646"/>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IZNOS SMANJENJA OBVEZE</w:t>
            </w:r>
          </w:p>
        </w:tc>
        <w:tc>
          <w:tcPr>
            <w:tcW w:type="dxa" w:w="1394"/>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IZNOS ZA ISPLATU</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HRVATSKE VODE, pravna osoba za upravljanje vodama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28921383001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20.217,36</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18.195,62</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2.021,73</w:t>
            </w:r>
          </w:p>
        </w:tc>
      </w:tr>
      <w:tr w:rsidTr="002A01A2" w:rsidR="002A01A2" w:rsidRPr="002A01A2">
        <w:trPr>
          <w:trHeight w:val="1116"/>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REPUBLIKA HRVATSKA MINISTARSTVO FINANCIJA, Porezna uprava, Područni ured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18683136487</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284.643,26</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256.178,93</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28.464,32</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KOMUNALAC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27962400486</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4.418,35</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3.976,51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441,83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VODNE USLUGE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43307218011</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106,3</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95,67</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10,63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18970641692</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115.139,40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103.625,46</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11.513,94</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lastRenderedPageBreak/>
              <w:t>IT Jedan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75235737688</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446,13</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401,51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44,61</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ČAZMATRANS PROMET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96107776452</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616,68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555,01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61,66</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 ZAGREB</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61817894937</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79.718,41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71.746,57</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7.971,84</w:t>
            </w:r>
          </w:p>
        </w:tc>
      </w:tr>
      <w:tr w:rsidTr="002A01A2" w:rsidR="002A01A2" w:rsidRPr="002A01A2">
        <w:trPr>
          <w:trHeight w:val="84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HRVATSKA REGULATORNA AGENCIJA ZA MREŽNE DJELATNOSTI</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87950783661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12.807,00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11.526,30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1.280,70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HRVATSKO DRUŠTVO SKLADATELJA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56668956985</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842.984,90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758.686,41</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84.298,49</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AGENCIJA ZA ELEKTRONIČKE MEDIJE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35237547014</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14.537,30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13.083,57</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1.453,73</w:t>
            </w:r>
          </w:p>
        </w:tc>
      </w:tr>
      <w:tr w:rsidTr="002A01A2" w:rsidR="002A01A2" w:rsidRPr="002A01A2">
        <w:trPr>
          <w:trHeight w:val="1168"/>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SUVLASNICI STAMBENE ZGRADE U ZAGREBU, JURJA ŽERJAVIĆA 19, zastupani po: GRADSKO STAMBENO KOMUNALNO PODUZEĆE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3744272526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16.927,32</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15.234,58</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1.692,73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CROATIA OSIGURANJE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26187994862</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1.301,39</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1.171,25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130,13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ERSTE CARD CLUB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85941596441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1.511,15</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1.360,03</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151,11</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ELEKTROMETAL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45669853088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13.698,28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12.328,45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1.369,83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BJELOVARSKI SAJAM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95270568579</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171.079,58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153.971,62</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17.107,95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ODVJETNICA RUŽICA PILIČIĆ ŠINKO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69036652687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15.500,00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13.950,00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1.550,00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PROENERGY</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63962176928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6.505,79</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5.855,21</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650,57</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MEDIARITAM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95283343666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3.825,00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3.442,50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382,50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ZAGREBAČKI HOLDING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85584865987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411,51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370,35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41,15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GRADSKA PLINARA ZAGREB OPSKRBA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74364571096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11.271,51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10.144,36</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1.127,15</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EVENT MASTER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47792707577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28.948,88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26.053,99</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2.894,90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ROBERT VESELJAK</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67946168060</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4.052.136,61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3.646.922,95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 xml:space="preserve">  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ODAŠILJAČI I VEZE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88150534338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570.603,01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513.542,70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57.060,30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GLAS SLAVONIJE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87192735882</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2.292.557,28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2.063.301,55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0,00</w:t>
            </w:r>
          </w:p>
        </w:tc>
      </w:tr>
      <w:tr w:rsidTr="002A01A2" w:rsidR="002A01A2" w:rsidRPr="002A01A2">
        <w:trPr>
          <w:trHeight w:val="312"/>
        </w:trPr>
        <w:tc>
          <w:tcPr>
            <w:tcW w:type="dxa" w:w="4644"/>
            <w:gridSpan w:val="2"/>
            <w:tcBorders>
              <w:right w:space="0" w:sz="4" w:color="auto" w:val="single"/>
            </w:tcBorders>
            <w:shd w:themeFillShade="D9" w:themeFill="background1" w:fill="D9D9D9" w:color="auto" w:val="clear"/>
            <w:noWrap/>
            <w:hideMark/>
          </w:tcPr>
          <w:p w:rsidRDefault="002A01A2" w:rsidP="002A01A2" w:rsidR="002A01A2" w:rsidRPr="002A01A2">
            <w:pPr>
              <w:rPr>
                <w:rFonts w:cs="Tahoma" w:hAnsi="Tahoma" w:ascii="Tahoma"/>
                <w:b/>
                <w:noProof/>
                <w:sz w:val="20"/>
                <w:szCs w:val="20"/>
              </w:rPr>
            </w:pPr>
            <w:r w:rsidRPr="002A01A2">
              <w:rPr>
                <w:rFonts w:cs="Tahoma" w:hAnsi="Tahoma" w:ascii="Tahoma"/>
                <w:b/>
                <w:noProof/>
                <w:sz w:val="20"/>
                <w:szCs w:val="20"/>
              </w:rPr>
              <w:t xml:space="preserve">UKUPNO                        </w:t>
            </w:r>
          </w:p>
        </w:tc>
        <w:tc>
          <w:tcPr>
            <w:tcW w:type="dxa" w:w="1604"/>
            <w:tcBorders>
              <w:left w:space="0" w:sz="4" w:color="auto" w:val="single"/>
            </w:tcBorders>
            <w:shd w:themeFillShade="D9" w:themeFill="background1" w:fill="D9D9D9" w:color="auto" w:val="clear"/>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8.561.912,40</w:t>
            </w:r>
          </w:p>
        </w:tc>
        <w:tc>
          <w:tcPr>
            <w:tcW w:type="dxa" w:w="1646"/>
            <w:shd w:themeFillShade="D9" w:themeFill="background1" w:fill="D9D9D9" w:color="auto" w:val="clear"/>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7.705.721,10</w:t>
            </w:r>
          </w:p>
        </w:tc>
        <w:tc>
          <w:tcPr>
            <w:tcW w:type="dxa" w:w="1394"/>
            <w:shd w:themeFillShade="D9" w:themeFill="background1" w:fill="D9D9D9" w:color="auto" w:val="clear"/>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221.721,80</w:t>
            </w:r>
          </w:p>
        </w:tc>
      </w:tr>
    </w:tbl>
    <w:p w:rsidRDefault="002A01A2" w:rsidP="002A01A2" w:rsidR="002A01A2" w:rsidRPr="002A01A2">
      <w:pPr>
        <w:spacing w:lineRule="auto" w:line="240" w:after="0"/>
        <w:contextualSpacing/>
        <w:rPr>
          <w:rFonts w:cs="Tahoma" w:hAnsi="Tahoma" w:ascii="Tahoma"/>
          <w:noProof/>
        </w:rPr>
      </w:pPr>
    </w:p>
    <w:p w:rsidRDefault="002A01A2" w:rsidP="002A01A2" w:rsidR="002A01A2" w:rsidRPr="002A01A2">
      <w:pPr>
        <w:spacing w:lineRule="auto" w:line="240" w:after="0"/>
        <w:contextualSpacing/>
        <w:jc w:val="both"/>
        <w:rPr>
          <w:rFonts w:cs="Tahoma" w:hAnsi="Tahoma" w:ascii="Tahoma"/>
          <w:noProof/>
        </w:rPr>
      </w:pPr>
      <w:bookmarkStart w:name="_Toc514765956" w:id="36"/>
      <w:r w:rsidRPr="002A01A2">
        <w:rPr>
          <w:rFonts w:cs="Tahoma" w:hAnsi="Tahoma" w:ascii="Tahoma"/>
          <w:noProof/>
        </w:rPr>
        <w:t>Isplatu ostatka tražbina, navedenih u prednjoj tablici, sljednik stečajnog dužnika izvršit će najkasnije 180-tog dana od dana pravomoćnosti rješenja o potvrdi ovoga Stečajnog plana.</w:t>
      </w:r>
      <w:bookmarkEnd w:id="36"/>
    </w:p>
    <w:p w:rsidRDefault="002A01A2" w:rsidP="002A01A2" w:rsidR="002A01A2" w:rsidRPr="002A01A2">
      <w:pPr>
        <w:spacing w:lineRule="auto" w:line="240" w:after="0"/>
        <w:contextualSpacing/>
        <w:rPr>
          <w:rFonts w:cs="Tahoma" w:eastAsia="Times New Roman" w:hAnsi="Tahoma" w:ascii="Tahoma"/>
          <w:b/>
          <w:iCs/>
          <w:sz w:val="28"/>
          <w:szCs w:val="28"/>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14765957" w:id="37"/>
      <w:r w:rsidRPr="002A01A2">
        <w:rPr>
          <w:rFonts w:cs="Tahoma" w:eastAsia="Times New Roman" w:hAnsi="Tahoma" w:ascii="Tahoma"/>
          <w:b/>
          <w:bCs/>
          <w:iCs/>
          <w:sz w:val="28"/>
          <w:szCs w:val="28"/>
          <w:lang w:eastAsia="hr-HR"/>
        </w:rPr>
        <w:t>Sanacija stečajnog dužnika pokrićem gubitaka</w:t>
      </w:r>
      <w:bookmarkEnd w:id="24"/>
      <w:bookmarkEnd w:id="37"/>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Sanacija stečajnog dužnika temeljni je uvjet za uspjeh u nastavku njegovoga poslovanja nakon zaključenja stečajnoga postupka.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Cjelina sanacijskih mjera treba, u konačnici, omogućiti nastavak poslovanja stečajnoga dužnika na zdravim osnovama, bez skrivenih i nepokrivenih stavki u njegovoj bilanci.</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 xml:space="preserve">Bilanca stečajnog dužnika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Stečajni dužnik ima u bilanci s danom 31. prosinca 2017. godine iskazan negativni kapital u iznosu od 8.276.523,00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Upisani i uplaćeni temeljni kapital iznosi 1.115.628,00 kuna, dok preneseni gubici iz ranijih razdoblja imaju vrijednost od 19.284.048,00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Društvo ima zadržanu dobit u iznosu od 8.512.044,00 kuna, te dobit tekuće godine (2017.) u iznosu od 1.379.853,00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Prema tome, potrebno je, radi sanacije stečajnog dužnika, pokriti prenesene gubitke, koji sveukupno iznose 19.284.048,00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
          <w:bCs/>
          <w:iCs/>
          <w:lang w:eastAsia="hr-HR"/>
        </w:rPr>
      </w:pPr>
      <w:r w:rsidRPr="002A01A2">
        <w:rPr>
          <w:rFonts w:cs="Tahoma" w:eastAsia="Times New Roman" w:hAnsi="Tahoma" w:ascii="Tahoma"/>
          <w:b/>
          <w:bCs/>
          <w:iCs/>
          <w:lang w:eastAsia="hr-HR"/>
        </w:rPr>
        <w:t>13.2.  Pokriće gubitaka na teret zadržane dobiti i dobiti tekuće godine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Posebnom odlukom stečajnog upravitelja, donesenom u svojstvu Skupštine društva stečajnog dužnika, pokrit će se dio prenesenih gubitaka stečajnog dužnika na teret zadržane dobiti ostvarene u prethodnim godinama, što omogućuje pokriće gubitaka u iznosu od 8.512.044,00 kuna, a dobit tekuće godine (2017.) u cijelosti će se rasporediti za pokriće daljnjih gubitaka u iznosu od 1.379.853,00 kuna, tako da će sveukupno na opisani način biti pokriveni gubici u iznosu od 9.891.897,00 kuna. Nakon toga, ostaju nepokrivenima preneseni gubici u iznosu od 9.392.151,00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
          <w:bCs/>
          <w:iCs/>
          <w:lang w:eastAsia="hr-HR"/>
        </w:rPr>
      </w:pPr>
      <w:r w:rsidRPr="002A01A2">
        <w:rPr>
          <w:rFonts w:cs="Tahoma" w:eastAsia="Times New Roman" w:hAnsi="Tahoma" w:ascii="Tahoma"/>
          <w:b/>
          <w:bCs/>
          <w:iCs/>
          <w:lang w:eastAsia="hr-HR"/>
        </w:rPr>
        <w:t xml:space="preserve"> 13.3. Pokriće dijela gubitaka pojednostavljenim smanjenjem temeljnog kapitala društva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Radi pokrića dijela gubitaka do visine temeljnog kapitala društva stečajni upravitelj u svojstvu Skupštine društva stečajnog dužnika </w:t>
      </w:r>
      <w:proofErr w:type="spellStart"/>
      <w:r w:rsidRPr="002A01A2">
        <w:rPr>
          <w:rFonts w:cs="Tahoma" w:eastAsia="Times New Roman" w:hAnsi="Tahoma" w:ascii="Tahoma"/>
          <w:bCs/>
          <w:iCs/>
          <w:lang w:eastAsia="hr-HR"/>
        </w:rPr>
        <w:t>donijiet</w:t>
      </w:r>
      <w:proofErr w:type="spellEnd"/>
      <w:r w:rsidRPr="002A01A2">
        <w:rPr>
          <w:rFonts w:cs="Tahoma" w:eastAsia="Times New Roman" w:hAnsi="Tahoma" w:ascii="Tahoma"/>
          <w:bCs/>
          <w:iCs/>
          <w:lang w:eastAsia="hr-HR"/>
        </w:rPr>
        <w:t xml:space="preserve">  će odluku o pojednostavljenom smanjenju temeljnog kapitala društva stečajnog dužnika, i to tako, da se temeljni kapital smanjuje s nominalnog iznosa od 1.115.628,00 kuna za 1.090.628,00 kn na novi nominalni iznos temeljnog kapitala od 25.000,00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Da bi se omogućilo provođenje pojednostavljenog smanjenja temeljnog kapitala stečajni upravitelj prethodno će donijeti odluku o spajanju poslovnih udjela, i to tako, da se: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poslovni udjeli člana društva „</w:t>
      </w:r>
      <w:proofErr w:type="spellStart"/>
      <w:r w:rsidRPr="002A01A2">
        <w:rPr>
          <w:rFonts w:cs="Tahoma" w:eastAsia="Times New Roman" w:hAnsi="Tahoma" w:ascii="Tahoma"/>
          <w:bCs/>
          <w:iCs/>
          <w:lang w:eastAsia="hr-HR"/>
        </w:rPr>
        <w:t>nasljednička</w:t>
      </w:r>
      <w:proofErr w:type="spellEnd"/>
      <w:r w:rsidRPr="002A01A2">
        <w:rPr>
          <w:rFonts w:cs="Tahoma" w:eastAsia="Times New Roman" w:hAnsi="Tahoma" w:ascii="Tahoma"/>
          <w:bCs/>
          <w:iCs/>
          <w:lang w:eastAsia="hr-HR"/>
        </w:rPr>
        <w:t xml:space="preserve"> zajednica iza </w:t>
      </w:r>
      <w:proofErr w:type="spellStart"/>
      <w:r w:rsidRPr="002A01A2">
        <w:rPr>
          <w:rFonts w:cs="Tahoma" w:eastAsia="Times New Roman" w:hAnsi="Tahoma" w:ascii="Tahoma"/>
          <w:bCs/>
          <w:iCs/>
          <w:lang w:eastAsia="hr-HR"/>
        </w:rPr>
        <w:t>pok</w:t>
      </w:r>
      <w:proofErr w:type="spellEnd"/>
      <w:r w:rsidRPr="002A01A2">
        <w:rPr>
          <w:rFonts w:cs="Tahoma" w:eastAsia="Times New Roman" w:hAnsi="Tahoma" w:ascii="Tahoma"/>
          <w:bCs/>
          <w:iCs/>
          <w:lang w:eastAsia="hr-HR"/>
        </w:rPr>
        <w:t xml:space="preserve">. Ivana Butkovića“, u broju od 2.903,5195 poslovnih udjela u ukupnom nominalnom iznosu od 1.080.109,25 kuna, koji poslovni udjeli  zajedno čine 96,82% temeljnog kapitala društva stečajnog dužnika, spajaju u jedan poslovni udjel u nominalnom iznosu od 1.080.109,25 kuna, </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1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poslovni udjeli člana društva ERSTE&amp;STEIERMARKISCHE BANK d.d. Rijeka, u broju od   62,4805 poslovnih udjela u ukupnom nominalnom iznosu od 23.242,75 kuna, koji poslovni udjeli zajedno čine 2,08% temeljnog kapitala društva stečajnog dužnika,</w:t>
      </w:r>
      <w:r w:rsidRPr="002A01A2">
        <w:rPr>
          <w:rFonts w:cs="Times New Roman" w:eastAsia="Times New Roman" w:hAnsi="Tahoma" w:ascii="Tahoma"/>
          <w:lang w:eastAsia="hr-HR"/>
        </w:rPr>
        <w:t xml:space="preserve"> </w:t>
      </w:r>
      <w:r w:rsidRPr="002A01A2">
        <w:rPr>
          <w:rFonts w:cs="Tahoma" w:eastAsia="Times New Roman" w:hAnsi="Tahoma" w:ascii="Tahoma"/>
          <w:bCs/>
          <w:iCs/>
          <w:lang w:eastAsia="hr-HR"/>
        </w:rPr>
        <w:t>spajaju u jedan poslovni udjel u nominalnom iznosu od 23.242,75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3"/>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 xml:space="preserve">poslovni udjeli člana društva </w:t>
      </w:r>
      <w:proofErr w:type="spellStart"/>
      <w:r w:rsidRPr="002A01A2">
        <w:rPr>
          <w:rFonts w:cs="Tahoma" w:eastAsia="Times New Roman" w:hAnsi="Tahoma" w:ascii="Tahoma"/>
          <w:bCs/>
          <w:iCs/>
          <w:lang w:eastAsia="hr-HR"/>
        </w:rPr>
        <w:t>Moslavka</w:t>
      </w:r>
      <w:proofErr w:type="spellEnd"/>
      <w:r w:rsidRPr="002A01A2">
        <w:rPr>
          <w:rFonts w:cs="Tahoma" w:eastAsia="Times New Roman" w:hAnsi="Tahoma" w:ascii="Tahoma"/>
          <w:bCs/>
          <w:iCs/>
          <w:lang w:eastAsia="hr-HR"/>
        </w:rPr>
        <w:t xml:space="preserve"> d.o.o. Bjelovar, u broju od sveukupno 33,00 poslovna udjela u ukupnom nominalnom iznosu od 12.276,00 kuna, koji poslovni </w:t>
      </w:r>
      <w:r w:rsidRPr="002A01A2">
        <w:rPr>
          <w:rFonts w:cs="Tahoma" w:eastAsia="Times New Roman" w:hAnsi="Tahoma" w:ascii="Tahoma"/>
          <w:bCs/>
          <w:iCs/>
          <w:lang w:eastAsia="hr-HR"/>
        </w:rPr>
        <w:lastRenderedPageBreak/>
        <w:t>udjeli zajedno čine 1,10% temeljnog kapitala društva stečajnog dužnika, spajaju u jedan poslovni udjel u nominalnom iznosu od 12.276,00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Pojednostavljeno smanjenje temeljnog kapitala provest će se smanjenjem nominalnog iznosa poslovnih udjela članova društva, i to:</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9"/>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 xml:space="preserve">smanjenjem nominalnog iznosa poslovnog udjela </w:t>
      </w:r>
      <w:proofErr w:type="spellStart"/>
      <w:r w:rsidRPr="002A01A2">
        <w:rPr>
          <w:rFonts w:cs="Tahoma" w:eastAsia="Times New Roman" w:hAnsi="Tahoma" w:ascii="Tahoma"/>
          <w:bCs/>
          <w:iCs/>
          <w:lang w:eastAsia="hr-HR"/>
        </w:rPr>
        <w:t>nasljedničke</w:t>
      </w:r>
      <w:proofErr w:type="spellEnd"/>
      <w:r w:rsidRPr="002A01A2">
        <w:rPr>
          <w:rFonts w:cs="Tahoma" w:eastAsia="Times New Roman" w:hAnsi="Tahoma" w:ascii="Tahoma"/>
          <w:bCs/>
          <w:iCs/>
          <w:lang w:eastAsia="hr-HR"/>
        </w:rPr>
        <w:t xml:space="preserve"> zajednice iza </w:t>
      </w:r>
      <w:proofErr w:type="spellStart"/>
      <w:r w:rsidRPr="002A01A2">
        <w:rPr>
          <w:rFonts w:cs="Tahoma" w:eastAsia="Times New Roman" w:hAnsi="Tahoma" w:ascii="Tahoma"/>
          <w:bCs/>
          <w:iCs/>
          <w:lang w:eastAsia="hr-HR"/>
        </w:rPr>
        <w:t>pok</w:t>
      </w:r>
      <w:proofErr w:type="spellEnd"/>
      <w:r w:rsidRPr="002A01A2">
        <w:rPr>
          <w:rFonts w:cs="Tahoma" w:eastAsia="Times New Roman" w:hAnsi="Tahoma" w:ascii="Tahoma"/>
          <w:bCs/>
          <w:iCs/>
          <w:lang w:eastAsia="hr-HR"/>
        </w:rPr>
        <w:t>. Ivana Butkovića sa 1.080.109,25</w:t>
      </w:r>
      <w:r w:rsidRPr="002A01A2">
        <w:rPr>
          <w:rFonts w:cs="Tahoma" w:eastAsia="Times New Roman" w:hAnsi="Tahoma" w:ascii="Tahoma"/>
          <w:b/>
          <w:bCs/>
          <w:iCs/>
          <w:lang w:eastAsia="hr-HR"/>
        </w:rPr>
        <w:t xml:space="preserve"> </w:t>
      </w:r>
      <w:r w:rsidRPr="002A01A2">
        <w:rPr>
          <w:rFonts w:cs="Tahoma" w:eastAsia="Times New Roman" w:hAnsi="Tahoma" w:ascii="Tahoma"/>
          <w:bCs/>
          <w:iCs/>
          <w:lang w:eastAsia="hr-HR"/>
        </w:rPr>
        <w:t>kuna za 1.055.909,25 kuna na novi nominalni iznos od 24.200,00 kuna,</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9"/>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smanjenjem nominalnog iznosa poslovnog udjela člana društva   ERSTE&amp;STEIERMARKISHE BANK d.d. sa 23.242,75 kuna za 22.742,75 kuna na nominalni iznos od 500,00 kuna,</w:t>
      </w:r>
    </w:p>
    <w:p w:rsidRDefault="002A01A2" w:rsidP="002A01A2" w:rsidR="002A01A2" w:rsidRPr="002A01A2">
      <w:pPr>
        <w:spacing w:lineRule="auto" w:line="240" w:after="0"/>
        <w:ind w:left="720"/>
        <w:contextualSpacing/>
        <w:rPr>
          <w:rFonts w:cs="Tahoma" w:eastAsia="Times New Roman" w:hAnsi="Tahoma" w:ascii="Tahoma"/>
          <w:bCs/>
          <w:iCs/>
          <w:lang w:eastAsia="hr-HR"/>
        </w:rPr>
      </w:pPr>
    </w:p>
    <w:p w:rsidRDefault="002A01A2" w:rsidP="00DC3997" w:rsidR="002A01A2" w:rsidRPr="002A01A2">
      <w:pPr>
        <w:numPr>
          <w:ilvl w:val="0"/>
          <w:numId w:val="9"/>
        </w:numPr>
        <w:spacing w:lineRule="auto" w:line="240" w:after="0"/>
        <w:contextualSpacing/>
        <w:rPr>
          <w:rFonts w:cs="Tahoma" w:eastAsia="Times New Roman" w:hAnsi="Tahoma" w:ascii="Tahoma"/>
          <w:bCs/>
          <w:iCs/>
          <w:lang w:eastAsia="hr-HR"/>
        </w:rPr>
      </w:pPr>
      <w:r w:rsidRPr="002A01A2">
        <w:rPr>
          <w:rFonts w:cs="Tahoma" w:eastAsia="Times New Roman" w:hAnsi="Tahoma" w:ascii="Tahoma"/>
          <w:bCs/>
          <w:iCs/>
          <w:lang w:eastAsia="hr-HR"/>
        </w:rPr>
        <w:t>smanjenjem nominalnog iznosa poslovnog udjela člana društva  MOSLAVKA d.o.o. sa 12.276,00 kuna za 11.976,00 kuna na nominalni iznos od 300,00 kuna,</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tako da članovi društva u smanjenju temeljnoga kapitala sudjeluju razmjerno sudjelovanju svojih poslovnih udjela u početnom stanju temeljnoga kapitala društva stečajnog dužnika, a istovremeno zadržavaju međusobni relativni odnos kao što je bio u početnom stanju.</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Temeljem provedenog pojednostavljenog smanjenja temeljnog kapitala, gubici društva stečajnog dužnika bit će pokriveni za daljnjih 1.090.628,00 kuna, tako da preostaju nepokrivenima preneseni gubici u iznosu od 8.301.523,00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
          <w:bCs/>
          <w:iCs/>
          <w:lang w:eastAsia="hr-HR"/>
        </w:rPr>
      </w:pPr>
      <w:r w:rsidRPr="002A01A2">
        <w:rPr>
          <w:rFonts w:cs="Tahoma" w:eastAsia="Times New Roman" w:hAnsi="Tahoma" w:ascii="Tahoma"/>
          <w:b/>
          <w:bCs/>
          <w:iCs/>
          <w:lang w:eastAsia="hr-HR"/>
        </w:rPr>
        <w:t>13.4. Pokriće preostalih prenesenih gubitaka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Učinak mjere ovoga stečajnoga plana kojom je predviđeno smanjenje (otpis) obveza stečajnog dužnika na bilancu stečajnoga dužnika je 7.705.721,10 kuna, što će omogućiti u tekućoj godini iskazivanje dobiti u istom iznosu. Na teret tako ostvarene dobiti bit će pokriveni daljnji preneseni gubici u predvidivom iznosu od 7.705.721,10 kuna, a preostatak nepokrivenih gubitaka bit će pokriven iz dobiti ostvarene poslovanjem u daljnjim godinama.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1"/>
          <w:numId w:val="12"/>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Povećanje temeljnoga kapitala radi nenovčanog namirenja jednog dijela tražbina stečajnih   vjerovnika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Namirenje jednog dijela tražbina  stečajnih vjerovnika provodi se unosom toga dijela tražbina u temeljni kapital društva stečajnog dužnika, uz istovremeno isključenje od prava na sudjelovanje u povećanju temeljnoga kapitala postojećih članova društva stečajnog dužnika.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Mjera prenošenja dijela tražbina stečajnih vjerovnika drugog višeg isplatnog reda prema stečajnom dužniku u temeljni kapital dioničkoga društva stečajnog dužnika imat će dvojaki učinak – vjerovnici će biti namireni sa svojim tražbinama preuzimanjem odgovarajućega  nominalnoga iznosa poslovnoga udjela a s druge strane, stečajni će dužnik biti oslobođen financijskih obveza prema tim vjerovnicima za vrijednost dijela utvrđenih tražbina prenesenih u temeljni kapital, čime se postiže i sanacijski učinak za društvo stečajnog dužnika.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lastRenderedPageBreak/>
        <w:t xml:space="preserve">Za unos u temeljni kapital stečajnog dužnika ovim su Stečajnim planom predviđene tražbine   stečajnih vjerovnika drugog višeg isplatnog reda  Robert Veseljak i Glas Slavonije d.d. u sveukupnom iznosu od </w:t>
      </w:r>
      <w:r w:rsidRPr="002A01A2">
        <w:rPr>
          <w:rFonts w:cs="Tahoma" w:eastAsia="Times New Roman" w:hAnsi="Tahoma" w:ascii="Tahoma"/>
          <w:b/>
          <w:bCs/>
          <w:lang w:eastAsia="hr-HR"/>
        </w:rPr>
        <w:t xml:space="preserve"> 634.469,38 </w:t>
      </w:r>
      <w:r w:rsidRPr="002A01A2">
        <w:rPr>
          <w:rFonts w:cs="Tahoma" w:eastAsia="Times New Roman" w:hAnsi="Tahoma" w:ascii="Tahoma"/>
          <w:bCs/>
          <w:lang w:eastAsia="hr-HR"/>
        </w:rPr>
        <w:t>kuna</w:t>
      </w:r>
      <w:r w:rsidRPr="002A01A2">
        <w:rPr>
          <w:rFonts w:cs="Tahoma" w:eastAsia="Times New Roman" w:hAnsi="Tahoma" w:ascii="Tahoma"/>
          <w:bCs/>
          <w:iCs/>
          <w:lang w:eastAsia="hr-HR"/>
        </w:rPr>
        <w:t xml:space="preserve">,  tako da će vjerovnici nakon uloga u povećanje temeljnoga kapitala dioničkog društva steći poslovne udjele u ukupnom nominalnom iznosu od </w:t>
      </w:r>
      <w:r w:rsidRPr="002A01A2">
        <w:rPr>
          <w:rFonts w:cs="Tahoma" w:eastAsia="Times New Roman" w:hAnsi="Tahoma" w:ascii="Tahoma"/>
          <w:b/>
          <w:bCs/>
          <w:lang w:eastAsia="hr-HR"/>
        </w:rPr>
        <w:t xml:space="preserve">634.400,00 </w:t>
      </w:r>
      <w:r w:rsidRPr="002A01A2">
        <w:rPr>
          <w:rFonts w:cs="Tahoma" w:eastAsia="Times New Roman" w:hAnsi="Tahoma" w:ascii="Tahoma"/>
          <w:bCs/>
          <w:iCs/>
          <w:lang w:eastAsia="hr-HR"/>
        </w:rPr>
        <w:t xml:space="preserve">kuna, dok će se iznos od </w:t>
      </w:r>
      <w:r w:rsidRPr="002A01A2">
        <w:rPr>
          <w:rFonts w:cs="Tahoma" w:eastAsia="Times New Roman" w:hAnsi="Tahoma" w:ascii="Tahoma"/>
          <w:b/>
          <w:bCs/>
          <w:iCs/>
          <w:lang w:eastAsia="hr-HR"/>
        </w:rPr>
        <w:t>69,38</w:t>
      </w:r>
      <w:r w:rsidRPr="002A01A2">
        <w:rPr>
          <w:rFonts w:cs="Tahoma" w:eastAsia="Times New Roman" w:hAnsi="Tahoma" w:ascii="Tahoma"/>
          <w:bCs/>
          <w:iCs/>
          <w:lang w:eastAsia="hr-HR"/>
        </w:rPr>
        <w:t xml:space="preserve"> kuna prenijeti u rezerve društva s namjenom pokrića prenesenih gubitaka dioničkog društva.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Unosom prava – tražbina vjerovnika u temeljni kapital  društva stečajnog dužnika, temeljni kapital povećat će se s nominalnog iznosa od </w:t>
      </w:r>
      <w:r w:rsidRPr="002A01A2">
        <w:rPr>
          <w:rFonts w:cs="Tahoma" w:eastAsia="Times New Roman" w:hAnsi="Tahoma" w:ascii="Tahoma"/>
          <w:b/>
          <w:bCs/>
          <w:iCs/>
          <w:lang w:eastAsia="hr-HR"/>
        </w:rPr>
        <w:t xml:space="preserve">25.000,00 </w:t>
      </w:r>
      <w:r w:rsidRPr="002A01A2">
        <w:rPr>
          <w:rFonts w:cs="Tahoma" w:eastAsia="Times New Roman" w:hAnsi="Tahoma" w:ascii="Tahoma"/>
          <w:bCs/>
          <w:iCs/>
          <w:lang w:eastAsia="hr-HR"/>
        </w:rPr>
        <w:t xml:space="preserve"> kuna za </w:t>
      </w:r>
      <w:r w:rsidRPr="002A01A2">
        <w:rPr>
          <w:rFonts w:cs="Tahoma" w:eastAsia="Times New Roman" w:hAnsi="Tahoma" w:ascii="Tahoma"/>
          <w:b/>
          <w:bCs/>
          <w:iCs/>
          <w:lang w:eastAsia="hr-HR"/>
        </w:rPr>
        <w:t xml:space="preserve">634.400,00 </w:t>
      </w:r>
      <w:r w:rsidRPr="002A01A2">
        <w:rPr>
          <w:rFonts w:cs="Tahoma" w:eastAsia="Times New Roman" w:hAnsi="Tahoma" w:ascii="Tahoma"/>
          <w:bCs/>
          <w:iCs/>
          <w:lang w:eastAsia="hr-HR"/>
        </w:rPr>
        <w:t xml:space="preserve">kuna na novi nominalni iznos temeljnoga kapitala od </w:t>
      </w:r>
      <w:r w:rsidRPr="002A01A2">
        <w:rPr>
          <w:rFonts w:cs="Tahoma" w:eastAsia="Times New Roman" w:hAnsi="Tahoma" w:ascii="Tahoma"/>
          <w:b/>
          <w:bCs/>
          <w:iCs/>
          <w:lang w:eastAsia="hr-HR"/>
        </w:rPr>
        <w:t xml:space="preserve">659.400,00 </w:t>
      </w:r>
      <w:r w:rsidRPr="002A01A2">
        <w:rPr>
          <w:rFonts w:cs="Tahoma" w:eastAsia="Times New Roman" w:hAnsi="Tahoma" w:ascii="Tahoma"/>
          <w:bCs/>
          <w:iCs/>
          <w:lang w:eastAsia="hr-HR"/>
        </w:rPr>
        <w:t>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 taj će način stečajni dužnik biti oslobođen obveza prema stečajnom vjerovniku Robert Veseljak za iznos od 405.213,66 kuna a prema stečajnom vjerovniku Glas Slavonije d.d. za iznos od 229.255,72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Odluku o povećanju temeljnog kapitala društva stečajnog dužnika ulozima donijet će stečajni upravitelj, u svojstvu Skupštine društva stečajnog dužnika, u roku od 15 dana od dana pravomoćnosti rješenja o potvrdi Stečajnog plana.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Nakon provedenog povećanja temeljnog kapitala ulozima u pravima – tražbinama vjerovnika, u temeljnom kapitalu društva stečajnog dužnika sudjelovat će: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0"/>
        </w:numPr>
        <w:spacing w:lineRule="auto" w:line="240" w:after="0"/>
        <w:contextualSpacing/>
        <w:jc w:val="both"/>
        <w:rPr>
          <w:rFonts w:cs="Tahoma" w:eastAsia="Times New Roman" w:hAnsi="Tahoma" w:ascii="Tahoma"/>
          <w:bCs/>
          <w:iCs/>
          <w:lang w:eastAsia="hr-HR"/>
        </w:rPr>
      </w:pPr>
      <w:proofErr w:type="spellStart"/>
      <w:r w:rsidRPr="002A01A2">
        <w:rPr>
          <w:rFonts w:cs="Tahoma" w:eastAsia="Times New Roman" w:hAnsi="Tahoma" w:ascii="Tahoma"/>
          <w:bCs/>
          <w:iCs/>
          <w:lang w:eastAsia="hr-HR"/>
        </w:rPr>
        <w:t>nasljednička</w:t>
      </w:r>
      <w:proofErr w:type="spellEnd"/>
      <w:r w:rsidRPr="002A01A2">
        <w:rPr>
          <w:rFonts w:cs="Tahoma" w:eastAsia="Times New Roman" w:hAnsi="Tahoma" w:ascii="Tahoma"/>
          <w:bCs/>
          <w:iCs/>
          <w:lang w:eastAsia="hr-HR"/>
        </w:rPr>
        <w:t xml:space="preserve"> zajednica iza </w:t>
      </w:r>
      <w:proofErr w:type="spellStart"/>
      <w:r w:rsidRPr="002A01A2">
        <w:rPr>
          <w:rFonts w:cs="Tahoma" w:eastAsia="Times New Roman" w:hAnsi="Tahoma" w:ascii="Tahoma"/>
          <w:bCs/>
          <w:iCs/>
          <w:lang w:eastAsia="hr-HR"/>
        </w:rPr>
        <w:t>pok</w:t>
      </w:r>
      <w:proofErr w:type="spellEnd"/>
      <w:r w:rsidRPr="002A01A2">
        <w:rPr>
          <w:rFonts w:cs="Tahoma" w:eastAsia="Times New Roman" w:hAnsi="Tahoma" w:ascii="Tahoma"/>
          <w:bCs/>
          <w:iCs/>
          <w:lang w:eastAsia="hr-HR"/>
        </w:rPr>
        <w:t>. Ivana Butkovića s poslovnim udjelom u nominalnom iznosu od 24.200,00 kuna,</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10"/>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ERSTE&amp;STEIERMARKISCHE BANK d.d. Rijeka s poslovnim udjelom u nominalnom iznosu od 500,00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0"/>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MOSLAVKA d.o.o. Bjelovar s poslovnim udjelom u nominalnom iznosu od 300,00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0"/>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Robert Veseljak s poslovnim udjelom u nominalnom iznosu od 405.200,00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0"/>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Glas Slavonije d.d. s poslovnim udjelom u nominalnom iznosu od 229.200,00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jc w:val="both"/>
        <w:rPr>
          <w:rFonts w:cs="Tahoma" w:eastAsia="Times New Roman" w:hAnsi="Tahoma" w:ascii="Tahoma"/>
          <w:b/>
          <w:bCs/>
          <w:sz w:val="28"/>
          <w:szCs w:val="28"/>
          <w:lang w:eastAsia="hr-HR"/>
        </w:rPr>
      </w:pPr>
      <w:bookmarkStart w:name="_Toc514765958" w:id="38"/>
      <w:r w:rsidRPr="002A01A2">
        <w:rPr>
          <w:rFonts w:cs="Tahoma" w:eastAsia="Times New Roman" w:hAnsi="Tahoma" w:ascii="Tahoma"/>
          <w:b/>
          <w:bCs/>
          <w:sz w:val="28"/>
          <w:szCs w:val="28"/>
          <w:lang w:eastAsia="hr-HR"/>
        </w:rPr>
        <w:t>Izdvajanje sredstava za novčano i nenovčano namirenje osporenih tražbina drugog višeg isplatnog reda</w:t>
      </w:r>
      <w:bookmarkEnd w:id="38"/>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Stečajni vjerovnici koji nisu nižih isplatnih redova, a čije tražbine su osporene, stečajnim planom moraju biti stavljeni u jednak položaj s vjerovnicima istoga položaja čije tražbine su u stečajnom postupku utvrđene.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Zbog toga, potrebno je predvidjeti izdvajanje sredstava za novčano i nenovčano namirenje stečajnih vjerovnika s osporenim tražbinama, za slučaj, da te tražbine budu pravomoćno utvrđene kao tražbine odgovarajućeg isplatnog reda koji nije niži isplatni red.</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
          <w:bCs/>
          <w:iCs/>
          <w:lang w:eastAsia="hr-HR"/>
        </w:rPr>
      </w:pPr>
      <w:r w:rsidRPr="002A01A2">
        <w:rPr>
          <w:rFonts w:cs="Tahoma" w:eastAsia="Times New Roman" w:hAnsi="Tahoma" w:ascii="Tahoma"/>
          <w:b/>
          <w:bCs/>
          <w:iCs/>
          <w:lang w:eastAsia="hr-HR"/>
        </w:rPr>
        <w:t>14.1. Smanjenje (otpis) obveza stečajnog dužnika prema stečajnim vjerovnicima s osporenim tražbinama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lastRenderedPageBreak/>
        <w:t>Stečajni upravitelj osporio je tražbinu stečajnog vjerovnika drugog višeg isplatnog reda ERSTE&amp;STEIERMARKISCHE BANK d.d. u iznosu od 8.372.639,18 kuna, a osim toga, osporio je i tražbine drugih osam stečajnih vjerovnika s ukupnom vrijednošću osporenih tražbina od 335.438,22 kn.</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Za slučaj da pravomoćnom sudskom odlukom tražbine vjerovnika budu utvrđene tražbinama drugog višeg isplatnog reda, u odnosu na svakog takvog vjerovnika bit će jednako primijenjene mjere ovoga Stečajnoga plana, pa će tako:</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1"/>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na naknadno pravomoćno utvrđene tražbine tih vjerovnika biti primijenjena mjera smanjenja (otpisa) obveza stečajnog dužnika prema stečajnome vjerovniku, za 90% iznosa pravomoćnom sudskom odlukom utvrđenog iznosa tražbine,</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11"/>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u preostatku od 10% iznosa pravomoćno utvrđene tražbine, bit će izvršena isplata u novcu, u roku od 60 dana od dana nastupa pravomoćnosti sudske odluke o utvrđivanju pojedine tražbine.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Stečajni vjerovnik ERSTE&amp;STEIERMARSKISCHE BANK d.d., za slučaj da njegova osporena tražbina bude pravomoćno utvrđena, umjesto u novcu, bit će namiren nenovčanim namirenjem, unosom ostatka utvrđene tražbine (10%) u temeljni kapital društva stečajnog dužnika, tako da će temeljni kapital društva stečajnog dužnika biti povećan za najviše do </w:t>
      </w:r>
      <w:r w:rsidRPr="002A01A2">
        <w:rPr>
          <w:rFonts w:cs="Tahoma" w:eastAsia="Times New Roman" w:hAnsi="Tahoma" w:ascii="Tahoma"/>
          <w:b/>
          <w:bCs/>
          <w:iCs/>
          <w:lang w:eastAsia="hr-HR"/>
        </w:rPr>
        <w:t>837.200,00</w:t>
      </w:r>
      <w:r w:rsidRPr="002A01A2">
        <w:rPr>
          <w:rFonts w:cs="Tahoma" w:eastAsia="Times New Roman" w:hAnsi="Tahoma" w:ascii="Tahoma"/>
          <w:bCs/>
          <w:iCs/>
          <w:lang w:eastAsia="hr-HR"/>
        </w:rPr>
        <w:t xml:space="preserve"> kuna, a taj vjerovnik bit će namiren stjecanjem poslovnog udjela u društvu </w:t>
      </w:r>
      <w:proofErr w:type="spellStart"/>
      <w:r w:rsidRPr="002A01A2">
        <w:rPr>
          <w:rFonts w:cs="Tahoma" w:eastAsia="Times New Roman" w:hAnsi="Tahoma" w:ascii="Tahoma"/>
          <w:bCs/>
          <w:iCs/>
          <w:lang w:eastAsia="hr-HR"/>
        </w:rPr>
        <w:t>sljedniku</w:t>
      </w:r>
      <w:proofErr w:type="spellEnd"/>
      <w:r w:rsidRPr="002A01A2">
        <w:rPr>
          <w:rFonts w:cs="Tahoma" w:eastAsia="Times New Roman" w:hAnsi="Tahoma" w:ascii="Tahoma"/>
          <w:bCs/>
          <w:iCs/>
          <w:lang w:eastAsia="hr-HR"/>
        </w:rPr>
        <w:t xml:space="preserve"> stečajnog dužnika.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Za novčano namirenje prema odredbama prethodnih stavaka ove točke osiguravaju se sredstva u stečajnoj masi do iznosa od </w:t>
      </w:r>
      <w:r w:rsidRPr="002A01A2">
        <w:rPr>
          <w:rFonts w:cs="Tahoma" w:eastAsia="Times New Roman" w:hAnsi="Tahoma" w:ascii="Tahoma"/>
          <w:b/>
          <w:bCs/>
          <w:iCs/>
          <w:lang w:eastAsia="hr-HR"/>
        </w:rPr>
        <w:t xml:space="preserve">4.745,58 </w:t>
      </w:r>
      <w:r w:rsidRPr="002A01A2">
        <w:rPr>
          <w:rFonts w:cs="Tahoma" w:eastAsia="Times New Roman" w:hAnsi="Tahoma" w:ascii="Tahoma"/>
          <w:bCs/>
          <w:iCs/>
          <w:lang w:eastAsia="hr-HR"/>
        </w:rPr>
        <w:t>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14765959" w:id="39"/>
      <w:r w:rsidRPr="002A01A2">
        <w:rPr>
          <w:rFonts w:cs="Tahoma" w:eastAsia="Times New Roman" w:hAnsi="Tahoma" w:ascii="Tahoma"/>
          <w:b/>
          <w:bCs/>
          <w:sz w:val="28"/>
          <w:szCs w:val="28"/>
          <w:lang w:eastAsia="hr-HR"/>
        </w:rPr>
        <w:t>Namirenje vjerovnika nižih isplatnih redova</w:t>
      </w:r>
      <w:bookmarkEnd w:id="39"/>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Vjerovnike nižih isplatnih redova neće se pozivati na prijavljivanje tražbina, jer za to neće postojati dostatna sredstva u stečajnoj masi.</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Prihvaćanjem ovoga Stečajnoga plana smatrat će se da su prestale tražbine stečajnih vjerovnika nižih isplatnih redova (čl. 311. st. 1. SZ/15).</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bCs/>
          <w:sz w:val="28"/>
          <w:szCs w:val="28"/>
          <w:lang w:eastAsia="hr-HR"/>
        </w:rPr>
      </w:pPr>
      <w:bookmarkStart w:name="_Toc514765960" w:id="40"/>
      <w:r w:rsidRPr="002A01A2">
        <w:rPr>
          <w:rFonts w:cs="Tahoma" w:eastAsia="Times New Roman" w:hAnsi="Tahoma" w:ascii="Tahoma"/>
          <w:b/>
          <w:bCs/>
          <w:sz w:val="28"/>
          <w:szCs w:val="28"/>
          <w:lang w:eastAsia="hr-HR"/>
        </w:rPr>
        <w:t>Namirenje obveza stečajne mase i troškova stečajnog postupka</w:t>
      </w:r>
      <w:bookmarkEnd w:id="40"/>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Obveze stečajne mase prema vjerovnicima stečajne mase bit će o rokovima dospijeća namirene. Za slučaj, da pojedine obveze stečajne mase dospijevaju nakon dana zaključenja stečajnog postupka, te će obveze podmiriti pravni </w:t>
      </w:r>
      <w:proofErr w:type="spellStart"/>
      <w:r w:rsidRPr="002A01A2">
        <w:rPr>
          <w:rFonts w:cs="Tahoma" w:eastAsia="Times New Roman" w:hAnsi="Tahoma" w:ascii="Tahoma"/>
          <w:bCs/>
          <w:iCs/>
          <w:lang w:eastAsia="hr-HR"/>
        </w:rPr>
        <w:t>sljednik</w:t>
      </w:r>
      <w:proofErr w:type="spellEnd"/>
      <w:r w:rsidRPr="002A01A2">
        <w:rPr>
          <w:rFonts w:cs="Tahoma" w:eastAsia="Times New Roman" w:hAnsi="Tahoma" w:ascii="Tahoma"/>
          <w:bCs/>
          <w:iCs/>
          <w:lang w:eastAsia="hr-HR"/>
        </w:rPr>
        <w:t xml:space="preserve"> stečajnog dužnika.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Troškove stečajnog postupka, </w:t>
      </w:r>
      <w:proofErr w:type="spellStart"/>
      <w:r w:rsidRPr="002A01A2">
        <w:rPr>
          <w:rFonts w:cs="Tahoma" w:eastAsia="Times New Roman" w:hAnsi="Tahoma" w:ascii="Tahoma"/>
          <w:bCs/>
          <w:iCs/>
          <w:lang w:eastAsia="hr-HR"/>
        </w:rPr>
        <w:t>nastupjele</w:t>
      </w:r>
      <w:proofErr w:type="spellEnd"/>
      <w:r w:rsidRPr="002A01A2">
        <w:rPr>
          <w:rFonts w:cs="Tahoma" w:eastAsia="Times New Roman" w:hAnsi="Tahoma" w:ascii="Tahoma"/>
          <w:bCs/>
          <w:iCs/>
          <w:lang w:eastAsia="hr-HR"/>
        </w:rPr>
        <w:t xml:space="preserve"> do dana zaključenja stečajnog postupka, namirit će stečajni dužnik, na teret stečajne mase.</w:t>
      </w:r>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08192475" w:id="41"/>
      <w:bookmarkStart w:name="_Toc514765961" w:id="42"/>
      <w:r w:rsidRPr="002A01A2">
        <w:rPr>
          <w:rFonts w:cs="Tahoma" w:eastAsia="Times New Roman" w:hAnsi="Tahoma" w:ascii="Tahoma"/>
          <w:b/>
          <w:bCs/>
          <w:iCs/>
          <w:sz w:val="28"/>
          <w:szCs w:val="28"/>
          <w:lang w:eastAsia="hr-HR"/>
        </w:rPr>
        <w:t>Ostavljanje sveukupne imovine stečajnom dužniku radi nastavka poslovanja</w:t>
      </w:r>
      <w:bookmarkEnd w:id="41"/>
      <w:bookmarkEnd w:id="42"/>
    </w:p>
    <w:p w:rsidRDefault="002A01A2" w:rsidP="002A01A2" w:rsidR="002A01A2" w:rsidRPr="002A01A2">
      <w:pPr>
        <w:spacing w:lineRule="auto" w:line="240" w:after="0"/>
        <w:ind w:left="720"/>
        <w:contextualSpacing/>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lastRenderedPageBreak/>
        <w:t>Sveukupna imovina stečajnog dužnika ostavlja se na raspolaganje stečajnom dužniku, za potrebe nastavka poslovanja, jer je temeljni smisao ovoga stečajnog plana, da stečajni dužnik nastavi s poslovanjem i obavlja nakladničku djelatnost.</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08192477" w:id="43"/>
      <w:bookmarkStart w:name="_Toc514765962" w:id="44"/>
      <w:r w:rsidRPr="002A01A2">
        <w:rPr>
          <w:rFonts w:cs="Tahoma" w:eastAsia="Times New Roman" w:hAnsi="Tahoma" w:ascii="Tahoma"/>
          <w:b/>
          <w:bCs/>
          <w:iCs/>
          <w:sz w:val="28"/>
          <w:szCs w:val="28"/>
          <w:lang w:eastAsia="hr-HR"/>
        </w:rPr>
        <w:t>Reorganizacija poslovanja stečajnog dužnika</w:t>
      </w:r>
      <w:bookmarkEnd w:id="43"/>
      <w:bookmarkEnd w:id="44"/>
    </w:p>
    <w:p w:rsidRDefault="002A01A2" w:rsidP="002A01A2" w:rsidR="002A01A2" w:rsidRPr="002A01A2">
      <w:pPr>
        <w:spacing w:lineRule="auto" w:line="240" w:after="0"/>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Naprijed u ovoj Pripremnoj osnovi opisane su mjere i radnje koje će na osnovama ovoga Stečajnoga plana biti provođene radi sanacije stečajnog dužnika radi pokrića gubitaka i radi namirenja vjerovnika.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Promjene u strukturi članova društva povezane su, dakle, s jedne strane potrebnim provođenjem smanjenja temeljnog kapitala radi pokrića gubitaka, a s druge strane, povezane su s nužno potrebnim povezivanjem stečajnog dužnika s drugim medijskim kućama, radi ostvarenja pozitivnih učinaka usklađenog djelovanja, razmjene znanja i iskustava i racionalnijeg korištenja raspoloživih ljudskih i tehničkih kapaciteta, a sve s ciljem profitabilnog poslovanja.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proofErr w:type="spellStart"/>
      <w:r w:rsidRPr="002A01A2">
        <w:rPr>
          <w:rFonts w:cs="Tahoma" w:eastAsia="Times New Roman" w:hAnsi="Tahoma" w:ascii="Tahoma"/>
          <w:bCs/>
          <w:iCs/>
          <w:lang w:eastAsia="hr-HR"/>
        </w:rPr>
        <w:t>Sljednik</w:t>
      </w:r>
      <w:proofErr w:type="spellEnd"/>
      <w:r w:rsidRPr="002A01A2">
        <w:rPr>
          <w:rFonts w:cs="Tahoma" w:eastAsia="Times New Roman" w:hAnsi="Tahoma" w:ascii="Tahoma"/>
          <w:bCs/>
          <w:iCs/>
          <w:lang w:eastAsia="hr-HR"/>
        </w:rPr>
        <w:t xml:space="preserve"> stečajnog dužnika nastavit će nakon zaključenja stečajnog postupka s poslovanjem u pravnom obliku   društva s ograničenom odgovornošću i u tom pogledu neće biti nikakvih daljnjih statusnih promjena. </w:t>
      </w:r>
    </w:p>
    <w:p w:rsidRDefault="002A01A2" w:rsidP="00DC3997" w:rsidR="002A01A2" w:rsidRPr="002A01A2">
      <w:pPr>
        <w:numPr>
          <w:ilvl w:val="1"/>
          <w:numId w:val="5"/>
        </w:numPr>
        <w:spacing w:lineRule="auto" w:line="240" w:after="0"/>
        <w:contextualSpacing/>
        <w:jc w:val="both"/>
        <w:rPr>
          <w:rFonts w:cs="Tahoma" w:eastAsia="Times New Roman" w:hAnsi="Tahoma" w:ascii="Tahoma"/>
          <w:b/>
          <w:bCs/>
          <w:iCs/>
          <w:lang w:eastAsia="hr-HR"/>
        </w:rPr>
      </w:pPr>
      <w:r w:rsidRPr="002A01A2">
        <w:rPr>
          <w:rFonts w:cs="Tahoma" w:eastAsia="Times New Roman" w:hAnsi="Tahoma" w:ascii="Tahoma"/>
          <w:b/>
          <w:bCs/>
          <w:iCs/>
          <w:lang w:eastAsia="hr-HR"/>
        </w:rPr>
        <w:t xml:space="preserve">Poslovni plan </w:t>
      </w:r>
      <w:proofErr w:type="spellStart"/>
      <w:r w:rsidRPr="002A01A2">
        <w:rPr>
          <w:rFonts w:cs="Tahoma" w:eastAsia="Times New Roman" w:hAnsi="Tahoma" w:ascii="Tahoma"/>
          <w:b/>
          <w:bCs/>
          <w:iCs/>
          <w:lang w:eastAsia="hr-HR"/>
        </w:rPr>
        <w:t>sljednika</w:t>
      </w:r>
      <w:proofErr w:type="spellEnd"/>
      <w:r w:rsidRPr="002A01A2">
        <w:rPr>
          <w:rFonts w:cs="Tahoma" w:eastAsia="Times New Roman" w:hAnsi="Tahoma" w:ascii="Tahoma"/>
          <w:b/>
          <w:bCs/>
          <w:iCs/>
          <w:lang w:eastAsia="hr-HR"/>
        </w:rPr>
        <w:t xml:space="preserve"> stečajnog dužnika nakon usvajanja stečajnog plana  </w:t>
      </w:r>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Poslovni plan </w:t>
      </w:r>
      <w:proofErr w:type="spellStart"/>
      <w:r w:rsidRPr="002A01A2">
        <w:rPr>
          <w:rFonts w:cs="Tahoma" w:eastAsia="Times New Roman" w:hAnsi="Tahoma" w:ascii="Tahoma"/>
          <w:bCs/>
          <w:iCs/>
          <w:lang w:eastAsia="hr-HR"/>
        </w:rPr>
        <w:t>sljednika</w:t>
      </w:r>
      <w:proofErr w:type="spellEnd"/>
      <w:r w:rsidRPr="002A01A2">
        <w:rPr>
          <w:rFonts w:cs="Tahoma" w:eastAsia="Times New Roman" w:hAnsi="Tahoma" w:ascii="Tahoma"/>
          <w:bCs/>
          <w:iCs/>
          <w:lang w:eastAsia="hr-HR"/>
        </w:rPr>
        <w:t xml:space="preserve"> stečajnoga dužnika, za razdoblje koje slijedi nakon pravomoćnosti rješenja o potvrdi ovoga stečajnoga plana sastavni je dio ovoga Stečajnoga plana kao njegov prilog.</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Poslovni plan je izrađen pod pretpostavkom kontinuiranog poslovanja stečajnog dužnika u razdoblju do početka implementacije stečajnog plana, te usvajanja stečajnog plana sa svim pripadajućim mjerama tijekom jeseni 2018. godine, što je preduvjet za održavanje postojeće radijske koncesije.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rPr>
          <w:rFonts w:cs="Tahoma" w:eastAsia="Times New Roman" w:hAnsi="Tahoma" w:ascii="Tahoma"/>
          <w:b/>
          <w:iCs/>
          <w:sz w:val="28"/>
          <w:szCs w:val="28"/>
          <w:lang w:eastAsia="hr-HR"/>
        </w:rPr>
      </w:pPr>
      <w:bookmarkStart w:name="_Toc508192478" w:id="45"/>
      <w:bookmarkStart w:name="_Toc514765963" w:id="46"/>
      <w:r w:rsidRPr="002A01A2">
        <w:rPr>
          <w:rFonts w:cs="Tahoma" w:eastAsia="Times New Roman" w:hAnsi="Tahoma" w:ascii="Tahoma"/>
          <w:b/>
          <w:bCs/>
          <w:iCs/>
          <w:sz w:val="28"/>
          <w:szCs w:val="28"/>
          <w:lang w:eastAsia="hr-HR"/>
        </w:rPr>
        <w:t>Usporedba pravnog položaja vjerovnika uz primjenu sanacijskog modela prema stečajnom planu u  odnosu na redovni zakonski model stečajnog postupka</w:t>
      </w:r>
      <w:bookmarkEnd w:id="45"/>
      <w:bookmarkEnd w:id="46"/>
    </w:p>
    <w:p w:rsidRDefault="002A01A2" w:rsidP="002A01A2" w:rsidR="002A01A2" w:rsidRPr="002A01A2">
      <w:pPr>
        <w:spacing w:lineRule="auto" w:line="240" w:after="0"/>
        <w:jc w:val="both"/>
        <w:rPr>
          <w:rFonts w:cs="Tahoma" w:eastAsia="Times New Roman" w:hAnsi="Tahoma" w:ascii="Tahoma"/>
          <w:b/>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Naprijed u ovoj pripremnoj osnovi navedeno je, da stečajni dužnik ima sve uvjete za nastavak poslovanja na osnovama ovoga Stečajnoga plana, a što se potvrdilo i njegovim uspješnim poslovanjem u uvjetima stečajnog postupka. Poslovanje stečajnog dužnika, a što u ovome slučaju znači i emitiranje radijskog programa, nije niti u jednom trenutku bilo u prekidu, a podaci o slušanosti kao i podaci o pokrivenosti troškovima poslovanja prihodima od marketinga i drugih usluga pokazuju, da je stečajni dužnik poslovno sposoban za oporavak i nastavak poslovanja na profitabilnim osnovama.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S druge strane, u ovoj Pripremnoj osnovi prikazana je vrijednost preostale imovine stečajnoga dužnika, koja, za slučaj primjene likvidacijskog modela stečajnog postupka, koji podrazumijeva unovčenje imovine i ravnomjerno (skupno) namirenje vjerovnika, ne bi tim vjerovnicima omogućila namirenje u vrijednosti višoj od 2,1% njihovih utvrđenih </w:t>
      </w:r>
      <w:r w:rsidRPr="002A01A2">
        <w:rPr>
          <w:rFonts w:cs="Tahoma" w:eastAsia="Times New Roman" w:hAnsi="Tahoma" w:ascii="Tahoma"/>
          <w:bCs/>
          <w:iCs/>
          <w:lang w:eastAsia="hr-HR"/>
        </w:rPr>
        <w:lastRenderedPageBreak/>
        <w:t>tražbina, a za slučaj, da sve osporene tražbine naknadno budu utvrđene, tada bi se vrijednost namirenja spustila ispod jedan posto utvrđenih tražbina.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U takvim je okolnostima razumno zaključiti, da ovim stečajnim planom ponuđeno novčano namirenje svim vjerovnicima, osim onih koji su spremni unijeti ulog u temeljni kapital, u vrijednosti od 10% utvrđenih tražbina, predstavlja znatno povoljnije namirenje, lišeno neizvjesnosti, jer je ovim Stečajnim planom isplata ostatka tražbina predviđenih za novčano namirenje predviđena kao jednokratna isplata, u razumnom roku u odnosu na dan pravomoćnosti rješenja o potvrdi stečajnog plana.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Prema tome, ovaj Stečajni plan je podloga za znatno povoljnije namirenje vjerovnika u odnosu na namirenje koje bi ti isti vjerovnici ostvarili u uvjetima likvidacijskog modela.</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right"/>
        <w:rPr>
          <w:rFonts w:cs="Tahoma" w:eastAsia="Times New Roman" w:hAnsi="Tahoma" w:ascii="Tahoma"/>
          <w:b/>
          <w:lang w:eastAsia="hr-HR"/>
        </w:rPr>
      </w:pPr>
      <w:r w:rsidRPr="002A01A2">
        <w:rPr>
          <w:rFonts w:cs="Tahoma" w:eastAsia="Times New Roman" w:hAnsi="Tahoma" w:ascii="Tahoma"/>
          <w:b/>
          <w:lang w:eastAsia="hr-HR"/>
        </w:rPr>
        <w:t>Stečajni upravitelj:</w:t>
      </w:r>
    </w:p>
    <w:p w:rsidRDefault="002A01A2" w:rsidP="002A01A2" w:rsidR="002A01A2" w:rsidRPr="002A01A2">
      <w:pPr>
        <w:spacing w:lineRule="auto" w:line="240" w:after="0"/>
        <w:jc w:val="right"/>
        <w:rPr>
          <w:rFonts w:cs="Tahoma" w:eastAsia="Times New Roman" w:hAnsi="Tahoma" w:ascii="Tahoma"/>
          <w:b/>
          <w:lang w:eastAsia="hr-HR"/>
        </w:rPr>
      </w:pPr>
      <w:r w:rsidRPr="002A01A2">
        <w:rPr>
          <w:rFonts w:cs="Tahoma" w:eastAsia="Times New Roman" w:hAnsi="Tahoma" w:ascii="Tahoma"/>
          <w:b/>
          <w:lang w:eastAsia="hr-HR"/>
        </w:rPr>
        <w:t>Nenad Homar</w:t>
      </w:r>
    </w:p>
    <w:p w:rsidRDefault="002A01A2" w:rsidP="002A01A2" w:rsidR="002A01A2" w:rsidRPr="002A01A2">
      <w:pPr>
        <w:spacing w:lineRule="auto" w:line="240" w:after="0"/>
        <w:jc w:val="right"/>
        <w:rPr>
          <w:rFonts w:cs="Tahoma" w:eastAsia="Times New Roman" w:hAnsi="Tahoma" w:ascii="Tahoma"/>
          <w:b/>
          <w:lang w:eastAsia="hr-HR"/>
        </w:rPr>
      </w:pPr>
    </w:p>
    <w:p w:rsidRDefault="002A01A2" w:rsidP="002A01A2" w:rsidR="002A01A2" w:rsidRPr="002A01A2">
      <w:pPr>
        <w:spacing w:lineRule="auto" w:line="240" w:after="0"/>
        <w:jc w:val="both"/>
        <w:rPr>
          <w:rFonts w:cs="Tahoma" w:eastAsia="Times New Roman" w:hAnsi="Tahoma" w:ascii="Tahoma"/>
          <w:b/>
          <w:bCs/>
          <w:iCs/>
          <w:lang w:eastAsia="hr-HR"/>
        </w:rPr>
      </w:pPr>
      <w:r w:rsidRPr="002A01A2">
        <w:rPr>
          <w:rFonts w:cs="Tahoma" w:eastAsia="Times New Roman" w:hAnsi="Tahoma" w:ascii="Tahoma"/>
          <w:b/>
          <w:bCs/>
          <w:iCs/>
          <w:lang w:eastAsia="hr-HR"/>
        </w:rPr>
        <w:t>Prilozi uz pripremnu osnovu:</w:t>
      </w: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1. Poslovni plan</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rPr>
          <w:rFonts w:cs="Times New Roman" w:eastAsia="Times New Roman" w:hAnsi="Tahoma" w:ascii="Tahoma"/>
          <w:b/>
          <w:lang w:eastAsia="hr-HR"/>
        </w:rPr>
      </w:pPr>
    </w:p>
    <w:p w:rsidRDefault="002A01A2" w:rsidP="002A01A2" w:rsidR="002A01A2" w:rsidRPr="002A01A2">
      <w:pPr>
        <w:spacing w:lineRule="auto" w:line="240" w:after="0"/>
        <w:rPr>
          <w:rFonts w:cs="Times New Roman" w:eastAsia="Times New Roman" w:hAnsi="Tahoma" w:ascii="Tahoma"/>
          <w:lang w:eastAsia="hr-HR"/>
        </w:rPr>
      </w:pPr>
    </w:p>
    <w:p w:rsidRDefault="002A01A2" w:rsidR="002A01A2"/>
    <w:p w:rsidRDefault="002A01A2" w:rsidR="002A01A2"/>
    <w:p w:rsidRDefault="002A01A2" w:rsidR="002A01A2"/>
    <w:p w:rsidRDefault="002A01A2" w:rsidR="002A01A2"/>
    <w:p w:rsidRDefault="002A01A2" w:rsidR="002A01A2"/>
    <w:p w:rsidRDefault="002A01A2" w:rsidR="002A01A2"/>
    <w:p w:rsidRDefault="002A01A2" w:rsidR="002A01A2"/>
    <w:p w:rsidRDefault="000E5076" w:rsidR="000E5076"/>
    <w:p w:rsidRDefault="000E5076" w:rsidR="000E5076"/>
    <w:p w:rsidRDefault="002A01A2" w:rsidR="002A01A2"/>
    <w:p w:rsidRDefault="002A01A2" w:rsidR="002A01A2"/>
    <w:p w:rsidRDefault="002A01A2" w:rsidR="002A01A2"/>
    <w:p w:rsidRDefault="002A01A2" w:rsidR="002A01A2"/>
    <w:p w:rsidRDefault="002A01A2" w:rsidR="002A01A2"/>
    <w:p w:rsidRDefault="002A01A2" w:rsidP="002A01A2" w:rsidR="002A01A2" w:rsidRPr="002A01A2">
      <w:pPr>
        <w:tabs>
          <w:tab w:pos="1932" w:val="left"/>
          <w:tab w:pos="4393" w:val="center"/>
        </w:tabs>
        <w:spacing w:lineRule="auto" w:line="240" w:after="0"/>
        <w:rPr>
          <w:rFonts w:cs="Times New Roman" w:eastAsia="Times New Roman" w:hAnsi="Tahoma" w:ascii="Tahoma"/>
          <w:b/>
          <w:lang w:eastAsia="hr-HR"/>
        </w:rPr>
      </w:pPr>
    </w:p>
    <w:p w:rsidRDefault="002A01A2" w:rsidP="002A01A2" w:rsidR="002A01A2" w:rsidRPr="002A01A2">
      <w:pPr>
        <w:spacing w:lineRule="auto" w:line="240" w:after="0"/>
        <w:jc w:val="center"/>
        <w:rPr>
          <w:rFonts w:cs="Times New Roman" w:eastAsia="Times New Roman" w:hAnsi="Tahoma" w:ascii="Tahoma"/>
          <w:b/>
          <w:lang w:eastAsia="hr-HR"/>
        </w:rPr>
      </w:pPr>
    </w:p>
    <w:p w:rsidRDefault="002A01A2" w:rsidP="002A01A2" w:rsidR="002A01A2" w:rsidRPr="002A01A2">
      <w:pPr>
        <w:spacing w:lineRule="auto" w:line="240" w:after="0"/>
        <w:rPr>
          <w:rFonts w:cs="Tahoma" w:hAnsi="Tahoma" w:ascii="Tahoma"/>
          <w:b/>
          <w:noProof/>
          <w:sz w:val="24"/>
          <w:szCs w:val="24"/>
        </w:rPr>
      </w:pPr>
      <w:r w:rsidRPr="002A01A2">
        <w:rPr>
          <w:rFonts w:cs="Tahoma" w:hAnsi="Tahoma" w:ascii="Tahoma"/>
          <w:b/>
          <w:noProof/>
          <w:sz w:val="24"/>
          <w:szCs w:val="24"/>
        </w:rPr>
        <w:t>INFORMATIVNI CENTAR BJELOVAR d.o.o. u stečaju</w:t>
      </w:r>
    </w:p>
    <w:p w:rsidRDefault="002A01A2" w:rsidP="002A01A2" w:rsidR="002A01A2" w:rsidRPr="002A01A2">
      <w:pPr>
        <w:spacing w:lineRule="auto" w:line="240" w:after="0"/>
        <w:rPr>
          <w:rFonts w:cs="Tahoma" w:hAnsi="Tahoma" w:ascii="Tahoma"/>
          <w:noProof/>
          <w:sz w:val="24"/>
          <w:szCs w:val="24"/>
        </w:rPr>
      </w:pPr>
      <w:r w:rsidRPr="002A01A2">
        <w:rPr>
          <w:rFonts w:cs="Tahoma" w:hAnsi="Tahoma" w:ascii="Tahoma"/>
          <w:noProof/>
          <w:sz w:val="24"/>
          <w:szCs w:val="24"/>
        </w:rPr>
        <w:t xml:space="preserve"> Bjelovar, Trg Eugena Kvaternika bb</w:t>
      </w: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STEČAJNI PLAN</w:t>
      </w: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za stečajnog dužnika</w:t>
      </w: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 xml:space="preserve"> INFORMATIVNI CENTAR BJELOVAR d.o.o. u stečaju</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PROVEDBENA OSNOVA</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 xml:space="preserve"> </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Bjelovar,  28. svibnja 2018. godine</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r w:rsidRPr="002A01A2">
        <w:rPr>
          <w:rFonts w:cs="Tahoma" w:hAnsi="Tahoma" w:ascii="Tahoma"/>
          <w:b/>
          <w:noProof/>
          <w:sz w:val="40"/>
          <w:szCs w:val="40"/>
        </w:rPr>
        <w:t xml:space="preserve"> </w:t>
      </w: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pPr>
    </w:p>
    <w:p w:rsidRDefault="002A01A2" w:rsidP="00DC3997" w:rsidR="002A01A2" w:rsidRPr="002A01A2">
      <w:pPr>
        <w:numPr>
          <w:ilvl w:val="0"/>
          <w:numId w:val="17"/>
        </w:numPr>
        <w:tabs>
          <w:tab w:pos="440" w:val="left"/>
          <w:tab w:pos="8777" w:leader="dot" w:val="right"/>
        </w:tabs>
        <w:spacing w:lineRule="auto" w:line="240" w:after="100"/>
        <w:ind w:firstLine="0" w:left="0"/>
        <w:jc w:val="center"/>
        <w:rPr>
          <w:rFonts w:cs="Times New Roman" w:hAnsi="Tahoma" w:ascii="Tahoma"/>
          <w:b/>
          <w:noProof/>
        </w:rPr>
        <w:sectPr w:rsidSect="002A01A2" w:rsidR="002A01A2" w:rsidRPr="002A01A2">
          <w:headerReference w:type="default" r:id="rId12"/>
          <w:footerReference w:type="default" r:id="rId13"/>
          <w:headerReference w:type="first" r:id="rId14"/>
          <w:footerReference w:type="first" r:id="rId15"/>
          <w:pgSz w:h="16838" w:w="11906"/>
          <w:pgMar w:gutter="0" w:footer="409" w:header="709" w:left="1701" w:bottom="1418" w:right="1418" w:top="136"/>
          <w:cols w:space="708"/>
          <w:titlePg/>
          <w:docGrid w:linePitch="360"/>
        </w:sectPr>
      </w:pPr>
    </w:p>
    <w:p w:rsidRDefault="002A01A2" w:rsidP="00DC3997" w:rsidR="002A01A2" w:rsidRPr="002A01A2">
      <w:pPr>
        <w:numPr>
          <w:ilvl w:val="0"/>
          <w:numId w:val="17"/>
        </w:numPr>
        <w:tabs>
          <w:tab w:pos="440" w:val="left"/>
          <w:tab w:pos="8777" w:leader="dot" w:val="right"/>
        </w:tabs>
        <w:spacing w:lineRule="auto" w:line="240" w:after="100"/>
        <w:ind w:firstLine="0" w:left="0"/>
        <w:jc w:val="center"/>
        <w:rPr>
          <w:rFonts w:cs="Times New Roman" w:hAnsi="Tahoma" w:ascii="Tahoma"/>
          <w:b/>
          <w:noProof/>
        </w:rPr>
      </w:pPr>
    </w:p>
    <w:p w:rsidRDefault="002A01A2" w:rsidP="00DC3997" w:rsidR="002A01A2" w:rsidRPr="002A01A2">
      <w:pPr>
        <w:numPr>
          <w:ilvl w:val="0"/>
          <w:numId w:val="17"/>
        </w:numPr>
        <w:tabs>
          <w:tab w:pos="440" w:val="left"/>
          <w:tab w:pos="8777" w:leader="dot" w:val="right"/>
        </w:tabs>
        <w:spacing w:lineRule="auto" w:line="240" w:after="100"/>
        <w:ind w:firstLine="0" w:left="0"/>
        <w:jc w:val="center"/>
        <w:rPr>
          <w:rFonts w:cs="Times New Roman" w:hAnsi="Tahoma" w:ascii="Tahoma"/>
          <w:b/>
          <w:noProof/>
        </w:rPr>
      </w:pPr>
      <w:r w:rsidRPr="002A01A2">
        <w:rPr>
          <w:rFonts w:cs="Times New Roman" w:hAnsi="Tahoma" w:ascii="Tahoma"/>
          <w:b/>
          <w:noProof/>
        </w:rPr>
        <w:t>SADRŽAJ</w:t>
      </w:r>
    </w:p>
    <w:p w:rsidRDefault="002A01A2" w:rsidP="002A01A2" w:rsidR="002A01A2" w:rsidRPr="002A01A2">
      <w:pPr>
        <w:spacing w:lineRule="auto" w:line="240" w:after="0"/>
        <w:rPr>
          <w:rFonts w:cs="Times New Roman" w:eastAsia="Times New Roman" w:hAnsi="Tahoma" w:ascii="Tahoma"/>
        </w:rPr>
      </w:pPr>
    </w:p>
    <w:p w:rsidRDefault="002A01A2"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r w:rsidRPr="002A01A2">
        <w:rPr>
          <w:rFonts w:cs="Tahoma" w:hAnsi="Tahoma" w:ascii="Tahoma"/>
          <w:noProof/>
          <w:sz w:val="24"/>
          <w:szCs w:val="40"/>
        </w:rPr>
        <w:fldChar w:fldCharType="begin"/>
      </w:r>
      <w:r w:rsidRPr="002A01A2">
        <w:rPr>
          <w:rFonts w:cs="Tahoma" w:hAnsi="Tahoma" w:ascii="Tahoma"/>
          <w:noProof/>
          <w:sz w:val="24"/>
          <w:szCs w:val="40"/>
        </w:rPr>
        <w:instrText xml:space="preserve"> TOC \h \z \t "Poglavlja;1" </w:instrText>
      </w:r>
      <w:r w:rsidRPr="002A01A2">
        <w:rPr>
          <w:rFonts w:cs="Tahoma" w:hAnsi="Tahoma" w:ascii="Tahoma"/>
          <w:noProof/>
          <w:sz w:val="24"/>
          <w:szCs w:val="40"/>
        </w:rPr>
        <w:fldChar w:fldCharType="separate"/>
      </w:r>
      <w:hyperlink w:anchor="_Toc514765808" w:history="true">
        <w:r w:rsidRPr="002A01A2">
          <w:rPr>
            <w:rFonts w:cs="Times New Roman" w:hAnsi="Tahoma" w:ascii="Tahoma"/>
            <w:noProof/>
            <w:color w:val="0000FF"/>
            <w:sz w:val="20"/>
            <w:u w:val="single"/>
          </w:rPr>
          <w:t>1.</w:t>
        </w:r>
        <w:r w:rsidRPr="002A01A2">
          <w:rPr>
            <w:rFonts w:eastAsiaTheme="minorEastAsia"/>
            <w:noProof/>
            <w:sz w:val="20"/>
          </w:rPr>
          <w:tab/>
        </w:r>
        <w:r w:rsidRPr="002A01A2">
          <w:rPr>
            <w:rFonts w:cs="Times New Roman" w:hAnsi="Tahoma" w:ascii="Tahoma"/>
            <w:noProof/>
            <w:color w:val="0000FF"/>
            <w:sz w:val="20"/>
            <w:u w:val="single"/>
          </w:rPr>
          <w:t>Predviđene pravne promjene  položaja dužnika prema skupinama vjerovnika i pojedinim vjerovnicima</w:t>
        </w:r>
        <w:r w:rsidRPr="002A01A2">
          <w:rPr>
            <w:rFonts w:cs="Times New Roman" w:hAnsi="Tahoma" w:ascii="Tahoma"/>
            <w:noProof/>
            <w:webHidden/>
            <w:sz w:val="20"/>
          </w:rPr>
          <w:tab/>
        </w:r>
        <w:r w:rsidRPr="002A01A2">
          <w:rPr>
            <w:rFonts w:cs="Times New Roman" w:hAnsi="Tahoma" w:ascii="Tahoma"/>
            <w:noProof/>
            <w:webHidden/>
            <w:sz w:val="20"/>
          </w:rPr>
          <w:fldChar w:fldCharType="begin"/>
        </w:r>
        <w:r w:rsidRPr="002A01A2">
          <w:rPr>
            <w:rFonts w:cs="Times New Roman" w:hAnsi="Tahoma" w:ascii="Tahoma"/>
            <w:noProof/>
            <w:webHidden/>
            <w:sz w:val="20"/>
          </w:rPr>
          <w:instrText xml:space="preserve"> PAGEREF _Toc514765808 \h </w:instrText>
        </w:r>
        <w:r w:rsidRPr="002A01A2">
          <w:rPr>
            <w:rFonts w:cs="Times New Roman" w:hAnsi="Tahoma" w:ascii="Tahoma"/>
            <w:noProof/>
            <w:webHidden/>
            <w:sz w:val="20"/>
          </w:rPr>
        </w:r>
        <w:r w:rsidRPr="002A01A2">
          <w:rPr>
            <w:rFonts w:cs="Times New Roman" w:hAnsi="Tahoma" w:ascii="Tahoma"/>
            <w:noProof/>
            <w:webHidden/>
            <w:sz w:val="20"/>
          </w:rPr>
          <w:fldChar w:fldCharType="separate"/>
        </w:r>
        <w:r w:rsidRPr="002A01A2">
          <w:rPr>
            <w:rFonts w:cs="Times New Roman" w:hAnsi="Tahoma" w:ascii="Tahoma"/>
            <w:noProof/>
            <w:webHidden/>
            <w:sz w:val="20"/>
          </w:rPr>
          <w:t>1</w:t>
        </w:r>
        <w:r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09" w:history="true">
        <w:r w:rsidR="002A01A2" w:rsidRPr="002A01A2">
          <w:rPr>
            <w:rFonts w:cs="Times New Roman" w:hAnsi="Tahoma" w:ascii="Tahoma"/>
            <w:noProof/>
            <w:color w:val="0000FF"/>
            <w:sz w:val="20"/>
            <w:u w:val="single"/>
          </w:rPr>
          <w:t>2.</w:t>
        </w:r>
        <w:r w:rsidR="002A01A2" w:rsidRPr="002A01A2">
          <w:rPr>
            <w:rFonts w:eastAsiaTheme="minorEastAsia"/>
            <w:noProof/>
            <w:sz w:val="20"/>
          </w:rPr>
          <w:tab/>
        </w:r>
        <w:r w:rsidR="002A01A2" w:rsidRPr="002A01A2">
          <w:rPr>
            <w:rFonts w:cs="Times New Roman" w:hAnsi="Tahoma" w:ascii="Tahoma"/>
            <w:noProof/>
            <w:color w:val="0000FF"/>
            <w:sz w:val="20"/>
            <w:u w:val="single"/>
          </w:rPr>
          <w:t>Predviđene pravne promjene položaja dužnika prema  stečajnim vjerovnicima drugog višeg isplatnog reda s utvrđenim tražbinama</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_Toc514765809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1</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0" w:history="true">
        <w:r w:rsidR="002A01A2" w:rsidRPr="002A01A2">
          <w:rPr>
            <w:rFonts w:cs="Times New Roman" w:hAnsi="Tahoma" w:ascii="Tahoma"/>
            <w:noProof/>
            <w:color w:val="0000FF"/>
            <w:sz w:val="20"/>
            <w:u w:val="single"/>
          </w:rPr>
          <w:t>3.</w:t>
        </w:r>
        <w:r w:rsidR="002A01A2" w:rsidRPr="002A01A2">
          <w:rPr>
            <w:rFonts w:eastAsiaTheme="minorEastAsia"/>
            <w:noProof/>
            <w:sz w:val="20"/>
          </w:rPr>
          <w:tab/>
        </w:r>
        <w:r w:rsidR="002A01A2" w:rsidRPr="002A01A2">
          <w:rPr>
            <w:rFonts w:cs="Times New Roman" w:hAnsi="Tahoma" w:ascii="Tahoma"/>
            <w:noProof/>
            <w:color w:val="0000FF"/>
            <w:sz w:val="20"/>
            <w:u w:val="single"/>
          </w:rPr>
          <w:t>Predviđene pravne promjene položaja dužnika prema stečajnim vjerovnicima   drugog višeg isplatnog reda s osporenim tražbinama</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_Toc514765810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3</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1" w:history="true">
        <w:r w:rsidR="002A01A2" w:rsidRPr="002A01A2">
          <w:rPr>
            <w:rFonts w:cs="Times New Roman" w:hAnsi="Tahoma" w:ascii="Tahoma"/>
            <w:noProof/>
            <w:color w:val="0000FF"/>
            <w:sz w:val="20"/>
            <w:u w:val="single"/>
          </w:rPr>
          <w:t>4.</w:t>
        </w:r>
        <w:r w:rsidR="002A01A2" w:rsidRPr="002A01A2">
          <w:rPr>
            <w:rFonts w:eastAsiaTheme="minorEastAsia"/>
            <w:noProof/>
            <w:sz w:val="20"/>
          </w:rPr>
          <w:tab/>
        </w:r>
        <w:r w:rsidR="002A01A2" w:rsidRPr="002A01A2">
          <w:rPr>
            <w:rFonts w:cs="Times New Roman" w:hAnsi="Tahoma" w:ascii="Tahoma"/>
            <w:noProof/>
            <w:color w:val="0000FF"/>
            <w:sz w:val="20"/>
            <w:u w:val="single"/>
          </w:rPr>
          <w:t>Mjere sanacije stečajnog dužnika – radnje i odluke stečajnog upravitelja, izjave vjerovnika i ugovori</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_Toc514765811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4</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3" w:history="true">
        <w:r w:rsidR="002A01A2" w:rsidRPr="002A01A2">
          <w:rPr>
            <w:rFonts w:cs="Times New Roman" w:hAnsi="Tahoma" w:ascii="Tahoma"/>
            <w:noProof/>
            <w:color w:val="0000FF"/>
            <w:sz w:val="20"/>
            <w:u w:val="single"/>
          </w:rPr>
          <w:t>5.</w:t>
        </w:r>
        <w:r w:rsidR="002A01A2" w:rsidRPr="002A01A2">
          <w:rPr>
            <w:rFonts w:eastAsiaTheme="minorEastAsia"/>
            <w:noProof/>
            <w:sz w:val="20"/>
          </w:rPr>
          <w:tab/>
        </w:r>
        <w:r w:rsidR="002A01A2" w:rsidRPr="002A01A2">
          <w:rPr>
            <w:rFonts w:cs="Times New Roman" w:hAnsi="Tahoma" w:ascii="Tahoma"/>
            <w:noProof/>
            <w:color w:val="0000FF"/>
            <w:sz w:val="20"/>
            <w:u w:val="single"/>
          </w:rPr>
          <w:t>Razvrstavanje sudionika u stečajnom planu</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_Toc514765813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8</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4" w:history="true">
        <w:r w:rsidR="002A01A2" w:rsidRPr="002A01A2">
          <w:rPr>
            <w:rFonts w:cs="Times New Roman" w:hAnsi="Tahoma" w:ascii="Tahoma"/>
            <w:noProof/>
            <w:color w:val="0000FF"/>
            <w:sz w:val="20"/>
            <w:u w:val="single"/>
          </w:rPr>
          <w:t>6.</w:t>
        </w:r>
        <w:r w:rsidR="002A01A2" w:rsidRPr="002A01A2">
          <w:rPr>
            <w:rFonts w:eastAsiaTheme="minorEastAsia"/>
            <w:noProof/>
            <w:sz w:val="20"/>
          </w:rPr>
          <w:tab/>
        </w:r>
        <w:r w:rsidR="002A01A2" w:rsidRPr="002A01A2">
          <w:rPr>
            <w:rFonts w:cs="Times New Roman" w:hAnsi="Tahoma" w:ascii="Tahoma"/>
            <w:noProof/>
            <w:color w:val="0000FF"/>
            <w:sz w:val="20"/>
            <w:u w:val="single"/>
          </w:rPr>
          <w:t>Pravo glasa</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_Toc514765814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8</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5" w:history="true">
        <w:r w:rsidR="002A01A2" w:rsidRPr="002A01A2">
          <w:rPr>
            <w:rFonts w:cs="Times New Roman" w:hAnsi="Tahoma" w:ascii="Tahoma"/>
            <w:noProof/>
            <w:color w:val="0000FF"/>
            <w:sz w:val="20"/>
            <w:u w:val="single"/>
          </w:rPr>
          <w:t>7.</w:t>
        </w:r>
        <w:r w:rsidR="002A01A2" w:rsidRPr="002A01A2">
          <w:rPr>
            <w:rFonts w:eastAsiaTheme="minorEastAsia"/>
            <w:noProof/>
            <w:sz w:val="20"/>
          </w:rPr>
          <w:tab/>
        </w:r>
        <w:r w:rsidR="002A01A2" w:rsidRPr="002A01A2">
          <w:rPr>
            <w:rFonts w:cs="Times New Roman" w:hAnsi="Tahoma" w:ascii="Tahoma"/>
            <w:noProof/>
            <w:color w:val="0000FF"/>
            <w:sz w:val="20"/>
            <w:u w:val="single"/>
          </w:rPr>
          <w:t>Postupak – ročišta i rješenja</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_Toc514765815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9</w:t>
        </w:r>
        <w:r w:rsidR="002A01A2" w:rsidRPr="002A01A2">
          <w:rPr>
            <w:rFonts w:cs="Times New Roman" w:hAnsi="Tahoma" w:ascii="Tahoma"/>
            <w:noProof/>
            <w:webHidden/>
            <w:sz w:val="20"/>
          </w:rPr>
          <w:fldChar w:fldCharType="end"/>
        </w:r>
      </w:hyperlink>
    </w:p>
    <w:p w:rsidRDefault="005002CA" w:rsidP="00DC3997" w:rsidR="002A01A2" w:rsidRPr="002A01A2">
      <w:pPr>
        <w:numPr>
          <w:ilvl w:val="0"/>
          <w:numId w:val="17"/>
        </w:numPr>
        <w:tabs>
          <w:tab w:pos="440" w:val="left"/>
          <w:tab w:pos="8777" w:leader="dot" w:val="right"/>
        </w:tabs>
        <w:spacing w:lineRule="auto" w:line="240" w:after="100"/>
        <w:ind w:firstLine="0" w:left="0"/>
        <w:jc w:val="both"/>
        <w:rPr>
          <w:rFonts w:eastAsiaTheme="minorEastAsia"/>
          <w:noProof/>
          <w:sz w:val="20"/>
        </w:rPr>
      </w:pPr>
      <w:hyperlink w:anchor="_Toc514765816" w:history="true">
        <w:r w:rsidR="002A01A2" w:rsidRPr="002A01A2">
          <w:rPr>
            <w:rFonts w:cs="Times New Roman" w:hAnsi="Tahoma" w:ascii="Tahoma"/>
            <w:noProof/>
            <w:color w:val="0000FF"/>
            <w:sz w:val="20"/>
            <w:u w:val="single"/>
          </w:rPr>
          <w:t>8.</w:t>
        </w:r>
        <w:r w:rsidR="002A01A2" w:rsidRPr="002A01A2">
          <w:rPr>
            <w:rFonts w:eastAsiaTheme="minorEastAsia"/>
            <w:noProof/>
            <w:sz w:val="20"/>
          </w:rPr>
          <w:tab/>
        </w:r>
        <w:r w:rsidR="002A01A2" w:rsidRPr="002A01A2">
          <w:rPr>
            <w:rFonts w:cs="Times New Roman" w:hAnsi="Tahoma" w:ascii="Tahoma"/>
            <w:noProof/>
            <w:color w:val="0000FF"/>
            <w:sz w:val="20"/>
            <w:u w:val="single"/>
          </w:rPr>
          <w:t>Prijedlog stečajnom sucu za donošenje rješenja o potvrdi stečajnog plana s prijedlogom teksta izreke rješenja</w:t>
        </w:r>
        <w:r w:rsidR="002A01A2" w:rsidRPr="002A01A2">
          <w:rPr>
            <w:rFonts w:cs="Times New Roman" w:hAnsi="Tahoma" w:ascii="Tahoma"/>
            <w:noProof/>
            <w:webHidden/>
            <w:sz w:val="20"/>
          </w:rPr>
          <w:tab/>
        </w:r>
        <w:r w:rsidR="002A01A2" w:rsidRPr="002A01A2">
          <w:rPr>
            <w:rFonts w:cs="Times New Roman" w:hAnsi="Tahoma" w:ascii="Tahoma"/>
            <w:noProof/>
            <w:webHidden/>
            <w:sz w:val="20"/>
          </w:rPr>
          <w:fldChar w:fldCharType="begin"/>
        </w:r>
        <w:r w:rsidR="002A01A2" w:rsidRPr="002A01A2">
          <w:rPr>
            <w:rFonts w:cs="Times New Roman" w:hAnsi="Tahoma" w:ascii="Tahoma"/>
            <w:noProof/>
            <w:webHidden/>
            <w:sz w:val="20"/>
          </w:rPr>
          <w:instrText xml:space="preserve"> PAGEREF _Toc514765816 \h </w:instrText>
        </w:r>
        <w:r w:rsidR="002A01A2" w:rsidRPr="002A01A2">
          <w:rPr>
            <w:rFonts w:cs="Times New Roman" w:hAnsi="Tahoma" w:ascii="Tahoma"/>
            <w:noProof/>
            <w:webHidden/>
            <w:sz w:val="20"/>
          </w:rPr>
        </w:r>
        <w:r w:rsidR="002A01A2" w:rsidRPr="002A01A2">
          <w:rPr>
            <w:rFonts w:cs="Times New Roman" w:hAnsi="Tahoma" w:ascii="Tahoma"/>
            <w:noProof/>
            <w:webHidden/>
            <w:sz w:val="20"/>
          </w:rPr>
          <w:fldChar w:fldCharType="separate"/>
        </w:r>
        <w:r w:rsidR="002A01A2" w:rsidRPr="002A01A2">
          <w:rPr>
            <w:rFonts w:cs="Times New Roman" w:hAnsi="Tahoma" w:ascii="Tahoma"/>
            <w:noProof/>
            <w:webHidden/>
            <w:sz w:val="20"/>
          </w:rPr>
          <w:t>10</w:t>
        </w:r>
        <w:r w:rsidR="002A01A2" w:rsidRPr="002A01A2">
          <w:rPr>
            <w:rFonts w:cs="Times New Roman" w:hAnsi="Tahoma" w:ascii="Tahoma"/>
            <w:noProof/>
            <w:webHidden/>
            <w:sz w:val="20"/>
          </w:rPr>
          <w:fldChar w:fldCharType="end"/>
        </w:r>
      </w:hyperlink>
    </w:p>
    <w:p w:rsidRDefault="002A01A2" w:rsidP="002A01A2" w:rsidR="002A01A2" w:rsidRPr="002A01A2">
      <w:pPr>
        <w:spacing w:lineRule="auto" w:line="240" w:after="0"/>
        <w:jc w:val="both"/>
        <w:rPr>
          <w:rFonts w:cs="Tahoma" w:hAnsi="Tahoma" w:ascii="Tahoma"/>
          <w:noProof/>
          <w:sz w:val="24"/>
          <w:szCs w:val="40"/>
        </w:rPr>
      </w:pPr>
      <w:r w:rsidRPr="002A01A2">
        <w:rPr>
          <w:rFonts w:cs="Tahoma" w:hAnsi="Tahoma" w:ascii="Tahoma"/>
          <w:noProof/>
          <w:sz w:val="24"/>
          <w:szCs w:val="40"/>
        </w:rPr>
        <w:fldChar w:fldCharType="end"/>
      </w:r>
    </w:p>
    <w:p w:rsidRDefault="002A01A2" w:rsidP="002A01A2" w:rsidR="002A01A2" w:rsidRPr="002A01A2">
      <w:pPr>
        <w:spacing w:lineRule="auto" w:line="240" w:after="0"/>
        <w:jc w:val="both"/>
        <w:rPr>
          <w:rFonts w:cs="Tahoma" w:hAnsi="Tahoma" w:ascii="Tahoma"/>
          <w:noProof/>
          <w:sz w:val="24"/>
          <w:szCs w:val="40"/>
        </w:rPr>
      </w:pPr>
      <w:r w:rsidRPr="002A01A2">
        <w:rPr>
          <w:rFonts w:cs="Tahoma" w:hAnsi="Tahoma" w:ascii="Tahoma"/>
          <w:noProof/>
          <w:sz w:val="24"/>
          <w:szCs w:val="40"/>
        </w:rPr>
        <w:t>PRILOZI:</w:t>
      </w:r>
    </w:p>
    <w:p w:rsidRDefault="002A01A2" w:rsidP="002A01A2" w:rsidR="002A01A2" w:rsidRPr="002A01A2">
      <w:pPr>
        <w:spacing w:lineRule="auto" w:line="240" w:after="0"/>
        <w:jc w:val="both"/>
        <w:rPr>
          <w:rFonts w:cs="Tahoma" w:hAnsi="Tahoma" w:ascii="Tahoma"/>
          <w:noProof/>
          <w:sz w:val="24"/>
          <w:szCs w:val="40"/>
        </w:rPr>
      </w:pPr>
    </w:p>
    <w:p w:rsidRDefault="002A01A2" w:rsidP="00DC3997" w:rsidR="002A01A2" w:rsidRPr="002A01A2">
      <w:pPr>
        <w:numPr>
          <w:ilvl w:val="0"/>
          <w:numId w:val="20"/>
        </w:numPr>
        <w:spacing w:lineRule="auto" w:line="240" w:after="0"/>
        <w:contextualSpacing/>
        <w:jc w:val="both"/>
        <w:rPr>
          <w:rFonts w:cs="Tahoma" w:hAnsi="Tahoma" w:ascii="Tahoma"/>
          <w:noProof/>
          <w:sz w:val="20"/>
          <w:szCs w:val="20"/>
        </w:rPr>
      </w:pPr>
      <w:r w:rsidRPr="002A01A2">
        <w:rPr>
          <w:rFonts w:cs="Tahoma" w:hAnsi="Tahoma" w:ascii="Tahoma"/>
          <w:noProof/>
          <w:sz w:val="20"/>
          <w:szCs w:val="20"/>
        </w:rPr>
        <w:t>Prijedlog teksta Odluke o pojednostavljenom smanjenju temeljnog kapitala radi pokrića gubitaka</w:t>
      </w:r>
    </w:p>
    <w:p w:rsidRDefault="002A01A2" w:rsidP="00DC3997" w:rsidR="002A01A2" w:rsidRPr="002A01A2">
      <w:pPr>
        <w:numPr>
          <w:ilvl w:val="0"/>
          <w:numId w:val="20"/>
        </w:numPr>
        <w:spacing w:lineRule="auto" w:line="240" w:after="0"/>
        <w:contextualSpacing/>
        <w:jc w:val="both"/>
        <w:rPr>
          <w:rFonts w:cs="Tahoma" w:hAnsi="Tahoma" w:ascii="Tahoma"/>
          <w:noProof/>
          <w:sz w:val="20"/>
          <w:szCs w:val="20"/>
        </w:rPr>
      </w:pPr>
      <w:r w:rsidRPr="002A01A2">
        <w:rPr>
          <w:rFonts w:cs="Tahoma" w:hAnsi="Tahoma" w:ascii="Tahoma"/>
          <w:noProof/>
          <w:sz w:val="20"/>
          <w:szCs w:val="20"/>
        </w:rPr>
        <w:t>Prijedlog teksta Odluke o povećanju temeljnog kapitala u novcu</w:t>
      </w:r>
    </w:p>
    <w:p w:rsidRDefault="002A01A2" w:rsidP="00DC3997" w:rsidR="002A01A2" w:rsidRPr="002A01A2">
      <w:pPr>
        <w:numPr>
          <w:ilvl w:val="0"/>
          <w:numId w:val="20"/>
        </w:numPr>
        <w:spacing w:lineRule="auto" w:line="240" w:after="0"/>
        <w:contextualSpacing/>
        <w:jc w:val="both"/>
        <w:rPr>
          <w:rFonts w:cs="Tahoma" w:hAnsi="Tahoma" w:ascii="Tahoma"/>
          <w:noProof/>
          <w:sz w:val="20"/>
          <w:szCs w:val="20"/>
        </w:rPr>
      </w:pPr>
      <w:bookmarkStart w:name="_Hlk515011483" w:id="47"/>
      <w:r w:rsidRPr="002A01A2">
        <w:rPr>
          <w:rFonts w:cs="Tahoma" w:hAnsi="Tahoma" w:ascii="Tahoma"/>
          <w:noProof/>
          <w:sz w:val="20"/>
          <w:szCs w:val="20"/>
        </w:rPr>
        <w:t>Izjava stečajnog vjerovnika iz članka 316. st.2. Stečajnog zakona ovjerena od strane stečajnog vjerovnika Roberta Veseljaka</w:t>
      </w:r>
    </w:p>
    <w:bookmarkEnd w:id="47"/>
    <w:p w:rsidRDefault="002A01A2" w:rsidP="00DC3997" w:rsidR="002A01A2" w:rsidRPr="002A01A2">
      <w:pPr>
        <w:numPr>
          <w:ilvl w:val="0"/>
          <w:numId w:val="20"/>
        </w:numPr>
        <w:spacing w:lineRule="auto" w:line="240" w:after="0"/>
        <w:contextualSpacing/>
        <w:rPr>
          <w:rFonts w:cs="Tahoma" w:hAnsi="Tahoma" w:ascii="Tahoma"/>
          <w:noProof/>
          <w:sz w:val="20"/>
          <w:szCs w:val="20"/>
        </w:rPr>
      </w:pPr>
      <w:r w:rsidRPr="002A01A2">
        <w:rPr>
          <w:rFonts w:cs="Tahoma" w:hAnsi="Tahoma" w:ascii="Tahoma"/>
          <w:noProof/>
          <w:sz w:val="20"/>
          <w:szCs w:val="20"/>
        </w:rPr>
        <w:t>Izjava stečajnog vjerovnika iz članka 316. st.2. Stečajnog zakona ovjerena od strane stečajnog vjerovnika Glas Slavonije d.d. Osijek</w:t>
      </w:r>
    </w:p>
    <w:p w:rsidRDefault="002A01A2" w:rsidP="00DC3997" w:rsidR="002A01A2" w:rsidRPr="002A01A2">
      <w:pPr>
        <w:numPr>
          <w:ilvl w:val="0"/>
          <w:numId w:val="20"/>
        </w:numPr>
        <w:spacing w:lineRule="auto" w:line="240" w:after="0"/>
        <w:contextualSpacing/>
        <w:rPr>
          <w:rFonts w:cs="Tahoma" w:hAnsi="Tahoma" w:ascii="Tahoma"/>
          <w:noProof/>
          <w:sz w:val="20"/>
          <w:szCs w:val="20"/>
        </w:rPr>
      </w:pPr>
      <w:r w:rsidRPr="002A01A2">
        <w:rPr>
          <w:rFonts w:cs="Tahoma" w:hAnsi="Tahoma" w:ascii="Tahoma"/>
          <w:noProof/>
          <w:sz w:val="20"/>
          <w:szCs w:val="20"/>
        </w:rPr>
        <w:t>Prijedlog teksta Izjave o preuzimanju poslovnog udjela za stečajnog vjerovnika Roberta Veseljaka</w:t>
      </w:r>
    </w:p>
    <w:p w:rsidRDefault="002A01A2" w:rsidP="00DC3997" w:rsidR="002A01A2" w:rsidRPr="002A01A2">
      <w:pPr>
        <w:numPr>
          <w:ilvl w:val="0"/>
          <w:numId w:val="20"/>
        </w:numPr>
        <w:spacing w:lineRule="auto" w:line="240" w:after="0"/>
        <w:contextualSpacing/>
        <w:rPr>
          <w:rFonts w:cs="Tahoma" w:hAnsi="Tahoma" w:ascii="Tahoma"/>
          <w:noProof/>
          <w:sz w:val="20"/>
          <w:szCs w:val="20"/>
        </w:rPr>
      </w:pPr>
      <w:r w:rsidRPr="002A01A2">
        <w:rPr>
          <w:rFonts w:cs="Tahoma" w:hAnsi="Tahoma" w:ascii="Tahoma"/>
          <w:noProof/>
          <w:sz w:val="20"/>
          <w:szCs w:val="20"/>
        </w:rPr>
        <w:t>Prijedlog teksta Izjave o preuzimanju poslovnog udjela za stečajnog vjerovnika Glas Slavonije d.d. Osijek</w:t>
      </w:r>
    </w:p>
    <w:p w:rsidRDefault="002A01A2" w:rsidP="002A01A2" w:rsidR="002A01A2" w:rsidRPr="002A01A2">
      <w:pPr>
        <w:spacing w:lineRule="auto" w:line="240" w:after="0"/>
        <w:ind w:left="720"/>
        <w:contextualSpacing/>
        <w:jc w:val="both"/>
        <w:rPr>
          <w:rFonts w:cs="Tahoma" w:hAnsi="Tahoma" w:ascii="Tahoma"/>
          <w:noProof/>
          <w:sz w:val="20"/>
          <w:szCs w:val="2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jc w:val="center"/>
        <w:rPr>
          <w:rFonts w:cs="Tahoma" w:hAnsi="Tahoma" w:ascii="Tahoma"/>
          <w:b/>
          <w:noProof/>
          <w:sz w:val="40"/>
          <w:szCs w:val="40"/>
        </w:rPr>
      </w:pPr>
    </w:p>
    <w:p w:rsidRDefault="002A01A2" w:rsidP="002A01A2" w:rsidR="002A01A2" w:rsidRPr="002A01A2">
      <w:pPr>
        <w:spacing w:lineRule="auto" w:line="240" w:after="0"/>
        <w:rPr>
          <w:rFonts w:cs="Tahoma" w:hAnsi="Tahoma" w:ascii="Tahoma"/>
          <w:b/>
          <w:noProof/>
          <w:sz w:val="40"/>
          <w:szCs w:val="40"/>
        </w:rPr>
        <w:sectPr w:rsidSect="002A01A2" w:rsidR="002A01A2" w:rsidRPr="002A01A2">
          <w:pgSz w:h="16838" w:w="11906"/>
          <w:pgMar w:gutter="0" w:footer="409" w:header="709" w:left="1701" w:bottom="1418" w:right="1418" w:top="136"/>
          <w:cols w:space="708"/>
          <w:titlePg/>
          <w:docGrid w:linePitch="360"/>
        </w:sectPr>
      </w:pP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591" w:id="48"/>
      <w:bookmarkStart w:name="_Toc514765808" w:id="49"/>
      <w:r w:rsidRPr="002A01A2">
        <w:rPr>
          <w:rFonts w:cs="Times New Roman" w:eastAsia="Times New Roman" w:hAnsi="Tahoma" w:ascii="Tahoma"/>
          <w:b/>
          <w:sz w:val="28"/>
          <w:szCs w:val="28"/>
          <w:lang w:eastAsia="hr-HR"/>
        </w:rPr>
        <w:t>Predviđene pravne promjene  položaja dužnika prema skupinama vjerovnika i pojedinim vjerovnicima</w:t>
      </w:r>
      <w:bookmarkEnd w:id="48"/>
      <w:bookmarkEnd w:id="49"/>
    </w:p>
    <w:p w:rsidRDefault="002A01A2" w:rsidP="002A01A2" w:rsidR="002A01A2" w:rsidRPr="002A01A2">
      <w:pPr>
        <w:spacing w:lineRule="auto" w:line="240" w:after="0"/>
        <w:ind w:left="360"/>
        <w:jc w:val="both"/>
        <w:rPr>
          <w:rFonts w:cs="Times New Roman" w:eastAsia="Times New Roman" w:hAnsi="Tahoma" w:ascii="Tahoma"/>
          <w:b/>
          <w:sz w:val="28"/>
          <w:szCs w:val="28"/>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Odredbom članka 307. SZ/15 propisano je, da provedbena osnova stečajnoga plana sadržava odredbe o tome, kako će se stečajnim planom izmijeniti pravni položaj dužnika i drugih sudionika u postupku.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Izmjena pravnog položaja dužnika prema njegovim vjerovnicima, i to </w:t>
      </w:r>
      <w:proofErr w:type="spellStart"/>
      <w:r w:rsidRPr="002A01A2">
        <w:rPr>
          <w:rFonts w:cs="Times New Roman" w:eastAsia="Times New Roman" w:hAnsi="Tahoma" w:ascii="Tahoma"/>
          <w:lang w:eastAsia="hr-HR"/>
        </w:rPr>
        <w:t>razlučnim</w:t>
      </w:r>
      <w:proofErr w:type="spellEnd"/>
      <w:r w:rsidRPr="002A01A2">
        <w:rPr>
          <w:rFonts w:cs="Times New Roman" w:eastAsia="Times New Roman" w:hAnsi="Tahoma" w:ascii="Tahoma"/>
          <w:lang w:eastAsia="hr-HR"/>
        </w:rPr>
        <w:t xml:space="preserve"> vjerovnicima, stečajnim vjerovnicima koji nisu nižih isplatnih redova te vjerovnicima stečajne mase na općenit je način uređena pripremnom osnovom ovoga stečajnoga plana, a u nastavku ove provedbene osnove nalaze se odredbe kojima se do pojedinosti razrađuje promjene pravnog položaja stečajnog dužnika prema svakom pojedinom vjerovniku, u odnosu na svaku utvrđenu ili osporenu tražbinu vjerovnika.</w:t>
      </w:r>
    </w:p>
    <w:p w:rsidRDefault="002A01A2" w:rsidP="002A01A2" w:rsidR="002A01A2" w:rsidRPr="002A01A2">
      <w:pPr>
        <w:spacing w:lineRule="auto" w:line="240" w:after="0"/>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 </w:t>
      </w: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14765809" w:id="50"/>
      <w:bookmarkStart w:name="_Toc508186594" w:id="51"/>
      <w:r w:rsidRPr="002A01A2">
        <w:rPr>
          <w:rFonts w:cs="Times New Roman" w:eastAsia="Times New Roman" w:hAnsi="Tahoma" w:ascii="Tahoma"/>
          <w:b/>
          <w:sz w:val="28"/>
          <w:szCs w:val="28"/>
          <w:lang w:eastAsia="hr-HR"/>
        </w:rPr>
        <w:t>Predviđene pravne promjene položaja dužnika prema  stečajnim vjerovnicima drugog višeg isplatnog reda s utvrđenim tražbinama</w:t>
      </w:r>
      <w:bookmarkEnd w:id="50"/>
      <w:r w:rsidRPr="002A01A2">
        <w:rPr>
          <w:rFonts w:cs="Times New Roman" w:eastAsia="Times New Roman" w:hAnsi="Tahoma" w:ascii="Tahoma"/>
          <w:b/>
          <w:sz w:val="28"/>
          <w:szCs w:val="28"/>
          <w:lang w:eastAsia="hr-HR"/>
        </w:rPr>
        <w:t xml:space="preserve"> </w:t>
      </w:r>
      <w:bookmarkEnd w:id="51"/>
      <w:r w:rsidRPr="002A01A2">
        <w:rPr>
          <w:rFonts w:cs="Times New Roman" w:eastAsia="Times New Roman" w:hAnsi="Tahoma" w:ascii="Tahoma"/>
          <w:b/>
          <w:sz w:val="28"/>
          <w:szCs w:val="28"/>
          <w:lang w:eastAsia="hr-HR"/>
        </w:rPr>
        <w:t xml:space="preserve"> </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Pripremnom osnovom stečajnoga plana predviđeno je novčano i nenovčano namirenje stečajnih vjerovnika drugog višeg isplatnog reda s utvrđenim tražbinama, te prestanak (otpis) obveza stečajnog dužnika prema stečajnim vjerovnicima.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Novčano namirenje dijela tražbina stečajnih vjerovnika drugog višeg isplatnog reda s utvrđenim tražbinama </w:t>
      </w:r>
    </w:p>
    <w:p w:rsidRDefault="002A01A2" w:rsidP="002A01A2" w:rsidR="002A01A2" w:rsidRPr="002A01A2">
      <w:pPr>
        <w:spacing w:lineRule="auto" w:line="240" w:after="0"/>
        <w:ind w:left="1146"/>
        <w:contextualSpacing/>
        <w:jc w:val="both"/>
        <w:rPr>
          <w:rFonts w:cs="Times New Roman"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Namirenje stečajnih vjerovnika drugog višeg isplatnog reda u novcu bit će izvršeno iz sredstava stečajne mase, najkasnije 180-tog dana od dana pravomoćnosti rješenja Trgovačkog suda u Bjelovaru o potvrdi Stečajnoga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Za namirenje u novcu utvrđenih tražbina stečajnih vjerovnika drugog višeg isplatnog reda predviđen je iznos od sveukupno </w:t>
      </w:r>
      <w:r w:rsidRPr="002A01A2">
        <w:rPr>
          <w:rFonts w:cs="Tahoma" w:eastAsia="Times New Roman" w:hAnsi="Tahoma" w:ascii="Tahoma"/>
          <w:b/>
          <w:bCs/>
          <w:iCs/>
          <w:lang w:eastAsia="hr-HR"/>
        </w:rPr>
        <w:t xml:space="preserve">221.721,80 </w:t>
      </w:r>
      <w:r w:rsidRPr="002A01A2">
        <w:rPr>
          <w:rFonts w:cs="Tahoma" w:eastAsia="Times New Roman" w:hAnsi="Tahoma" w:ascii="Tahoma"/>
          <w:bCs/>
          <w:iCs/>
          <w:lang w:eastAsia="hr-HR"/>
        </w:rPr>
        <w:t xml:space="preserve">kuna, što je odgovarajuće iznosu od </w:t>
      </w:r>
      <w:r w:rsidRPr="002A01A2">
        <w:rPr>
          <w:rFonts w:cs="Tahoma" w:eastAsia="Times New Roman" w:hAnsi="Tahoma" w:ascii="Tahoma"/>
          <w:b/>
          <w:bCs/>
          <w:iCs/>
          <w:lang w:eastAsia="hr-HR"/>
        </w:rPr>
        <w:t xml:space="preserve">10%  </w:t>
      </w:r>
      <w:r w:rsidRPr="002A01A2">
        <w:rPr>
          <w:rFonts w:cs="Tahoma" w:eastAsia="Times New Roman" w:hAnsi="Tahoma" w:ascii="Tahoma"/>
          <w:bCs/>
          <w:iCs/>
          <w:lang w:eastAsia="hr-HR"/>
        </w:rPr>
        <w:t xml:space="preserve"> utvrđene tražbine svakoga od stečajnih vjerovnika toga isplatnoga reda s utvrđenom tražbinom.</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Iz isplate tražbina u naprijed navedenom dijelu izuzeti su stečajni vjerovnici Glas Slavonije d.d. i Robert Veseljak, koji vjerovnici će dio svojih tražbina jednak vrijednosti 10% utvrđene tražbine namiriti nenovčanim namirenjem, unosom u temeljni kapital društva stečajnog dužnika, radi stjecanja poslovnih udjela u društvu </w:t>
      </w:r>
      <w:proofErr w:type="spellStart"/>
      <w:r w:rsidRPr="002A01A2">
        <w:rPr>
          <w:rFonts w:cs="Tahoma" w:eastAsia="Times New Roman" w:hAnsi="Tahoma" w:ascii="Tahoma"/>
          <w:bCs/>
          <w:iCs/>
          <w:lang w:eastAsia="hr-HR"/>
        </w:rPr>
        <w:t>sljednika</w:t>
      </w:r>
      <w:proofErr w:type="spellEnd"/>
      <w:r w:rsidRPr="002A01A2">
        <w:rPr>
          <w:rFonts w:cs="Tahoma" w:eastAsia="Times New Roman" w:hAnsi="Tahoma" w:ascii="Tahoma"/>
          <w:bCs/>
          <w:iCs/>
          <w:lang w:eastAsia="hr-HR"/>
        </w:rPr>
        <w:t xml:space="preserve"> stečajnog dužnika.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Ostatak utvrđenih tražbina stečajnih vjerovnika drugog višeg isplatnog neće se namirivati, jer je Pripremnom osnovom Stečajnoga plana utvrđena primjena mjere smanjenja (otpisa) obveza stečajnog dužnika prema stečajnim vjerovnicima, u visini od 90% utvrđene tražbine.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Pojedinačno, stečajnim vjerovnici drugog višeg isplatnog reda bit će smanjene tražbine prema stečajnom dužniku i novčano namiren ostatak tražbina, kako slijedi:</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contextualSpacing/>
        <w:jc w:val="center"/>
        <w:rPr>
          <w:rFonts w:cs="Tahoma" w:eastAsia="Times New Roman" w:hAnsi="Tahoma" w:ascii="Tahoma"/>
          <w:b/>
          <w:iCs/>
          <w:lang w:eastAsia="hr-HR"/>
        </w:rPr>
      </w:pPr>
      <w:r w:rsidRPr="002A01A2">
        <w:rPr>
          <w:rFonts w:cs="Tahoma" w:eastAsia="Times New Roman" w:hAnsi="Tahoma" w:ascii="Tahoma"/>
          <w:b/>
          <w:iCs/>
          <w:lang w:eastAsia="hr-HR"/>
        </w:rPr>
        <w:t>TABLICA 1.</w:t>
      </w:r>
    </w:p>
    <w:p w:rsidRDefault="002A01A2" w:rsidP="002A01A2" w:rsidR="002A01A2" w:rsidRPr="002A01A2">
      <w:pPr>
        <w:spacing w:lineRule="auto" w:line="240" w:after="0"/>
        <w:contextualSpacing/>
        <w:jc w:val="center"/>
        <w:rPr>
          <w:rFonts w:cs="Tahoma" w:eastAsia="Times New Roman" w:hAnsi="Tahoma" w:ascii="Tahoma"/>
          <w:b/>
          <w:iCs/>
          <w:lang w:eastAsia="hr-HR"/>
        </w:rPr>
      </w:pPr>
      <w:r w:rsidRPr="002A01A2">
        <w:rPr>
          <w:rFonts w:cs="Tahoma" w:eastAsia="Times New Roman" w:hAnsi="Tahoma" w:ascii="Tahoma"/>
          <w:b/>
          <w:iCs/>
          <w:lang w:eastAsia="hr-HR"/>
        </w:rPr>
        <w:t>Smanjenje obveza i namirenje vjerovnika</w:t>
      </w:r>
    </w:p>
    <w:tbl>
      <w:tblPr>
        <w:tblStyle w:val="Reetkatablice2"/>
        <w:tblW w:type="auto" w:w="0"/>
        <w:tblLayout w:type="fixed"/>
        <w:tblLook w:val="04A0" w:noVBand="1" w:noHBand="0" w:lastColumn="0" w:firstColumn="1" w:lastRow="0" w:firstRow="1"/>
      </w:tblPr>
      <w:tblGrid>
        <w:gridCol w:w="3085"/>
        <w:gridCol w:w="1559"/>
        <w:gridCol w:w="1604"/>
        <w:gridCol w:w="1646"/>
        <w:gridCol w:w="1394"/>
      </w:tblGrid>
      <w:tr w:rsidTr="002A01A2" w:rsidR="002A01A2" w:rsidRPr="002A01A2">
        <w:trPr>
          <w:trHeight w:val="564"/>
        </w:trPr>
        <w:tc>
          <w:tcPr>
            <w:tcW w:type="dxa" w:w="3085"/>
            <w:tcBorders>
              <w:righ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STEČAJNI VJEROVNIK</w:t>
            </w:r>
          </w:p>
        </w:tc>
        <w:tc>
          <w:tcPr>
            <w:tcW w:type="dxa" w:w="155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OIB</w:t>
            </w:r>
          </w:p>
        </w:tc>
        <w:tc>
          <w:tcPr>
            <w:tcW w:type="dxa" w:w="1604"/>
            <w:tcBorders>
              <w:left w:space="0" w:sz="4" w:color="auto" w:val="single"/>
            </w:tcBorders>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UTVRĐENA TRAŽBINA</w:t>
            </w:r>
          </w:p>
        </w:tc>
        <w:tc>
          <w:tcPr>
            <w:tcW w:type="dxa" w:w="1646"/>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IZNOS SMANJENJA OBVEZE</w:t>
            </w:r>
          </w:p>
        </w:tc>
        <w:tc>
          <w:tcPr>
            <w:tcW w:type="dxa" w:w="1394"/>
            <w:shd w:themeFillShade="D9" w:themeFill="background1" w:fill="D9D9D9" w:color="auto" w:val="clear"/>
            <w:vAlign w:val="center"/>
            <w:hideMark/>
          </w:tcPr>
          <w:p w:rsidRDefault="002A01A2" w:rsidP="002A01A2" w:rsidR="002A01A2" w:rsidRPr="002A01A2">
            <w:pPr>
              <w:jc w:val="center"/>
              <w:rPr>
                <w:rFonts w:cs="Tahoma" w:hAnsi="Tahoma" w:ascii="Tahoma"/>
                <w:b/>
                <w:noProof/>
                <w:sz w:val="18"/>
                <w:szCs w:val="18"/>
              </w:rPr>
            </w:pPr>
            <w:r w:rsidRPr="002A01A2">
              <w:rPr>
                <w:rFonts w:cs="Tahoma" w:hAnsi="Tahoma" w:ascii="Tahoma"/>
                <w:b/>
                <w:noProof/>
                <w:sz w:val="18"/>
                <w:szCs w:val="18"/>
              </w:rPr>
              <w:t>IZNOS ZA ISPLATU</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HRVATSKE VODE, pravna osoba za upravljanje vodama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28921383001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20.217,36</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18.195,62</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2.021,73</w:t>
            </w:r>
          </w:p>
        </w:tc>
      </w:tr>
      <w:tr w:rsidTr="002A01A2" w:rsidR="002A01A2" w:rsidRPr="002A01A2">
        <w:trPr>
          <w:trHeight w:val="1116"/>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REPUBLIKA HRVATSKA MINISTARSTVO FINANCIJA, Porezna uprava, Područni ured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18683136487</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284.643,26</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256.178,93</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28.464,32</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KOMUNALAC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27962400486</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4.418,35</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3.976,51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441,83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VODNE USLUGE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43307218011</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106,3</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95,67</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10,63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18970641692</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115.139,40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103.625,46</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11.513,94</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IT Jedan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75235737688</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446,13</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401,51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44,61</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ČAZMATRANS PROMET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96107776452</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616,68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555,01</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61,66</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 ZAGREB</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61817894937</w:t>
            </w:r>
          </w:p>
        </w:tc>
        <w:tc>
          <w:tcPr>
            <w:tcW w:type="dxa" w:w="1604"/>
            <w:tcBorders>
              <w:left w:space="0" w:sz="4" w:color="auto" w:val="single"/>
            </w:tcBorders>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79.718,41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71.746,57</w:t>
            </w:r>
          </w:p>
        </w:tc>
        <w:tc>
          <w:tcPr>
            <w:tcW w:type="dxa" w:w="1394"/>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7.971,84</w:t>
            </w:r>
          </w:p>
        </w:tc>
      </w:tr>
      <w:tr w:rsidTr="002A01A2" w:rsidR="002A01A2" w:rsidRPr="002A01A2">
        <w:trPr>
          <w:trHeight w:val="84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HRVATSKA REGULATORNA AGENCIJA ZA MREŽNE DJELATNOSTI</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87950783661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12.807,00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11.526,30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1.280,70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HRVATSKO DRUŠTVO SKLADATELJA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56668956985</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842.984,90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758.686,41</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84.298,49</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AGENCIJA ZA ELEKTRONIČKE MEDIJE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35237547014</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14.537,30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13.083,57</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1.453,73</w:t>
            </w:r>
          </w:p>
        </w:tc>
      </w:tr>
      <w:tr w:rsidTr="002A01A2" w:rsidR="002A01A2" w:rsidRPr="002A01A2">
        <w:trPr>
          <w:trHeight w:val="1168"/>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SUVLASNICI STAMBENE ZGRADE U ZAGREBU, JURJA ŽERJAVIĆA 19, zastupani po: GRADSKO STAMBENO KOMUNALNO PODUZEĆE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3744272526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16.927,32</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15.234,58</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1.692,73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CROATIA OSIGURANJE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26187994862</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1.301,39</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1.171,25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130,13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ERSTE CARD CLUB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85941596441</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1.511,15</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1.360,03</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151,11</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ELEKTROMETAL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45669853088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13.698,28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12.328,45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1.369,83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BJELOVARSKI SAJAM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95270568579</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171.079,58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153.971,62</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17.107,95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ODVJETNICA RUŽICA PILIČIĆ ŠINKO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69036652687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15.500,00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13.950,00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1.550,00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PROENERGY</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63962176928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6.505,79</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5.855,21</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650,57</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MEDIARITAM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95283343666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3.825,00</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3.442,50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382,50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ZAGREBAČKI HOLDING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85584865987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411,51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370,35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41,15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GRADSKA PLINARA ZAGREB OPSKRBA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74364571096</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11.271,51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10.144,36</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1.127,15</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EVENT MASTER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47792707577</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28.948,88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26.053,99</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2.894,90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ROBERT VESELJAK</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67946168060</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4.052.136,61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3.646.922,95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 xml:space="preserve">  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ODAŠILJAČI I VEZE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88150534338</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570.603,01</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513.542,70</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57.060,30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GLAS SLAVONIJE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hAnsi="Tahoma" w:ascii="Tahoma"/>
                <w:noProof/>
                <w:sz w:val="20"/>
                <w:szCs w:val="20"/>
              </w:rPr>
            </w:pPr>
            <w:r w:rsidRPr="002A01A2">
              <w:rPr>
                <w:rFonts w:cs="Tahoma" w:hAnsi="Tahoma" w:ascii="Tahoma"/>
                <w:noProof/>
                <w:sz w:val="20"/>
                <w:szCs w:val="20"/>
              </w:rPr>
              <w:t>87192735882</w:t>
            </w:r>
          </w:p>
        </w:tc>
        <w:tc>
          <w:tcPr>
            <w:tcW w:type="dxa" w:w="1604"/>
            <w:tcBorders>
              <w:left w:space="0" w:sz="4" w:color="auto" w:val="single"/>
            </w:tcBorders>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2.292.557,28</w:t>
            </w:r>
          </w:p>
        </w:tc>
        <w:tc>
          <w:tcPr>
            <w:tcW w:type="dxa" w:w="1646"/>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2.063.301,55</w:t>
            </w:r>
          </w:p>
        </w:tc>
        <w:tc>
          <w:tcPr>
            <w:tcW w:type="dxa" w:w="1394"/>
            <w:noWrap/>
            <w:hideMark/>
          </w:tcPr>
          <w:p w:rsidRDefault="002A01A2" w:rsidP="002A01A2" w:rsidR="002A01A2" w:rsidRPr="002A01A2">
            <w:pPr>
              <w:jc w:val="right"/>
              <w:rPr>
                <w:rFonts w:cs="Tahoma" w:hAnsi="Tahoma" w:ascii="Tahoma"/>
                <w:noProof/>
                <w:sz w:val="20"/>
                <w:szCs w:val="20"/>
              </w:rPr>
            </w:pPr>
            <w:r w:rsidRPr="002A01A2">
              <w:rPr>
                <w:rFonts w:cs="Tahoma" w:hAnsi="Tahoma" w:ascii="Tahoma"/>
                <w:noProof/>
                <w:sz w:val="20"/>
                <w:szCs w:val="20"/>
              </w:rPr>
              <w:t>0,00</w:t>
            </w:r>
          </w:p>
        </w:tc>
      </w:tr>
      <w:tr w:rsidTr="002A01A2" w:rsidR="002A01A2" w:rsidRPr="002A01A2">
        <w:trPr>
          <w:trHeight w:val="312"/>
        </w:trPr>
        <w:tc>
          <w:tcPr>
            <w:tcW w:type="dxa" w:w="4644"/>
            <w:gridSpan w:val="2"/>
            <w:tcBorders>
              <w:right w:space="0" w:sz="4" w:color="auto" w:val="single"/>
            </w:tcBorders>
            <w:noWrap/>
            <w:hideMark/>
          </w:tcPr>
          <w:p w:rsidRDefault="002A01A2" w:rsidP="002A01A2" w:rsidR="002A01A2" w:rsidRPr="002A01A2">
            <w:pPr>
              <w:rPr>
                <w:rFonts w:cs="Tahoma" w:hAnsi="Tahoma" w:ascii="Tahoma"/>
                <w:b/>
                <w:noProof/>
                <w:sz w:val="20"/>
                <w:szCs w:val="20"/>
              </w:rPr>
            </w:pPr>
            <w:r w:rsidRPr="002A01A2">
              <w:rPr>
                <w:rFonts w:cs="Tahoma" w:hAnsi="Tahoma" w:ascii="Tahoma"/>
                <w:b/>
                <w:noProof/>
                <w:sz w:val="20"/>
                <w:szCs w:val="20"/>
              </w:rPr>
              <w:lastRenderedPageBreak/>
              <w:t xml:space="preserve">UKUPNO                        </w:t>
            </w:r>
          </w:p>
        </w:tc>
        <w:tc>
          <w:tcPr>
            <w:tcW w:type="dxa" w:w="1604"/>
            <w:tcBorders>
              <w:left w:space="0" w:sz="4" w:color="auto" w:val="single"/>
            </w:tcBorders>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8.561.912,40</w:t>
            </w:r>
          </w:p>
        </w:tc>
        <w:tc>
          <w:tcPr>
            <w:tcW w:type="dxa" w:w="1646"/>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7.705.721,10</w:t>
            </w:r>
          </w:p>
        </w:tc>
        <w:tc>
          <w:tcPr>
            <w:tcW w:type="dxa" w:w="1394"/>
            <w:noWrap/>
            <w:hideMark/>
          </w:tcPr>
          <w:p w:rsidRDefault="002A01A2" w:rsidP="002A01A2" w:rsidR="002A01A2" w:rsidRPr="002A01A2">
            <w:pPr>
              <w:jc w:val="right"/>
              <w:rPr>
                <w:rFonts w:cs="Tahoma" w:hAnsi="Tahoma" w:ascii="Tahoma"/>
                <w:b/>
                <w:noProof/>
                <w:sz w:val="20"/>
                <w:szCs w:val="20"/>
              </w:rPr>
            </w:pPr>
            <w:r w:rsidRPr="002A01A2">
              <w:rPr>
                <w:rFonts w:cs="Tahoma" w:hAnsi="Tahoma" w:ascii="Tahoma"/>
                <w:b/>
                <w:noProof/>
                <w:sz w:val="20"/>
                <w:szCs w:val="20"/>
              </w:rPr>
              <w:t>221.721,80</w:t>
            </w:r>
          </w:p>
        </w:tc>
      </w:tr>
    </w:tbl>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Nenovčano namirenje stečajnih vjerovnika drugog višeg isplatnog reda s utvrđenim tražbinama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vjerovnici drugog višeg isplatnog reda Glas Slavonije d.d. i Robert Veseljak  namiruju se s dijelom svojih utvrđenih tražbina, kojega čini vrijednost od 10% utvrđene tražbine,  unosom prava – tražbina u temeljni kapital  društva stečajnog dužnika i stjecanjem poslovnih udjela temeljem unesenih prava.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Navedeni stečajni vjerovnici sudjelovat će u postupku povećanja temeljnog kapitala  društva stečajnog dužnika temeljem odluke stečajnog upravitelja donesene u svojstvu   skupštine društva stečajnog dužnika, o povećanju temeljnog kapitala društva ulozima u pravima – tražbinama vjerovnika.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Tom će odlukom temeljni kapital društva stečajnog dužnika, koji će nakon prethodno provedenog pojednostavljenog smanjenja, imati nominalni iznos od </w:t>
      </w:r>
      <w:r w:rsidRPr="002A01A2">
        <w:rPr>
          <w:rFonts w:cs="Tahoma" w:eastAsia="Times New Roman" w:hAnsi="Tahoma" w:ascii="Tahoma"/>
          <w:b/>
          <w:bCs/>
          <w:iCs/>
          <w:lang w:eastAsia="hr-HR"/>
        </w:rPr>
        <w:t xml:space="preserve">25.000,00 </w:t>
      </w:r>
      <w:r w:rsidRPr="002A01A2">
        <w:rPr>
          <w:rFonts w:cs="Tahoma" w:eastAsia="Times New Roman" w:hAnsi="Tahoma" w:ascii="Tahoma"/>
          <w:bCs/>
          <w:iCs/>
          <w:lang w:eastAsia="hr-HR"/>
        </w:rPr>
        <w:t xml:space="preserve">kuna, biti povećan za sveukupno </w:t>
      </w:r>
      <w:r w:rsidRPr="002A01A2">
        <w:rPr>
          <w:rFonts w:cs="Tahoma" w:eastAsia="Times New Roman" w:hAnsi="Tahoma" w:ascii="Tahoma"/>
          <w:b/>
          <w:bCs/>
          <w:iCs/>
          <w:lang w:eastAsia="hr-HR"/>
        </w:rPr>
        <w:t xml:space="preserve">634.400,00 </w:t>
      </w:r>
      <w:r w:rsidRPr="002A01A2">
        <w:rPr>
          <w:rFonts w:cs="Tahoma" w:eastAsia="Times New Roman" w:hAnsi="Tahoma" w:ascii="Tahoma"/>
          <w:bCs/>
          <w:iCs/>
          <w:lang w:eastAsia="hr-HR"/>
        </w:rPr>
        <w:t xml:space="preserve"> kuna, unosom prava – tražbina navedenih stečajnih vjerovnika drugog višeg isplatnog reda u temeljni kapital u tom iznosu, na novi iznos temeljnog kapitala od </w:t>
      </w:r>
      <w:r w:rsidRPr="002A01A2">
        <w:rPr>
          <w:rFonts w:cs="Tahoma" w:eastAsia="Times New Roman" w:hAnsi="Tahoma" w:ascii="Tahoma"/>
          <w:b/>
          <w:bCs/>
          <w:iCs/>
          <w:lang w:eastAsia="hr-HR"/>
        </w:rPr>
        <w:t xml:space="preserve">659.400,00 </w:t>
      </w:r>
      <w:r w:rsidRPr="002A01A2">
        <w:rPr>
          <w:rFonts w:cs="Tahoma" w:eastAsia="Times New Roman" w:hAnsi="Tahoma" w:ascii="Tahoma"/>
          <w:bCs/>
          <w:iCs/>
          <w:lang w:eastAsia="hr-HR"/>
        </w:rPr>
        <w:t xml:space="preserve">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Stečajni vjerovnik Robert Veseljak unijet će u temeljni kapital društva stečajnog dužnika prava – tražbine u iznosu od 405.213,66 kuna radi stjecanja poslovnog udjela u nominalnom iznosu od 405.200,00 kuna, a razlika od 13,66 kuna prenijet će se u rezerve društva.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Stečajni vjerovnik Glas Slavonije d.d. unijet će u temeljni kapital društva stečajnog dužnika prava – tražbine u iznosu od 229.255,72 kuna, radi stjecanja poslovnog udjela u nominalnom iznosu od 229.200,00 kuna, a razlika od 55,72 kuna prenijet će se u rezerve društva.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Prestanak tražbina stečajnih vjerovnika drugog višeg  isplatnog reda zbog nenovčanog namirenja ostatka utvrđenih tražbina  </w:t>
      </w:r>
    </w:p>
    <w:p w:rsidRDefault="002A01A2" w:rsidP="002A01A2" w:rsidR="002A01A2" w:rsidRPr="002A01A2">
      <w:pPr>
        <w:spacing w:lineRule="auto" w:line="240" w:after="0"/>
        <w:ind w:left="1146"/>
        <w:contextualSpacing/>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dužnik bit će nakon nenovčanog namirenja dijela utvrđenih tražbina stečajnih vjerovnika drugog višeg isplatnog reda Glas Slavonije d.d. i Robert Veseljak biti oslobođen obveza prema stečajnom vjerovniku Robert Veseljak za iznos od 405.213,66 kuna a prema stečajnom vjerovniku Glas Slavonije d.d. za iznos od 229.255,72 kuna.  </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595" w:id="52"/>
      <w:bookmarkStart w:name="_Toc514765810" w:id="53"/>
      <w:r w:rsidRPr="002A01A2">
        <w:rPr>
          <w:rFonts w:cs="Times New Roman" w:eastAsia="Times New Roman" w:hAnsi="Tahoma" w:ascii="Tahoma"/>
          <w:b/>
          <w:sz w:val="28"/>
          <w:szCs w:val="28"/>
          <w:lang w:eastAsia="hr-HR"/>
        </w:rPr>
        <w:t>Predviđene pravne promjene položaja dužnika prema stečajnim vjerovnicima drugog višeg isplatnog reda s osporenim tražbinama</w:t>
      </w:r>
      <w:bookmarkEnd w:id="52"/>
      <w:bookmarkEnd w:id="53"/>
      <w:r w:rsidRPr="002A01A2">
        <w:rPr>
          <w:rFonts w:cs="Times New Roman" w:eastAsia="Times New Roman" w:hAnsi="Tahoma" w:ascii="Tahoma"/>
          <w:b/>
          <w:sz w:val="28"/>
          <w:szCs w:val="28"/>
          <w:lang w:eastAsia="hr-HR"/>
        </w:rPr>
        <w:t xml:space="preserve">  </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vjerovnici   drugog višeg isplatnog reda moraju u stečajnom planu biti stavljeni u jednak položaj u odnosu na vjerovnike istog isplatnog reda s utvrđenim tražbinama.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Slijedom toga, na stečajne vjerovnike s osporenim tražbinama primijenit će se na jednak način mjera prestanka (otpisa) obveza stečajnog dužnika prema stečajnim vjerovnicima, te mjera novčanog namirenja u visini od 10% prijavljenih a naknadno utvrđenih tražbina.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lastRenderedPageBreak/>
        <w:t>Pripremnom osnovom stečajnoga plana je predviđeno izdvajanje novčanih sredstava i izdvajanje nenovčanog oblika namirenja za slučaj, da stečajni vjerovnici s osporenim tražbinama uspiju u parničnim postupcima radi dokazivanja svojih tražbina odgovarajućeg isplatnog reda odnosno radi otklanjanja osporavanja tih tražbina kao neosnovanog.</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Za novčano namirenje stečajnih vjerovnika drugog višeg isplatnog reda predviđena je vrijednost od 10% njihovih prijavljenih tražbina, jer njihovo namirenje ne može biti više od 10% naknadno utvrđenih tražbina koje su u stečajnom postupku osporene.</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upravitelj upućen je na pokretanje parnice radi utvrđivanja osnovanosti osporavanja tražbine stečajnog vjerovnika GRAD ZAGREB, Zagreb, Trg Stjepana Radića 1, OIB: 61817894937, u iznosu od 47.455,88 kn, a preostali vjerovnici s osporenim tražbinama parnice nisu pokrenuli, tako da su njihove tražbine prema stečajnom dužniku time prestale.</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U odnosu na stečajnog vjerovnika s osporenom tražbinom ERSTE&amp;STEIERMARKISCHE BANK d.d. rješenje kojim se stečajnog upravitelja upućuje na pokretanje parnice radi otklanjanja osporavanja tražbine nije postalo pravomoćnim u vrijeme podnošenja ovoga stečajnoga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Prema tome, za novčano namirenje stečajnih vjerovnika s osporenim tražbinama u stečajnoj se masi izdvaja iznos do najviše 4.745,58 kuna, što je jednako vrijednosti koju čini do najviše 10% vrijednosti naknadno pravomoćnom presudom utvrđene tražbine vjerovnika Grad Zagreb.</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Nenovčano namirenje ostatka osporenih tražbina stečajnih vjerovnika koje budu naknadno utvrđene</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 xml:space="preserve">Stečajni vjerovnik drugog višeg isplatnog reda ERSTE&amp;STEIERMARKISCHE BANK d.d. s ostatkom osporene tražbine, sudjelovat će u povećanju temeljnog kapitala društva </w:t>
      </w:r>
      <w:proofErr w:type="spellStart"/>
      <w:r w:rsidRPr="002A01A2">
        <w:rPr>
          <w:rFonts w:cs="Tahoma" w:eastAsia="Times New Roman" w:hAnsi="Tahoma" w:ascii="Tahoma"/>
          <w:bCs/>
          <w:iCs/>
          <w:lang w:eastAsia="hr-HR"/>
        </w:rPr>
        <w:t>sljednika</w:t>
      </w:r>
      <w:proofErr w:type="spellEnd"/>
      <w:r w:rsidRPr="002A01A2">
        <w:rPr>
          <w:rFonts w:cs="Tahoma" w:eastAsia="Times New Roman" w:hAnsi="Tahoma" w:ascii="Tahoma"/>
          <w:bCs/>
          <w:iCs/>
          <w:lang w:eastAsia="hr-HR"/>
        </w:rPr>
        <w:t xml:space="preserve"> stečajnog dužnika, s najviše do 837.200,00 kuna, radi stjecanja poslovnog udjela u društvu </w:t>
      </w:r>
      <w:proofErr w:type="spellStart"/>
      <w:r w:rsidRPr="002A01A2">
        <w:rPr>
          <w:rFonts w:cs="Tahoma" w:eastAsia="Times New Roman" w:hAnsi="Tahoma" w:ascii="Tahoma"/>
          <w:bCs/>
          <w:iCs/>
          <w:lang w:eastAsia="hr-HR"/>
        </w:rPr>
        <w:t>sljedniku</w:t>
      </w:r>
      <w:proofErr w:type="spellEnd"/>
      <w:r w:rsidRPr="002A01A2">
        <w:rPr>
          <w:rFonts w:cs="Tahoma" w:eastAsia="Times New Roman" w:hAnsi="Tahoma" w:ascii="Tahoma"/>
          <w:bCs/>
          <w:iCs/>
          <w:lang w:eastAsia="hr-HR"/>
        </w:rPr>
        <w:t xml:space="preserve"> stečajnog dužnika u nominalnom iznosu do najviše 837.200,00 kuna.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Stečajni vjerovnici nižih isplatnih redova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 obzirom na činjenicu, da stečajna masa nema sredstava za namirenje stečajnih vjerovnika nižih isplatnih redova, te se vjerovnike neće pozivati na prijavljivanje svojih tražbina, tako da se oni s pravomoćnošću rješenja o potvrdi stečajnog plana smatraju namirenima i njihove tražbine prema stečajnom dužniku prestaju.</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Namirenje vjerovnika stečajne mase i troškova stečajnog postupka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Vjerovnici stečajne mase bit će sa svojim nespornim dospjelim  tražbinama biti namireni prije zaključenja stečajnog postupka, a za sporne obveze stečajni će upravitelj dati odgovarajuće osiguranje.</w:t>
      </w:r>
    </w:p>
    <w:p w:rsidRDefault="002A01A2" w:rsidP="002A01A2" w:rsidR="002A01A2" w:rsidRPr="002A01A2">
      <w:pPr>
        <w:spacing w:lineRule="auto" w:line="240" w:after="0"/>
        <w:ind w:left="360"/>
        <w:jc w:val="both"/>
        <w:rPr>
          <w:rFonts w:cs="Times New Roman" w:eastAsia="Times New Roman" w:hAnsi="Tahoma" w:ascii="Tahoma"/>
          <w:b/>
          <w:lang w:eastAsia="hr-HR"/>
        </w:rPr>
      </w:pPr>
    </w:p>
    <w:p w:rsidRDefault="002A01A2" w:rsidP="002A01A2" w:rsidR="002A01A2" w:rsidRPr="002A01A2">
      <w:pPr>
        <w:spacing w:lineRule="auto" w:line="240" w:after="0"/>
        <w:ind w:left="360"/>
        <w:jc w:val="both"/>
        <w:rPr>
          <w:rFonts w:cs="Times New Roman" w:eastAsia="Times New Roman" w:hAnsi="Tahoma" w:ascii="Tahoma"/>
          <w:b/>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596" w:id="54"/>
      <w:bookmarkStart w:name="_Toc514765811" w:id="55"/>
      <w:r w:rsidRPr="002A01A2">
        <w:rPr>
          <w:rFonts w:cs="Times New Roman" w:eastAsia="Times New Roman" w:hAnsi="Tahoma" w:ascii="Tahoma"/>
          <w:b/>
          <w:sz w:val="28"/>
          <w:szCs w:val="28"/>
          <w:lang w:eastAsia="hr-HR"/>
        </w:rPr>
        <w:t>Mjere sanacije stečajnog dužnika – radnje i odluke stečajnog upravitelja,  izjave vjerovnika i ugovori</w:t>
      </w:r>
      <w:bookmarkEnd w:id="54"/>
      <w:bookmarkEnd w:id="55"/>
    </w:p>
    <w:p w:rsidRDefault="002A01A2" w:rsidP="002A01A2" w:rsidR="002A01A2" w:rsidRPr="002A01A2">
      <w:pPr>
        <w:spacing w:lineRule="auto" w:line="240" w:after="0"/>
        <w:jc w:val="both"/>
        <w:rPr>
          <w:rFonts w:cs="Times New Roman" w:eastAsia="Times New Roman" w:hAnsi="Tahoma" w:ascii="Tahoma"/>
          <w:b/>
          <w:sz w:val="28"/>
          <w:szCs w:val="28"/>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lastRenderedPageBreak/>
        <w:t>Osim smanjenja (otpisa) obveza stečajnog dužnika, te provođenja namirenja ostatka tražbina stečajnih vjerovnika  drugog višeg isplatnog reda novčanim i nenovčanim namirenjem, zbog čega se dužnih oslobađa svih obveza prema vjerovnicima, stečajnim se planom predviđa i provođenje mjera pokrića gubitaka stečajnog dužnika prenesenih iz ranijih razdoblja i gubitaka nastalih tijekom stečajnog postupka, smanjenjem temeljnog kapitala dioničkog društva stečajnog dužnika te njegovim povećanjem unosom prava – tražbina vjerovnika u temeljni kapital.</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U nastavku, daje je pregled svake pojedine faze mjera sanacije s odrazom tih mjera na pravni položaj postojećih članova društva kao i vjerovnika koji unosom prava – tražbina u temeljni kapital stječu položaj dioničara dioničkog društva stečajnog dužnika.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Također, u nastavku se daje i sadržaj bitnih sastojaka odluka stečajnog upravitelja, koje će biti pravnom podlogom za promjenu pravnog položaja dioničara, koje odluke će stečajni upravitelj donositi u svojstvu Skupštine društva stečajnog dužnika.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Pokriće gubitaka na teret zadržane dobiti i dobiti tekuće godine</w:t>
      </w:r>
    </w:p>
    <w:p w:rsidRDefault="002A01A2" w:rsidP="002A01A2" w:rsidR="002A01A2" w:rsidRPr="002A01A2">
      <w:pPr>
        <w:spacing w:lineRule="auto" w:line="240" w:after="0"/>
        <w:ind w:left="426"/>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upravitelj će odlukom, donesenom u svojstvu Skupštine društva stečajnog dužnika temeljem članka 88. st. 1. SZ, utvrditi, da se preneseni gubici društva stečajnog dužnika u iznosu od 8.512.044,00 kuna, pokrivaju  na teret zadržane dobiti ostvarene u prethodnim godinama u iznosu od 8.512.044,00 kuna, tako da se zadržana dobit u tom iznosu raspoređuje za pokriće gubitaka. Istom odlukom stečajni upravitelj rasporedit će   dobit tekuće godine (2017.) u cijelosti za pokriće daljnjih prenesenih gubitaka u iznosu od 1.379.853,00 kuna.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Sveukupno, temeljem navedene odluke stečajnog upravitelja, bit će pokriveni gubici u iznosu od 9.891.897,00 kuna.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Odluka o spajanju poslovnih udjela</w:t>
      </w:r>
    </w:p>
    <w:p w:rsidRDefault="002A01A2" w:rsidP="002A01A2" w:rsidR="002A01A2" w:rsidRPr="002A01A2">
      <w:pPr>
        <w:spacing w:lineRule="auto" w:line="240" w:after="0"/>
        <w:contextualSpacing/>
        <w:jc w:val="both"/>
        <w:rPr>
          <w:rFonts w:cs="Times New Roman" w:eastAsia="Times New Roman" w:hAnsi="Tahoma" w:ascii="Tahoma"/>
          <w:b/>
          <w:sz w:val="28"/>
          <w:szCs w:val="28"/>
          <w:lang w:eastAsia="hr-HR"/>
        </w:rPr>
      </w:pPr>
    </w:p>
    <w:p w:rsidRDefault="002A01A2" w:rsidP="002A01A2" w:rsidR="002A01A2" w:rsidRPr="002A01A2">
      <w:pPr>
        <w:spacing w:lineRule="auto" w:line="240" w:after="0"/>
        <w:contextualSpacing/>
        <w:jc w:val="both"/>
        <w:rPr>
          <w:rFonts w:cs="Times New Roman" w:eastAsia="Times New Roman" w:hAnsi="Tahoma" w:ascii="Tahoma"/>
          <w:lang w:eastAsia="hr-HR"/>
        </w:rPr>
      </w:pPr>
      <w:bookmarkStart w:name="_Toc514765812" w:id="56"/>
      <w:r w:rsidRPr="002A01A2">
        <w:rPr>
          <w:rFonts w:cs="Times New Roman" w:eastAsia="Times New Roman" w:hAnsi="Tahoma" w:ascii="Tahoma"/>
          <w:lang w:eastAsia="hr-HR"/>
        </w:rPr>
        <w:t>Kako bi se omogućilo donošenje daljnjih potrebnih odluka, stečajni upravitelj donijet će nakon pravomoćnosti rješenja o potvrdi stečajnog plana odluku o spajanju poslovnih udjela, kojom će se utvrditi, da se:</w:t>
      </w:r>
      <w:bookmarkEnd w:id="56"/>
    </w:p>
    <w:p w:rsidRDefault="002A01A2" w:rsidP="002A01A2" w:rsidR="002A01A2" w:rsidRPr="002A01A2">
      <w:pPr>
        <w:spacing w:lineRule="auto" w:line="240" w:after="0"/>
        <w:contextualSpacing/>
        <w:jc w:val="both"/>
        <w:rPr>
          <w:rFonts w:cs="Times New Roman" w:eastAsia="Times New Roman" w:hAnsi="Tahoma" w:ascii="Tahoma"/>
          <w:lang w:eastAsia="hr-HR"/>
        </w:rPr>
      </w:pPr>
    </w:p>
    <w:p w:rsidRDefault="002A01A2" w:rsidP="00DC3997" w:rsidR="002A01A2" w:rsidRPr="002A01A2">
      <w:pPr>
        <w:numPr>
          <w:ilvl w:val="0"/>
          <w:numId w:val="19"/>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poslovni udjeli člana društva „</w:t>
      </w:r>
      <w:proofErr w:type="spellStart"/>
      <w:r w:rsidRPr="002A01A2">
        <w:rPr>
          <w:rFonts w:cs="Tahoma" w:eastAsia="Times New Roman" w:hAnsi="Tahoma" w:ascii="Tahoma"/>
          <w:bCs/>
          <w:iCs/>
          <w:lang w:eastAsia="hr-HR"/>
        </w:rPr>
        <w:t>nasljednička</w:t>
      </w:r>
      <w:proofErr w:type="spellEnd"/>
      <w:r w:rsidRPr="002A01A2">
        <w:rPr>
          <w:rFonts w:cs="Tahoma" w:eastAsia="Times New Roman" w:hAnsi="Tahoma" w:ascii="Tahoma"/>
          <w:bCs/>
          <w:iCs/>
          <w:lang w:eastAsia="hr-HR"/>
        </w:rPr>
        <w:t xml:space="preserve"> zajednica iza </w:t>
      </w:r>
      <w:proofErr w:type="spellStart"/>
      <w:r w:rsidRPr="002A01A2">
        <w:rPr>
          <w:rFonts w:cs="Tahoma" w:eastAsia="Times New Roman" w:hAnsi="Tahoma" w:ascii="Tahoma"/>
          <w:bCs/>
          <w:iCs/>
          <w:lang w:eastAsia="hr-HR"/>
        </w:rPr>
        <w:t>pok</w:t>
      </w:r>
      <w:proofErr w:type="spellEnd"/>
      <w:r w:rsidRPr="002A01A2">
        <w:rPr>
          <w:rFonts w:cs="Tahoma" w:eastAsia="Times New Roman" w:hAnsi="Tahoma" w:ascii="Tahoma"/>
          <w:bCs/>
          <w:iCs/>
          <w:lang w:eastAsia="hr-HR"/>
        </w:rPr>
        <w:t xml:space="preserve">. Ivana Butkovića“, u broju od 2.903,5195 poslovnih udjela u ukupnom nominalnom iznosu od 1.080.109,25 kuna, koji poslovni udjeli  zajedno čine 96,82% temeljnog kapitala društva stečajnog dužnika, spajaju u jedan poslovni udjel u nominalnom iznosu od 1.080.109,25 kuna, </w:t>
      </w:r>
    </w:p>
    <w:p w:rsidRDefault="002A01A2" w:rsidP="002A01A2" w:rsidR="002A01A2" w:rsidRPr="002A01A2">
      <w:pPr>
        <w:spacing w:lineRule="auto" w:line="240" w:after="0"/>
        <w:ind w:left="720"/>
        <w:contextualSpacing/>
        <w:jc w:val="both"/>
        <w:rPr>
          <w:rFonts w:cs="Tahoma" w:eastAsia="Times New Roman" w:hAnsi="Tahoma" w:ascii="Tahoma"/>
          <w:bCs/>
          <w:iCs/>
          <w:lang w:eastAsia="hr-HR"/>
        </w:rPr>
      </w:pPr>
    </w:p>
    <w:p w:rsidRDefault="002A01A2" w:rsidP="00DC3997" w:rsidR="002A01A2" w:rsidRPr="002A01A2">
      <w:pPr>
        <w:numPr>
          <w:ilvl w:val="0"/>
          <w:numId w:val="19"/>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poslovni udjeli člana društva ERSTE&amp;STEIERMARKISCHE BANK d.d. Rijeka, u broju od   62,4805 poslovnih udjela u ukupnom nominalnom iznosu od 23.242,75 kuna, koji poslovni udjeli zajedno čine 2,08% temeljnog kapitala društva stečajnog dužnika,</w:t>
      </w:r>
      <w:r w:rsidRPr="002A01A2">
        <w:rPr>
          <w:rFonts w:cs="Times New Roman" w:eastAsia="Times New Roman" w:hAnsi="Tahoma" w:ascii="Tahoma"/>
          <w:lang w:eastAsia="hr-HR"/>
        </w:rPr>
        <w:t xml:space="preserve"> </w:t>
      </w:r>
      <w:r w:rsidRPr="002A01A2">
        <w:rPr>
          <w:rFonts w:cs="Tahoma" w:eastAsia="Times New Roman" w:hAnsi="Tahoma" w:ascii="Tahoma"/>
          <w:bCs/>
          <w:iCs/>
          <w:lang w:eastAsia="hr-HR"/>
        </w:rPr>
        <w:t>spajaju u jedan poslovni udjel u nominalnom iznosu od 23.242,75 kuna,</w:t>
      </w:r>
    </w:p>
    <w:p w:rsidRDefault="002A01A2" w:rsidP="002A01A2" w:rsidR="002A01A2" w:rsidRPr="002A01A2">
      <w:pPr>
        <w:spacing w:lineRule="auto" w:line="240" w:after="0"/>
        <w:jc w:val="both"/>
        <w:rPr>
          <w:rFonts w:cs="Tahoma" w:eastAsia="Times New Roman" w:hAnsi="Tahoma" w:ascii="Tahoma"/>
          <w:bCs/>
          <w:iCs/>
          <w:lang w:eastAsia="hr-HR"/>
        </w:rPr>
      </w:pPr>
    </w:p>
    <w:p w:rsidRDefault="002A01A2" w:rsidP="00DC3997" w:rsidR="002A01A2" w:rsidRPr="002A01A2">
      <w:pPr>
        <w:numPr>
          <w:ilvl w:val="0"/>
          <w:numId w:val="19"/>
        </w:numPr>
        <w:spacing w:lineRule="auto" w:line="240" w:after="0"/>
        <w:contextualSpacing/>
        <w:jc w:val="both"/>
        <w:rPr>
          <w:rFonts w:cs="Tahoma" w:eastAsia="Times New Roman" w:hAnsi="Tahoma" w:ascii="Tahoma"/>
          <w:bCs/>
          <w:iCs/>
          <w:lang w:eastAsia="hr-HR"/>
        </w:rPr>
      </w:pPr>
      <w:r w:rsidRPr="002A01A2">
        <w:rPr>
          <w:rFonts w:cs="Tahoma" w:eastAsia="Times New Roman" w:hAnsi="Tahoma" w:ascii="Tahoma"/>
          <w:bCs/>
          <w:iCs/>
          <w:lang w:eastAsia="hr-HR"/>
        </w:rPr>
        <w:t xml:space="preserve">poslovni udjeli člana društva </w:t>
      </w:r>
      <w:proofErr w:type="spellStart"/>
      <w:r w:rsidRPr="002A01A2">
        <w:rPr>
          <w:rFonts w:cs="Tahoma" w:eastAsia="Times New Roman" w:hAnsi="Tahoma" w:ascii="Tahoma"/>
          <w:bCs/>
          <w:iCs/>
          <w:lang w:eastAsia="hr-HR"/>
        </w:rPr>
        <w:t>Moslavka</w:t>
      </w:r>
      <w:proofErr w:type="spellEnd"/>
      <w:r w:rsidRPr="002A01A2">
        <w:rPr>
          <w:rFonts w:cs="Tahoma" w:eastAsia="Times New Roman" w:hAnsi="Tahoma" w:ascii="Tahoma"/>
          <w:bCs/>
          <w:iCs/>
          <w:lang w:eastAsia="hr-HR"/>
        </w:rPr>
        <w:t xml:space="preserve"> d.o.o. Bjelovar, u broju od sveukupno 33,00 poslovna udjela u ukupnom nominalnom iznosu od 12.276,00 kuna, koji poslovni udjeli zajedno čine 1,10% temeljnog kapitala društva stečajnog dužnika, spajaju u jedan poslovni udjel u nominalnom iznosu od 12.276,00 kuna,</w:t>
      </w:r>
    </w:p>
    <w:p w:rsidRDefault="002A01A2" w:rsidP="002A01A2" w:rsidR="002A01A2" w:rsidRPr="002A01A2">
      <w:pPr>
        <w:spacing w:lineRule="auto" w:line="240" w:after="0"/>
        <w:ind w:left="720"/>
        <w:contextualSpacing/>
        <w:rPr>
          <w:rFonts w:cs="Tahoma" w:eastAsia="Times New Roman" w:hAnsi="Tahoma" w:ascii="Tahoma"/>
          <w:bCs/>
          <w:iCs/>
          <w:lang w:eastAsia="hr-HR"/>
        </w:rPr>
      </w:pPr>
    </w:p>
    <w:p w:rsidRDefault="002A01A2" w:rsidP="002A01A2" w:rsidR="002A01A2" w:rsidRPr="002A01A2">
      <w:pPr>
        <w:spacing w:lineRule="auto" w:line="240" w:after="0"/>
        <w:jc w:val="both"/>
        <w:rPr>
          <w:rFonts w:cs="Tahoma" w:eastAsia="Times New Roman" w:hAnsi="Tahoma" w:ascii="Tahoma"/>
          <w:bCs/>
          <w:iCs/>
          <w:lang w:eastAsia="hr-HR"/>
        </w:rPr>
      </w:pPr>
      <w:r w:rsidRPr="002A01A2">
        <w:rPr>
          <w:rFonts w:cs="Tahoma" w:eastAsia="Times New Roman" w:hAnsi="Tahoma" w:ascii="Tahoma"/>
          <w:bCs/>
          <w:iCs/>
          <w:lang w:eastAsia="hr-HR"/>
        </w:rPr>
        <w:t>te da se temeljem te odluke provode odgovarajući upisi promjena u Knjizi poslovnih udjela društva stečajnog dužnika.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b/>
          <w:lang w:eastAsia="hr-HR"/>
        </w:rPr>
        <w:t xml:space="preserve">Odluka o pojednostavljenom smanjenju temeljnog kapitala  društva, radi pokrića gubitaka   </w:t>
      </w:r>
    </w:p>
    <w:p w:rsidRDefault="002A01A2" w:rsidP="002A01A2" w:rsidR="002A01A2" w:rsidRPr="002A01A2">
      <w:pPr>
        <w:spacing w:lineRule="auto" w:line="240" w:after="0"/>
        <w:ind w:left="1146"/>
        <w:contextualSpacing/>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upravitelj, u svojstvu Skupštine  društva stečajnog dužnika, temeljem članka 88.  st. 1. SZ  i članka 465. u vezi s člankom 349. Zakona o trgovačkim društvima (ZTD), nakon pravomoćnosti rješenja o potvrdi stečajnoga plana, donijet će odluku o pojednostavljenom smanjenju temeljnog kapitala društva radi pokrića gubitaka, kojom odlukom će biti određeno:</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5"/>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 xml:space="preserve">da se temeljni kapital  društva smanjuje s nominalnog iznosa od  </w:t>
      </w:r>
      <w:r w:rsidRPr="002A01A2">
        <w:rPr>
          <w:rFonts w:cs="Tahoma" w:eastAsia="Times New Roman" w:hAnsi="Tahoma" w:ascii="Tahoma"/>
          <w:b/>
          <w:bCs/>
          <w:iCs/>
          <w:lang w:eastAsia="hr-HR"/>
        </w:rPr>
        <w:t xml:space="preserve">1.115.628,00 </w:t>
      </w:r>
      <w:r w:rsidRPr="002A01A2">
        <w:rPr>
          <w:rFonts w:cs="Tahoma" w:eastAsia="Times New Roman" w:hAnsi="Tahoma" w:ascii="Tahoma"/>
          <w:bCs/>
          <w:iCs/>
          <w:lang w:eastAsia="hr-HR"/>
        </w:rPr>
        <w:t>kuna za</w:t>
      </w:r>
      <w:r w:rsidRPr="002A01A2">
        <w:rPr>
          <w:rFonts w:cs="Tahoma" w:eastAsia="Times New Roman" w:hAnsi="Tahoma" w:ascii="Tahoma"/>
          <w:b/>
          <w:bCs/>
          <w:iCs/>
          <w:lang w:eastAsia="hr-HR"/>
        </w:rPr>
        <w:t xml:space="preserve"> 1.090.628,00 </w:t>
      </w:r>
      <w:r w:rsidRPr="002A01A2">
        <w:rPr>
          <w:rFonts w:cs="Tahoma" w:eastAsia="Times New Roman" w:hAnsi="Tahoma" w:ascii="Tahoma"/>
          <w:bCs/>
          <w:iCs/>
          <w:lang w:eastAsia="hr-HR"/>
        </w:rPr>
        <w:t xml:space="preserve">kn na novi nominalni iznos temeljnog kapitala od </w:t>
      </w:r>
      <w:r w:rsidRPr="002A01A2">
        <w:rPr>
          <w:rFonts w:cs="Tahoma" w:eastAsia="Times New Roman" w:hAnsi="Tahoma" w:ascii="Tahoma"/>
          <w:b/>
          <w:bCs/>
          <w:iCs/>
          <w:lang w:eastAsia="hr-HR"/>
        </w:rPr>
        <w:t xml:space="preserve">25.000,00 </w:t>
      </w:r>
      <w:r w:rsidRPr="002A01A2">
        <w:rPr>
          <w:rFonts w:cs="Tahoma" w:eastAsia="Times New Roman" w:hAnsi="Tahoma" w:ascii="Tahoma"/>
          <w:bCs/>
          <w:iCs/>
          <w:lang w:eastAsia="hr-HR"/>
        </w:rPr>
        <w:t>kuna,</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0"/>
          <w:numId w:val="15"/>
        </w:numPr>
        <w:spacing w:lineRule="auto" w:line="240" w:after="0"/>
        <w:contextualSpacing/>
        <w:jc w:val="both"/>
        <w:rPr>
          <w:rFonts w:cs="Times New Roman" w:eastAsia="Times New Roman" w:hAnsi="Tahoma" w:ascii="Tahoma"/>
          <w:lang w:eastAsia="hr-HR"/>
        </w:rPr>
      </w:pPr>
      <w:r w:rsidRPr="002A01A2">
        <w:rPr>
          <w:rFonts w:cs="Tahoma" w:eastAsia="Times New Roman" w:hAnsi="Tahoma" w:ascii="Tahoma"/>
          <w:bCs/>
          <w:iCs/>
          <w:lang w:eastAsia="hr-HR"/>
        </w:rPr>
        <w:t>da se smanjenje temeljnog kapitala provodi pojednostavljenim smanjenjem, i to smanjenjem nominalnih iznosa poslovnih udjela članova društva, tako da se smanjenje temeljnog kapitala provodi:</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DC3997" w:rsidR="002A01A2" w:rsidRPr="002A01A2">
      <w:pPr>
        <w:numPr>
          <w:ilvl w:val="1"/>
          <w:numId w:val="15"/>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 xml:space="preserve">smanjenjem nominalnog iznosa poslovnog udjela </w:t>
      </w:r>
      <w:proofErr w:type="spellStart"/>
      <w:r w:rsidRPr="002A01A2">
        <w:rPr>
          <w:rFonts w:cs="Times New Roman" w:eastAsia="Times New Roman" w:hAnsi="Tahoma" w:ascii="Tahoma"/>
          <w:lang w:eastAsia="hr-HR"/>
        </w:rPr>
        <w:t>nasljedničke</w:t>
      </w:r>
      <w:proofErr w:type="spellEnd"/>
      <w:r w:rsidRPr="002A01A2">
        <w:rPr>
          <w:rFonts w:cs="Times New Roman" w:eastAsia="Times New Roman" w:hAnsi="Tahoma" w:ascii="Tahoma"/>
          <w:lang w:eastAsia="hr-HR"/>
        </w:rPr>
        <w:t xml:space="preserve"> zajednice iza </w:t>
      </w:r>
      <w:proofErr w:type="spellStart"/>
      <w:r w:rsidRPr="002A01A2">
        <w:rPr>
          <w:rFonts w:cs="Times New Roman" w:eastAsia="Times New Roman" w:hAnsi="Tahoma" w:ascii="Tahoma"/>
          <w:lang w:eastAsia="hr-HR"/>
        </w:rPr>
        <w:t>pok</w:t>
      </w:r>
      <w:proofErr w:type="spellEnd"/>
      <w:r w:rsidRPr="002A01A2">
        <w:rPr>
          <w:rFonts w:cs="Times New Roman" w:eastAsia="Times New Roman" w:hAnsi="Tahoma" w:ascii="Tahoma"/>
          <w:lang w:eastAsia="hr-HR"/>
        </w:rPr>
        <w:t>. Ivana Butkovića sa 1.080.109,25 kuna za 1.055.909,25 kuna na novi nominalni iznos od 24.200,00 kuna,</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1"/>
          <w:numId w:val="15"/>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smanjenjem nominalnog iznosa poslovnog udjela člana društva   ERSTE&amp;STEIERMARKISHE BANK d.d. sa 23.242,75 kuna za 22.742,75 kuna na nominalni iznos od 500,00 kuna,</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1"/>
          <w:numId w:val="15"/>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smanjenjem nominalnog iznosa poslovnog udjela člana društva  MOSLAVKA d.o.o. Bjelovar sa 12.276,00 kuna za 11.976,00 kuna na nominalni iznos od 300,00 kuna,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5"/>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da se temeljem tako provedenog pojednostavljenog smanjenja temeljnog kapitala, gubici društva stečajnog dužnika pokrivaju za iznos od 1.090.628,00 kuna.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Na temelju naprijed navedene odluke, promjene u pravnom položaju postojećih članova društva stečajnog dužnika sastojat će se u tome, što će biti smanjen nominalni iznos njihovih udjela,  razmjerno ukupnom smanjenju nominalnog iznosa temeljnog kapitala, budući da će svaki član društva u smanjenju temeljnoga kapitala sudjelovati s iznosom smanjenja razmjernim svojem udjelu u temeljnom kapitalu društva stečajnog dužnika,  tako da relativni odnosi među članovima društva ostaju neizmijenjenima.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Nacrt Odluke o pojednostavljenom smanjenju temeljnog kapitala nalazi se u prilogu ove Provedbene osnove, kao njezin sastavni dio.</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Odluka o povećanju temeljnog kapitala dioničkog društva unosom prava – tražbina vjerovnika u temeljni kapital</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lastRenderedPageBreak/>
        <w:t>Stečajni upravitelj, u svojstvu Skupštine društva stečajnog dužnika, temeljem članka 88. st. 1. SZ i članka 457. ZTD, nakon pravomoćnosti rješenja o potvrdi stečajnoga plana, donijet će odluku o povećanju temeljnog kapitala  društva stečajnog dužnika ulogom u pravima – tražbinama vjerovnika Glas Slavonije d.d. i ROBERT VESELJAK, uz istovremeno isključenje postojećih članova društva od sudjelovanja u povećanju temeljnog kapitala, kojom odlukom će biti određeno:</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 xml:space="preserve">da se temeljni kapital  društva povećava s nominalnog iznosa od </w:t>
      </w:r>
      <w:r w:rsidRPr="002A01A2">
        <w:rPr>
          <w:rFonts w:cs="Times New Roman" w:eastAsia="Times New Roman" w:hAnsi="Tahoma" w:ascii="Tahoma"/>
          <w:b/>
          <w:lang w:eastAsia="hr-HR"/>
        </w:rPr>
        <w:t xml:space="preserve">25.000,00 </w:t>
      </w:r>
      <w:r w:rsidRPr="002A01A2">
        <w:rPr>
          <w:rFonts w:cs="Times New Roman" w:eastAsia="Times New Roman" w:hAnsi="Tahoma" w:ascii="Tahoma"/>
          <w:lang w:eastAsia="hr-HR"/>
        </w:rPr>
        <w:t xml:space="preserve"> kuna za iznos od </w:t>
      </w:r>
      <w:r w:rsidRPr="002A01A2">
        <w:rPr>
          <w:rFonts w:cs="Times New Roman" w:eastAsia="Times New Roman" w:hAnsi="Tahoma" w:ascii="Tahoma"/>
          <w:b/>
          <w:lang w:eastAsia="hr-HR"/>
        </w:rPr>
        <w:t>634.400,00</w:t>
      </w:r>
      <w:r w:rsidRPr="002A01A2">
        <w:rPr>
          <w:rFonts w:cs="Times New Roman" w:eastAsia="Times New Roman" w:hAnsi="Tahoma" w:ascii="Tahoma"/>
          <w:lang w:eastAsia="hr-HR"/>
        </w:rPr>
        <w:t xml:space="preserve"> kuna na novi nominalni iznos temeljnog kapitala od </w:t>
      </w:r>
      <w:r w:rsidRPr="002A01A2">
        <w:rPr>
          <w:rFonts w:cs="Times New Roman" w:eastAsia="Times New Roman" w:hAnsi="Tahoma" w:ascii="Tahoma"/>
          <w:b/>
          <w:lang w:eastAsia="hr-HR"/>
        </w:rPr>
        <w:t>659.400,00</w:t>
      </w:r>
      <w:r w:rsidRPr="002A01A2">
        <w:rPr>
          <w:rFonts w:cs="Times New Roman" w:eastAsia="Times New Roman" w:hAnsi="Tahoma" w:ascii="Tahoma"/>
          <w:lang w:eastAsia="hr-HR"/>
        </w:rPr>
        <w:t xml:space="preserve"> kuna, </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0"/>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 xml:space="preserve">da se povećanje temeljnog kapitala provodi unosom prava – dijela tražbina vjerovnika prema  društvu stečajnog dužnika u ukupnom iznosu tih tražbina od </w:t>
      </w:r>
      <w:r w:rsidRPr="002A01A2">
        <w:rPr>
          <w:rFonts w:cs="Times New Roman" w:eastAsia="Times New Roman" w:hAnsi="Tahoma" w:ascii="Tahoma"/>
          <w:b/>
          <w:lang w:eastAsia="hr-HR"/>
        </w:rPr>
        <w:t>634.469,38</w:t>
      </w:r>
      <w:r w:rsidRPr="002A01A2">
        <w:rPr>
          <w:rFonts w:cs="Times New Roman" w:eastAsia="Times New Roman" w:hAnsi="Tahoma" w:ascii="Tahoma"/>
          <w:lang w:eastAsia="hr-HR"/>
        </w:rPr>
        <w:t xml:space="preserve"> kuna, a da vjerovnici unosom tih prava – tražbina stječu u društvu poslovne udjele u nominalnom iznosu od </w:t>
      </w:r>
      <w:r w:rsidRPr="002A01A2">
        <w:rPr>
          <w:rFonts w:cs="Times New Roman" w:eastAsia="Times New Roman" w:hAnsi="Tahoma" w:ascii="Tahoma"/>
          <w:b/>
          <w:lang w:eastAsia="hr-HR"/>
        </w:rPr>
        <w:t>634.400,00</w:t>
      </w:r>
      <w:r w:rsidRPr="002A01A2">
        <w:rPr>
          <w:rFonts w:cs="Times New Roman" w:eastAsia="Times New Roman" w:hAnsi="Tahoma" w:ascii="Tahoma"/>
          <w:lang w:eastAsia="hr-HR"/>
        </w:rPr>
        <w:t xml:space="preserve"> kuna, dok se iznos od </w:t>
      </w:r>
      <w:r w:rsidRPr="002A01A2">
        <w:rPr>
          <w:rFonts w:cs="Times New Roman" w:eastAsia="Times New Roman" w:hAnsi="Tahoma" w:ascii="Tahoma"/>
          <w:b/>
          <w:lang w:eastAsia="hr-HR"/>
        </w:rPr>
        <w:t>69,38</w:t>
      </w:r>
      <w:r w:rsidRPr="002A01A2">
        <w:rPr>
          <w:rFonts w:cs="Times New Roman" w:eastAsia="Times New Roman" w:hAnsi="Tahoma" w:ascii="Tahoma"/>
          <w:lang w:eastAsia="hr-HR"/>
        </w:rPr>
        <w:t xml:space="preserve"> kuna, kao iznos preostao nakon zaokruživanja vrijednosti unesenih tražbina na niži iznos višekratnika broja 100, prenosi u rezerve društva,</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0"/>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 xml:space="preserve">da se tražbine vjerovnika unose u temeljni kapital društva u razmjeru 1 : 1 u odnosu na nominalni iznos poslovnoga udjela kojega taj vjerovnik stječe,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da u povećanju temeljnog kapitala unosom prava – tražbina sudjeluju vjerovnici stečajnog dužnika, i to:</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DC3997" w:rsidR="002A01A2" w:rsidRPr="002A01A2">
      <w:pPr>
        <w:numPr>
          <w:ilvl w:val="1"/>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Glas Slavonije d.d. s dijelom utvrđene tražbine u iznosu od 229.255,72 kuna, radi stjecanja jednog poslovnog udjela u društvu stečajnog dužnika u nominalnom iznosu od 229.200,00 kuna,</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DC3997" w:rsidR="002A01A2" w:rsidRPr="002A01A2">
      <w:pPr>
        <w:numPr>
          <w:ilvl w:val="1"/>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Robert Veseljak s dijelom utvrđene tražbine u iznosu od 405.213,66 kuna, radi stjecanja poslovnog udjela u društvu stečajnog dužnika u nominalnom iznosu od 405.200,00 kuna,</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DC3997" w:rsidR="002A01A2" w:rsidRPr="002A01A2">
      <w:pPr>
        <w:numPr>
          <w:ilvl w:val="0"/>
          <w:numId w:val="16"/>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da su vjerovnici – novi članovi društva – dužni dati izjavu iz članka 457. st. 5. ZTD o preuzimanju poslovnog udjela i  pristupiti sklapanju ugovora o unosu prava – tražbina u temeljni kapital društva stečajnog dužnika, nakon pravomoćnosti rješenja o potvrdi stečajnoga plana, na prvi poziv stečajnoga upravitelja, jer će u protivnome sklapanje toga ugovora zamijeniti odgovarajuće odredbe Rješenja o potvrdi stečajnog plana.</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Nacrt Odluke o povećanju temeljnog kapitala ulogom u pravima, te nacrt ugovora o unosu prava – tražbina u temeljni kapital društva stečajnog dužnika,   prilažu se uz ovu Provedbenu osnovu, kao njezini sastavni dijelovi.</w:t>
      </w:r>
    </w:p>
    <w:p w:rsidRDefault="002A01A2" w:rsidP="002A01A2" w:rsidR="002A01A2" w:rsidRPr="002A01A2">
      <w:pPr>
        <w:spacing w:lineRule="auto" w:line="240" w:after="0"/>
        <w:ind w:left="720"/>
        <w:contextualSpacing/>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Nakon što odluka o povećanju temeljnoga kapitala bude donesena i provedena, u   temeljnom kapitalu društva stečajnog dužnika postojeći članovi društva imat će sveukupno poslovne udjele u nominalnom iznosu od 25.000,00 kuna, što je 3,79% od temeljnog kapitala društva, a vjerovnici kao novi članovi društva imat će poslovne udjele u nominalnom iznosu od 634.400,00 kuna, što je 96,21% temeljnog kapitala društva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Odluke o izmjenama Društvenog ugovora i druge prateće odluke</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lastRenderedPageBreak/>
        <w:t>Stečajni upravitelj će, istovremeno s donošenjem pojedinih odluka pobliže navedenih u prethodnim točkama ove Provedbene osnove,   donijeti i sljedeće odluke:</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7"/>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odluku o izmjeni Društvenoga ugovora, zajedno s Odlukom o spajanju poslovnih udjela (točka 4.2.),</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0"/>
          <w:numId w:val="17"/>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odluku o izmjeni Društvenoga ugovora, zajedno s Odlukom o pojednostavljenom smanjenju temeljnog kapitala (točka 4.3.),</w:t>
      </w:r>
    </w:p>
    <w:p w:rsidRDefault="002A01A2" w:rsidP="002A01A2" w:rsidR="002A01A2" w:rsidRPr="002A01A2">
      <w:pPr>
        <w:spacing w:lineRule="auto" w:line="240" w:after="0"/>
        <w:ind w:left="720"/>
        <w:contextualSpacing/>
        <w:jc w:val="both"/>
        <w:rPr>
          <w:rFonts w:cs="Times New Roman" w:eastAsia="Times New Roman" w:hAnsi="Tahoma" w:ascii="Tahoma"/>
          <w:lang w:eastAsia="hr-HR"/>
        </w:rPr>
      </w:pPr>
    </w:p>
    <w:p w:rsidRDefault="002A01A2" w:rsidP="00DC3997" w:rsidR="002A01A2" w:rsidRPr="002A01A2">
      <w:pPr>
        <w:numPr>
          <w:ilvl w:val="0"/>
          <w:numId w:val="17"/>
        </w:numPr>
        <w:spacing w:lineRule="auto" w:line="240" w:after="0"/>
        <w:contextualSpacing/>
        <w:jc w:val="both"/>
        <w:rPr>
          <w:rFonts w:cs="Times New Roman" w:eastAsia="Times New Roman" w:hAnsi="Tahoma" w:ascii="Tahoma"/>
          <w:lang w:eastAsia="hr-HR"/>
        </w:rPr>
      </w:pPr>
      <w:r w:rsidRPr="002A01A2">
        <w:rPr>
          <w:rFonts w:cs="Times New Roman" w:eastAsia="Times New Roman" w:hAnsi="Tahoma" w:ascii="Tahoma"/>
          <w:lang w:eastAsia="hr-HR"/>
        </w:rPr>
        <w:t>odluku o izmjeni Društvenog ugovora i o utvrđivanju potpuno novog teksta Društvenog ugovora, zajedno s Odlukom o povećanju temeljnog kapitala ulozima u pravima – tražbinama vjerovnika (točka 4.4.)</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Provođenje revizije povećanja temeljnog kapitala ulozima u pravima – tražbinama </w:t>
      </w:r>
      <w:proofErr w:type="spellStart"/>
      <w:r w:rsidRPr="002A01A2">
        <w:rPr>
          <w:rFonts w:cs="Times New Roman" w:eastAsia="Times New Roman" w:hAnsi="Tahoma" w:ascii="Tahoma"/>
          <w:b/>
          <w:lang w:eastAsia="hr-HR"/>
        </w:rPr>
        <w:t>razlučnih</w:t>
      </w:r>
      <w:proofErr w:type="spellEnd"/>
      <w:r w:rsidRPr="002A01A2">
        <w:rPr>
          <w:rFonts w:cs="Times New Roman" w:eastAsia="Times New Roman" w:hAnsi="Tahoma" w:ascii="Tahoma"/>
          <w:b/>
          <w:lang w:eastAsia="hr-HR"/>
        </w:rPr>
        <w:t xml:space="preserve"> i stečajnih vjerovnika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upravitelj će, odmah nakon provedenog glasovanja vjerovnika o stečajnome planu, a prije nastupa pravomoćnosti rješenja o potvrdi stečajnoga plana, angažirati ovlaštenog revizora, radi provedbe revizije povećanja temeljnog kapitala, u skladu s odredbama članaka 457. i 390. u vezi s člancima 182. i 183. ZTD, radi utvrđenja, odgovara li vrijednost ulaganja i preuzimanja prava iznosu temeljnog kapitala koji otpada na poslovne udjele koje za to treba dati vjerovnicima kao članovima društva.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Bitan sadržaj izjava vjerovnika</w:t>
      </w:r>
    </w:p>
    <w:p w:rsidRDefault="002A01A2" w:rsidP="002A01A2" w:rsidR="002A01A2" w:rsidRPr="002A01A2">
      <w:pPr>
        <w:spacing w:lineRule="auto" w:line="240" w:after="0"/>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 </w:t>
      </w: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Izjave vjerovnika Glas Slavonije d.d. i Robert Veseljak u smislu članka 316. st. 2. SZ prilažu se uz ovu Provedbenu osnovu.</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Nacrti izjava  vjerovnika Glas Slavonije d.d. i Robert Veseljak o preuzimanju poslovnih udjela također su priloženi uz ovu Provedbenu osnovu, a u bitnome, ta izjava ima sadržaj potreban za provođenje upisa povećanja temeljnog kapitala unosom prava u temeljni kapital radi stjecanja poslovnih udjela.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Izjava vjerovnika Erste&amp;</w:t>
      </w:r>
      <w:proofErr w:type="spellStart"/>
      <w:r w:rsidRPr="002A01A2">
        <w:rPr>
          <w:rFonts w:cs="Times New Roman" w:eastAsia="Times New Roman" w:hAnsi="Tahoma" w:ascii="Tahoma"/>
          <w:lang w:eastAsia="hr-HR"/>
        </w:rPr>
        <w:t>Steiermarkische</w:t>
      </w:r>
      <w:proofErr w:type="spellEnd"/>
      <w:r w:rsidRPr="002A01A2">
        <w:rPr>
          <w:rFonts w:cs="Times New Roman" w:eastAsia="Times New Roman" w:hAnsi="Tahoma" w:ascii="Tahoma"/>
          <w:lang w:eastAsia="hr-HR"/>
        </w:rPr>
        <w:t xml:space="preserve"> Bank d.d. u smislu članka 316. st. 2. SZ i izjava o preuzimanju poslovnih udjela bit će od toga vjerovnika pribavljana ako njegova osporena tražbina bude pravomoćno utvrđena.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Ugovori koji se sklapaju radi provedbe stečajnog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Radi provedbe ulaganja prava – tražbina vjerovnika u temeljni kapital   društva stečajnog dužnika, između stečajnog dužnika i vjerovnika Glas Slavonije d.d. i Robert Veseljak sklopit će se ugovor o ulaganju prava – tražbina u temeljni kapital.</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Ostavljanje sveukupne imovine stečajnom dužniku radi nastavka poslovanja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Sveukupna imovina, koja čini stečajnu masu stečajnoga dužnika (pokretnine, prava, novčana sredstva) ostavljaju se stečajnome dužniku za potrebe nastavka poslovanja, a novčana sredstva ostavljaju se stečajnome dužniku za namirenje obveza stečajne mase i troškova </w:t>
      </w:r>
      <w:r w:rsidRPr="002A01A2">
        <w:rPr>
          <w:rFonts w:cs="Times New Roman" w:eastAsia="Times New Roman" w:hAnsi="Tahoma" w:ascii="Tahoma"/>
          <w:lang w:eastAsia="hr-HR"/>
        </w:rPr>
        <w:lastRenderedPageBreak/>
        <w:t xml:space="preserve">stečajnoga postupka nastale do dana zaključenja stečajnoga postupka nad stečajnim dužnikom. Eventualno naknadno nastale i dospjele obveze stečajne mase podmirit će prema vjerovnicima stečajne mase </w:t>
      </w:r>
      <w:proofErr w:type="spellStart"/>
      <w:r w:rsidRPr="002A01A2">
        <w:rPr>
          <w:rFonts w:cs="Times New Roman" w:eastAsia="Times New Roman" w:hAnsi="Tahoma" w:ascii="Tahoma"/>
          <w:lang w:eastAsia="hr-HR"/>
        </w:rPr>
        <w:t>sljednik</w:t>
      </w:r>
      <w:proofErr w:type="spellEnd"/>
      <w:r w:rsidRPr="002A01A2">
        <w:rPr>
          <w:rFonts w:cs="Times New Roman" w:eastAsia="Times New Roman" w:hAnsi="Tahoma" w:ascii="Tahoma"/>
          <w:lang w:eastAsia="hr-HR"/>
        </w:rPr>
        <w:t xml:space="preserve"> stečajnog dužnika.</w:t>
      </w: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597" w:id="57"/>
      <w:bookmarkStart w:name="_Toc514765813" w:id="58"/>
      <w:r w:rsidRPr="002A01A2">
        <w:rPr>
          <w:rFonts w:cs="Times New Roman" w:eastAsia="Times New Roman" w:hAnsi="Tahoma" w:ascii="Tahoma"/>
          <w:b/>
          <w:sz w:val="28"/>
          <w:szCs w:val="28"/>
          <w:lang w:eastAsia="hr-HR"/>
        </w:rPr>
        <w:t>Razvrstavanje sudionika u stečajnom planu</w:t>
      </w:r>
      <w:bookmarkEnd w:id="57"/>
      <w:bookmarkEnd w:id="58"/>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Sudionici u stečajnom planu neće se razvrstavati u skupine, jer se stečajni planom predviđa ujednačeno namirenje svih stečajnih vjerovnika, do razine od 10% utvrđenih tražbina, koje se razlikuje samo u pogledu oblika namirenja (novčani i nenovčani oblik namirenja).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599" w:id="59"/>
      <w:bookmarkStart w:name="_Toc514765814" w:id="60"/>
      <w:r w:rsidRPr="002A01A2">
        <w:rPr>
          <w:rFonts w:cs="Times New Roman" w:eastAsia="Times New Roman" w:hAnsi="Tahoma" w:ascii="Tahoma"/>
          <w:b/>
          <w:sz w:val="28"/>
          <w:szCs w:val="28"/>
          <w:lang w:eastAsia="hr-HR"/>
        </w:rPr>
        <w:t>Pravo glasa</w:t>
      </w:r>
      <w:bookmarkEnd w:id="59"/>
      <w:bookmarkEnd w:id="60"/>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Pravo glasa stečajnom vjerovniku daje vrijednost utvrđene tražbine, u razmjeru utvrđene tražbine s glasovima od 1:1.</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Pravo glasa stečajnim vjerovnicima s osporenim tražbinama daje vrijednost osporene tražbine koja se dokazuje ovršnom ispravom, u razmjeru s glasovima od 1 : 1.</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Na dan podnošenja ovog stečajnog plana, samo stečajni vjerovnik s osporenom tražbinom Grad Zagreb ima pravo glasa o ovome stečajnome planu.</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r w:rsidRPr="002A01A2">
        <w:rPr>
          <w:rFonts w:cs="Times New Roman" w:eastAsia="Times New Roman" w:hAnsi="Tahoma" w:ascii="Tahoma"/>
          <w:b/>
          <w:sz w:val="28"/>
          <w:szCs w:val="28"/>
          <w:lang w:eastAsia="hr-HR"/>
        </w:rPr>
        <w:t xml:space="preserve"> </w:t>
      </w:r>
      <w:bookmarkStart w:name="_Toc508186602" w:id="61"/>
      <w:bookmarkStart w:name="_Toc514765815" w:id="62"/>
      <w:r w:rsidRPr="002A01A2">
        <w:rPr>
          <w:rFonts w:cs="Times New Roman" w:eastAsia="Times New Roman" w:hAnsi="Tahoma" w:ascii="Tahoma"/>
          <w:b/>
          <w:sz w:val="28"/>
          <w:szCs w:val="28"/>
          <w:lang w:eastAsia="hr-HR"/>
        </w:rPr>
        <w:t>Postupak – ročišta i rješenja</w:t>
      </w:r>
      <w:bookmarkEnd w:id="61"/>
      <w:bookmarkEnd w:id="62"/>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Pravila postupka usvajanja i potvrde stečajnoga plana uređena su odredbama članaka 317. do  339. SZ/15.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Obveza na izradu sažetka stečajnog plana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Za potrebe obrazlaganja stečajnoga plana vjerovnicima sastavljen je njegov sažetak, koji sadrži bitne odredbe ovoga stečajnoga plana o namirenju vjerovnika putem mjera stečajnoga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Razmatranje stečajnoga plana na Odboru vjerovnika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dužnik nema osnovan odbor vjerovnika, tako da ne postoji obveza podnošenja stečajnog plana na razmatranje odboru vjerovnika.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Izlaganje stečajnoga plana sa svim prilozima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plan sa svim prilozima i očitovanjima bit će izložen u stečajnoj pisarnici Trgovačkog suda u Bjelovaru, te u poslovnom prostoru stečajnog dužnika u Bjelovaru, Trg Eugena Kvaternika </w:t>
      </w:r>
      <w:proofErr w:type="spellStart"/>
      <w:r w:rsidRPr="002A01A2">
        <w:rPr>
          <w:rFonts w:cs="Times New Roman" w:eastAsia="Times New Roman" w:hAnsi="Tahoma" w:ascii="Tahoma"/>
          <w:lang w:eastAsia="hr-HR"/>
        </w:rPr>
        <w:t>bb</w:t>
      </w:r>
      <w:proofErr w:type="spellEnd"/>
      <w:r w:rsidRPr="002A01A2">
        <w:rPr>
          <w:rFonts w:cs="Times New Roman" w:eastAsia="Times New Roman" w:hAnsi="Tahoma" w:ascii="Tahoma"/>
          <w:lang w:eastAsia="hr-HR"/>
        </w:rPr>
        <w:t>.</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Obveza na objavu oglasa o pozivanju vjerovnika, o potvrdi stečajnog plana i pravomoćnosti rješenja o njegovoj potvrdi  </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i/>
          <w:lang w:eastAsia="hr-HR"/>
        </w:rPr>
      </w:pPr>
      <w:r w:rsidRPr="002A01A2">
        <w:rPr>
          <w:rFonts w:cs="Times New Roman" w:eastAsia="Times New Roman" w:hAnsi="Tahoma" w:ascii="Tahoma"/>
          <w:lang w:eastAsia="hr-HR"/>
        </w:rPr>
        <w:lastRenderedPageBreak/>
        <w:t xml:space="preserve">Oglas o pozivanju vjerovnika na izjašnjenje (glasovanje) o stečajnom planu, cjelina stečajnog plana te rješenje o potvrdi i pravomoćnosti rješenja o potvrdi stečajnog plana bit će objavljeni na mrežnim stranicama </w:t>
      </w:r>
      <w:r w:rsidRPr="002A01A2">
        <w:rPr>
          <w:rFonts w:cs="Times New Roman" w:eastAsia="Times New Roman" w:hAnsi="Tahoma" w:ascii="Tahoma"/>
          <w:i/>
          <w:lang w:eastAsia="hr-HR"/>
        </w:rPr>
        <w:t>e-oglasna ploča sudova.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Troškovi pripreme i provedbe stečajnog plana</w:t>
      </w: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Troškove pripreme i provedbe stečajnoga plana snosit će stečajni dužnik.</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Prijedlog za održavanje ročišta radi glasovanja o stečajnom planu, po pojedinim skupinama vjerovnika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upravitelj predlaže stečajnom sucu, da zakaže ročišta za raspravljanje i glasovanje o stečajnom planu. </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Nadzor nad ispunjavanje stečajnog plana</w:t>
      </w: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Stečajnim planom predviđeno je provođenje mjera namirenja vjerovnika i sanacije stečajnog dužnika u roku od 180 dana od dana pravomoćnosti rješenja o potvrdi stečajnoga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upravitelj predlaže da stečajni sud donese rješenje o zaključenju stečajnoga postupka nakon provedbe svih mjera stečajnog plana, te da tim rješenjem odredi nadzor nad provođenjem ostatka eventualno neprovedenih mjera stečajnoga plana u trajanju od šest mjeseci od dana donošenja rješenja o zaključenju stečajnog postupka.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1"/>
          <w:numId w:val="14"/>
        </w:numPr>
        <w:spacing w:lineRule="auto" w:line="240" w:after="0"/>
        <w:contextualSpacing/>
        <w:jc w:val="both"/>
        <w:rPr>
          <w:rFonts w:cs="Times New Roman" w:eastAsia="Times New Roman" w:hAnsi="Tahoma" w:ascii="Tahoma"/>
          <w:b/>
          <w:lang w:eastAsia="hr-HR"/>
        </w:rPr>
      </w:pPr>
      <w:r w:rsidRPr="002A01A2">
        <w:rPr>
          <w:rFonts w:cs="Times New Roman" w:eastAsia="Times New Roman" w:hAnsi="Tahoma" w:ascii="Tahoma"/>
          <w:b/>
          <w:lang w:eastAsia="hr-HR"/>
        </w:rPr>
        <w:t xml:space="preserve">Ovlast stečajnom upravitelju  za vođenje parnica nakon zaključenja stečajnog postupka i za nadzor nad postupcima koje preuzima </w:t>
      </w:r>
      <w:proofErr w:type="spellStart"/>
      <w:r w:rsidRPr="002A01A2">
        <w:rPr>
          <w:rFonts w:cs="Times New Roman" w:eastAsia="Times New Roman" w:hAnsi="Tahoma" w:ascii="Tahoma"/>
          <w:b/>
          <w:lang w:eastAsia="hr-HR"/>
        </w:rPr>
        <w:t>sljednik</w:t>
      </w:r>
      <w:proofErr w:type="spellEnd"/>
      <w:r w:rsidRPr="002A01A2">
        <w:rPr>
          <w:rFonts w:cs="Times New Roman" w:eastAsia="Times New Roman" w:hAnsi="Tahoma" w:ascii="Tahoma"/>
          <w:b/>
          <w:lang w:eastAsia="hr-HR"/>
        </w:rPr>
        <w:t xml:space="preserve"> stečajnog dužnika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 xml:space="preserve">Stečajni upravitelj predlaže stečajnom sucu, da rješenjem o potvrdi stečajnoga plana ovlasti stečajnog upravitelja za vođenje nedovršenih parnica nakon zaključenja stečajnog postupka i za provođenje nadzora nad tim postupcima nakon što ih preuzme </w:t>
      </w:r>
      <w:proofErr w:type="spellStart"/>
      <w:r w:rsidRPr="002A01A2">
        <w:rPr>
          <w:rFonts w:cs="Times New Roman" w:eastAsia="Times New Roman" w:hAnsi="Tahoma" w:ascii="Tahoma"/>
          <w:lang w:eastAsia="hr-HR"/>
        </w:rPr>
        <w:t>sljednik</w:t>
      </w:r>
      <w:proofErr w:type="spellEnd"/>
      <w:r w:rsidRPr="002A01A2">
        <w:rPr>
          <w:rFonts w:cs="Times New Roman" w:eastAsia="Times New Roman" w:hAnsi="Tahoma" w:ascii="Tahoma"/>
          <w:lang w:eastAsia="hr-HR"/>
        </w:rPr>
        <w:t xml:space="preserve"> stečajnog dužnika, u trajanju od 120 dana od dana donošenja rješenja o zaključenju stečajnog postupka.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ind w:hanging="360" w:left="720"/>
        <w:contextualSpacing/>
        <w:jc w:val="both"/>
        <w:rPr>
          <w:rFonts w:cs="Times New Roman" w:eastAsia="Times New Roman" w:hAnsi="Tahoma" w:ascii="Tahoma"/>
          <w:b/>
          <w:sz w:val="28"/>
          <w:szCs w:val="28"/>
          <w:lang w:eastAsia="hr-HR"/>
        </w:rPr>
      </w:pPr>
      <w:bookmarkStart w:name="_Toc508186603" w:id="63"/>
      <w:bookmarkStart w:name="_Toc514765816" w:id="64"/>
      <w:r w:rsidRPr="002A01A2">
        <w:rPr>
          <w:rFonts w:cs="Times New Roman" w:eastAsia="Times New Roman" w:hAnsi="Tahoma" w:ascii="Tahoma"/>
          <w:b/>
          <w:sz w:val="28"/>
          <w:szCs w:val="28"/>
          <w:lang w:eastAsia="hr-HR"/>
        </w:rPr>
        <w:t>Prijedlog stečajnom sucu za donošenje rješenja o potvrdi stečajnog plana s prijedlogom teksta izreke rješenja</w:t>
      </w:r>
      <w:bookmarkEnd w:id="63"/>
      <w:bookmarkEnd w:id="64"/>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lang w:eastAsia="hr-HR"/>
        </w:rPr>
      </w:pPr>
      <w:r w:rsidRPr="002A01A2">
        <w:rPr>
          <w:rFonts w:cs="Times New Roman" w:eastAsia="Times New Roman" w:hAnsi="Tahoma" w:ascii="Tahoma"/>
          <w:lang w:eastAsia="hr-HR"/>
        </w:rPr>
        <w:t>Stečajni upravitelj predlaže stečajnom sucu, da nakon glasovanja potrebne većine vjerovnika za usvajanje stečajnoga plana, donese i objavi sljedeće</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center"/>
        <w:rPr>
          <w:rFonts w:cs="Times New Roman" w:eastAsia="Times New Roman" w:hAnsi="Tahoma" w:ascii="Tahoma"/>
          <w:b/>
          <w:sz w:val="40"/>
          <w:szCs w:val="40"/>
          <w:lang w:eastAsia="hr-HR"/>
        </w:rPr>
      </w:pPr>
      <w:r w:rsidRPr="002A01A2">
        <w:rPr>
          <w:rFonts w:cs="Times New Roman" w:eastAsia="Times New Roman" w:hAnsi="Tahoma" w:ascii="Tahoma"/>
          <w:b/>
          <w:sz w:val="40"/>
          <w:szCs w:val="40"/>
          <w:lang w:eastAsia="hr-HR"/>
        </w:rPr>
        <w:t>RJEŠENJE</w:t>
      </w:r>
    </w:p>
    <w:p w:rsidRDefault="002A01A2" w:rsidP="002A01A2" w:rsidR="002A01A2" w:rsidRPr="002A01A2">
      <w:pPr>
        <w:spacing w:lineRule="auto" w:line="240" w:after="0"/>
        <w:jc w:val="center"/>
        <w:rPr>
          <w:rFonts w:cs="Times New Roman" w:eastAsia="Times New Roman" w:hAnsi="Tahoma" w:ascii="Tahoma"/>
          <w:b/>
          <w:sz w:val="40"/>
          <w:szCs w:val="40"/>
          <w:lang w:eastAsia="hr-HR"/>
        </w:rPr>
      </w:pPr>
      <w:r w:rsidRPr="002A01A2">
        <w:rPr>
          <w:rFonts w:cs="Times New Roman" w:eastAsia="Times New Roman" w:hAnsi="Tahoma" w:ascii="Tahoma"/>
          <w:b/>
          <w:sz w:val="40"/>
          <w:szCs w:val="40"/>
          <w:lang w:eastAsia="hr-HR"/>
        </w:rPr>
        <w:t>o potvrdi Stečajnog plana</w:t>
      </w: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b/>
          <w:i/>
          <w:lang w:eastAsia="hr-HR"/>
        </w:rPr>
        <w:t xml:space="preserve">Potvrđuje se </w:t>
      </w:r>
      <w:r w:rsidRPr="002A01A2">
        <w:rPr>
          <w:rFonts w:cs="Times New Roman" w:eastAsia="Times New Roman" w:hAnsi="Tahoma" w:ascii="Tahoma"/>
          <w:i/>
          <w:lang w:eastAsia="hr-HR"/>
        </w:rPr>
        <w:t xml:space="preserve">Stečajni plan koji je stečajnoj sutkinji podnio stečajni upravitelj Nenad Homar iz Koprivnice dana 28. svibnja 2018. godine za stečajnog dužnika INFORMATIVNI CENTAR BJELOVAR d.o.o. u stečaju (u nastavku ovoga Rješenja: stečajni dužnik), upisano u sudski registar Trgovačkog suda u  Bjelovaru, MBS 010009981, OIB  14895266944 sa sjedištem u Bjelovaru i s potanjom adresom Trg </w:t>
      </w:r>
      <w:r w:rsidRPr="002A01A2">
        <w:rPr>
          <w:rFonts w:cs="Times New Roman" w:eastAsia="Times New Roman" w:hAnsi="Tahoma" w:ascii="Tahoma"/>
          <w:i/>
          <w:lang w:eastAsia="hr-HR"/>
        </w:rPr>
        <w:lastRenderedPageBreak/>
        <w:t xml:space="preserve">Eugena Kumičića </w:t>
      </w:r>
      <w:proofErr w:type="spellStart"/>
      <w:r w:rsidRPr="002A01A2">
        <w:rPr>
          <w:rFonts w:cs="Times New Roman" w:eastAsia="Times New Roman" w:hAnsi="Tahoma" w:ascii="Tahoma"/>
          <w:i/>
          <w:lang w:eastAsia="hr-HR"/>
        </w:rPr>
        <w:t>bb</w:t>
      </w:r>
      <w:proofErr w:type="spellEnd"/>
      <w:r w:rsidRPr="002A01A2">
        <w:rPr>
          <w:rFonts w:cs="Times New Roman" w:eastAsia="Times New Roman" w:hAnsi="Tahoma" w:ascii="Tahoma"/>
          <w:i/>
          <w:lang w:eastAsia="hr-HR"/>
        </w:rPr>
        <w:t xml:space="preserve">,  koji Stečajni plan sa svim prilozima i izmjenama su prihvatili vjerovnici potrebnom većinom glasova na ročištima za raspravu i glasovanje o stečajnom planu održanima dana </w:t>
      </w:r>
      <w:proofErr w:type="spellStart"/>
      <w:r w:rsidRPr="002A01A2">
        <w:rPr>
          <w:rFonts w:cs="Times New Roman" w:eastAsia="Times New Roman" w:hAnsi="Tahoma" w:ascii="Tahoma"/>
          <w:i/>
          <w:lang w:eastAsia="hr-HR"/>
        </w:rPr>
        <w:t>xx</w:t>
      </w:r>
      <w:proofErr w:type="spellEnd"/>
      <w:r w:rsidRPr="002A01A2">
        <w:rPr>
          <w:rFonts w:cs="Times New Roman" w:eastAsia="Times New Roman" w:hAnsi="Tahoma" w:ascii="Tahoma"/>
          <w:i/>
          <w:lang w:eastAsia="hr-HR"/>
        </w:rPr>
        <w:t>. lipnja 2018. godine, s Provedbenom osnovom kako je navedena u sljedećim točkama ovoga Rješenja.</w:t>
      </w:r>
    </w:p>
    <w:p w:rsidRDefault="002A01A2" w:rsidP="002A01A2" w:rsidR="002A01A2" w:rsidRPr="002A01A2">
      <w:pPr>
        <w:spacing w:lineRule="auto" w:line="240" w:after="0"/>
        <w:jc w:val="both"/>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b/>
          <w:i/>
          <w:lang w:eastAsia="hr-HR"/>
        </w:rPr>
        <w:t>Utvrđuje se</w:t>
      </w:r>
      <w:r w:rsidRPr="002A01A2">
        <w:rPr>
          <w:rFonts w:cs="Times New Roman" w:eastAsia="Times New Roman" w:hAnsi="Tahoma" w:ascii="Tahoma"/>
          <w:i/>
          <w:lang w:eastAsia="hr-HR"/>
        </w:rPr>
        <w:t>, da se sveukupna imovina stečajnog dužnika ostavlja stečajnome dužniku, radi nastavka poslovanja na osnovama utvrđenima Pripremnom i Provedbenom osnovom Stečajnoga plana.</w:t>
      </w:r>
    </w:p>
    <w:p w:rsidRDefault="002A01A2" w:rsidP="002A01A2" w:rsidR="002A01A2" w:rsidRPr="002A01A2">
      <w:pPr>
        <w:spacing w:lineRule="auto" w:line="240" w:after="0"/>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Utvrđuje se smanjenje (otpis) obveza stečajnog dužnika prema stečajnim vjerovnicima, za vrijednost koju čini 90% utvrđene tražbine svakog pojedinog vjerovnika, te se nalaže stečajnom upravitelju, da ostatak iznosa utvrđenih tražbina isplati stečajnim vjerovnicima na teret stečajne mase u roku od 180 dana od dana pravomoćnosti ovoga Rješenja, a sve prema vrijednostima iskazanima kako slijedi:</w:t>
      </w: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2A01A2" w:rsidR="002A01A2" w:rsidRPr="002A01A2">
      <w:pPr>
        <w:spacing w:lineRule="auto" w:line="240" w:after="0"/>
        <w:ind w:left="1288"/>
        <w:contextualSpacing/>
        <w:jc w:val="both"/>
        <w:rPr>
          <w:rFonts w:cs="Times New Roman" w:eastAsia="Times New Roman" w:hAnsi="Tahoma" w:ascii="Tahoma"/>
          <w:i/>
          <w:lang w:eastAsia="hr-HR"/>
        </w:rPr>
      </w:pPr>
    </w:p>
    <w:tbl>
      <w:tblPr>
        <w:tblStyle w:val="Reetkatablice3"/>
        <w:tblW w:type="auto" w:w="0"/>
        <w:tblLayout w:type="fixed"/>
        <w:tblLook w:val="04A0" w:noVBand="1" w:noHBand="0" w:lastColumn="0" w:firstColumn="1" w:lastRow="0" w:firstRow="1"/>
      </w:tblPr>
      <w:tblGrid>
        <w:gridCol w:w="3085"/>
        <w:gridCol w:w="1559"/>
        <w:gridCol w:w="1604"/>
        <w:gridCol w:w="1646"/>
        <w:gridCol w:w="1394"/>
      </w:tblGrid>
      <w:tr w:rsidTr="002A01A2" w:rsidR="002A01A2" w:rsidRPr="002A01A2">
        <w:trPr>
          <w:trHeight w:val="564"/>
        </w:trPr>
        <w:tc>
          <w:tcPr>
            <w:tcW w:type="dxa" w:w="3085"/>
            <w:tcBorders>
              <w:right w:space="0" w:sz="4" w:color="auto" w:val="single"/>
            </w:tcBorders>
            <w:shd w:themeFillShade="D9" w:themeFill="background1" w:fill="D9D9D9" w:color="auto" w:val="clear"/>
            <w:vAlign w:val="center"/>
            <w:hideMark/>
          </w:tcPr>
          <w:p w:rsidRDefault="002A01A2" w:rsidP="002A01A2" w:rsidR="002A01A2" w:rsidRPr="002A01A2">
            <w:pPr>
              <w:rPr>
                <w:rFonts w:cs="Tahoma"/>
                <w:noProof/>
                <w:sz w:val="18"/>
                <w:szCs w:val="18"/>
              </w:rPr>
            </w:pPr>
            <w:r w:rsidRPr="002A01A2">
              <w:rPr>
                <w:rFonts w:cs="Tahoma"/>
                <w:noProof/>
                <w:sz w:val="18"/>
                <w:szCs w:val="18"/>
              </w:rPr>
              <w:t>STEČAJNI VJEROVNIK</w:t>
            </w:r>
          </w:p>
        </w:tc>
        <w:tc>
          <w:tcPr>
            <w:tcW w:type="dxa" w:w="155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2A01A2" w:rsidP="002A01A2" w:rsidR="002A01A2" w:rsidRPr="002A01A2">
            <w:pPr>
              <w:rPr>
                <w:rFonts w:cs="Tahoma"/>
                <w:noProof/>
                <w:sz w:val="18"/>
                <w:szCs w:val="18"/>
              </w:rPr>
            </w:pPr>
            <w:r w:rsidRPr="002A01A2">
              <w:rPr>
                <w:rFonts w:cs="Tahoma"/>
                <w:noProof/>
                <w:sz w:val="18"/>
                <w:szCs w:val="18"/>
              </w:rPr>
              <w:t>OIB</w:t>
            </w:r>
          </w:p>
        </w:tc>
        <w:tc>
          <w:tcPr>
            <w:tcW w:type="dxa" w:w="1604"/>
            <w:tcBorders>
              <w:left w:space="0" w:sz="4" w:color="auto" w:val="single"/>
            </w:tcBorders>
            <w:shd w:themeFillShade="D9" w:themeFill="background1" w:fill="D9D9D9" w:color="auto" w:val="clear"/>
            <w:vAlign w:val="center"/>
            <w:hideMark/>
          </w:tcPr>
          <w:p w:rsidRDefault="002A01A2" w:rsidP="002A01A2" w:rsidR="002A01A2" w:rsidRPr="002A01A2">
            <w:pPr>
              <w:rPr>
                <w:rFonts w:cs="Tahoma"/>
                <w:noProof/>
                <w:sz w:val="18"/>
                <w:szCs w:val="18"/>
              </w:rPr>
            </w:pPr>
            <w:r w:rsidRPr="002A01A2">
              <w:rPr>
                <w:rFonts w:cs="Tahoma"/>
                <w:noProof/>
                <w:sz w:val="18"/>
                <w:szCs w:val="18"/>
              </w:rPr>
              <w:t>UTVRĐENA TRAŽBINA</w:t>
            </w:r>
          </w:p>
        </w:tc>
        <w:tc>
          <w:tcPr>
            <w:tcW w:type="dxa" w:w="1646"/>
            <w:shd w:themeFillShade="D9" w:themeFill="background1" w:fill="D9D9D9" w:color="auto" w:val="clear"/>
            <w:vAlign w:val="center"/>
            <w:hideMark/>
          </w:tcPr>
          <w:p w:rsidRDefault="002A01A2" w:rsidP="002A01A2" w:rsidR="002A01A2" w:rsidRPr="002A01A2">
            <w:pPr>
              <w:rPr>
                <w:rFonts w:cs="Tahoma"/>
                <w:noProof/>
                <w:sz w:val="18"/>
                <w:szCs w:val="18"/>
              </w:rPr>
            </w:pPr>
            <w:r w:rsidRPr="002A01A2">
              <w:rPr>
                <w:rFonts w:cs="Tahoma"/>
                <w:noProof/>
                <w:sz w:val="18"/>
                <w:szCs w:val="18"/>
              </w:rPr>
              <w:t>IZNOS SMANJENJA OBVEZE</w:t>
            </w:r>
          </w:p>
        </w:tc>
        <w:tc>
          <w:tcPr>
            <w:tcW w:type="dxa" w:w="1394"/>
            <w:shd w:themeFillShade="D9" w:themeFill="background1" w:fill="D9D9D9" w:color="auto" w:val="clear"/>
            <w:vAlign w:val="center"/>
            <w:hideMark/>
          </w:tcPr>
          <w:p w:rsidRDefault="002A01A2" w:rsidP="002A01A2" w:rsidR="002A01A2" w:rsidRPr="002A01A2">
            <w:pPr>
              <w:rPr>
                <w:rFonts w:cs="Tahoma"/>
                <w:noProof/>
                <w:sz w:val="18"/>
                <w:szCs w:val="18"/>
              </w:rPr>
            </w:pPr>
            <w:r w:rsidRPr="002A01A2">
              <w:rPr>
                <w:rFonts w:cs="Tahoma"/>
                <w:noProof/>
                <w:sz w:val="18"/>
                <w:szCs w:val="18"/>
              </w:rPr>
              <w:t>IZNOS ZA ISPLATU</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HRVATSKE VODE, pravna osoba za upravljanje vodama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28921383001</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20.217,36</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18.195,62</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2.021,73</w:t>
            </w:r>
          </w:p>
        </w:tc>
      </w:tr>
      <w:tr w:rsidTr="002A01A2" w:rsidR="002A01A2" w:rsidRPr="002A01A2">
        <w:trPr>
          <w:trHeight w:val="1116"/>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REPUBLIKA HRVATSKA MINISTARSTVO FINANCIJA, Porezna uprava, Područni ured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18683136487</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284.643,26</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256.178,93</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28.464,32</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KOMUNALAC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27962400486</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4.418,35</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3.976,51</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441,83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VODNE USLUGE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43307218011</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106,3</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95,67</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10,63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GRAD BJELOVAR</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18970641692</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115.139,40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103.625,46</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11.513,94</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IT Jedan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75235737688</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446,13</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401,51</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44,61</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ČAZMATRANS PROMET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96107776452</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616,68</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555,01</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61,66</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GRAD ZAGREB</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61817894937</w:t>
            </w:r>
          </w:p>
        </w:tc>
        <w:tc>
          <w:tcPr>
            <w:tcW w:type="dxa" w:w="1604"/>
            <w:tcBorders>
              <w:left w:space="0" w:sz="4" w:color="auto" w:val="single"/>
            </w:tcBorders>
            <w:hideMark/>
          </w:tcPr>
          <w:p w:rsidRDefault="002A01A2" w:rsidP="002A01A2" w:rsidR="002A01A2" w:rsidRPr="002A01A2">
            <w:pPr>
              <w:jc w:val="right"/>
              <w:rPr>
                <w:rFonts w:cs="Tahoma"/>
                <w:noProof/>
                <w:sz w:val="20"/>
                <w:szCs w:val="20"/>
              </w:rPr>
            </w:pPr>
            <w:r w:rsidRPr="002A01A2">
              <w:rPr>
                <w:rFonts w:cs="Tahoma"/>
                <w:noProof/>
                <w:sz w:val="20"/>
                <w:szCs w:val="20"/>
              </w:rPr>
              <w:t>79.718,41</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71.746,57</w:t>
            </w:r>
          </w:p>
        </w:tc>
        <w:tc>
          <w:tcPr>
            <w:tcW w:type="dxa" w:w="1394"/>
            <w:hideMark/>
          </w:tcPr>
          <w:p w:rsidRDefault="002A01A2" w:rsidP="002A01A2" w:rsidR="002A01A2" w:rsidRPr="002A01A2">
            <w:pPr>
              <w:jc w:val="right"/>
              <w:rPr>
                <w:rFonts w:cs="Tahoma"/>
                <w:noProof/>
                <w:sz w:val="20"/>
                <w:szCs w:val="20"/>
              </w:rPr>
            </w:pPr>
            <w:r w:rsidRPr="002A01A2">
              <w:rPr>
                <w:rFonts w:cs="Tahoma"/>
                <w:noProof/>
                <w:sz w:val="20"/>
                <w:szCs w:val="20"/>
              </w:rPr>
              <w:t>7.971,84</w:t>
            </w:r>
          </w:p>
        </w:tc>
      </w:tr>
      <w:tr w:rsidTr="002A01A2" w:rsidR="002A01A2" w:rsidRPr="002A01A2">
        <w:trPr>
          <w:trHeight w:val="84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HRVATSKA REGULATORNA AGENCIJA ZA MREŽNE DJELATNOSTI</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87950783661</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12.807,00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11.526,30</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1.280,70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HRVATSKO DRUŠTVO SKLADATELJA</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56668956985</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842.984,90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758.686,41</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84.298,49</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AGENCIJA ZA ELEKTRONIČKE MEDIJE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35237547014</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14.537,30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13.083,57</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1.453,73</w:t>
            </w:r>
          </w:p>
        </w:tc>
      </w:tr>
      <w:tr w:rsidTr="002A01A2" w:rsidR="002A01A2" w:rsidRPr="002A01A2">
        <w:trPr>
          <w:trHeight w:val="1168"/>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SUVLASNICI STAMBENE ZGRADE U ZAGREBU, JURJA ŽERJAVIĆA 19, zastupani po: GRADSKO STAMBENO KOMUNALNO PODUZEĆE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3744272526</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16.927,32</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15.234,58</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1.692,73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CROATIA OSIGURANJE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26187994862</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1.301,39</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1.171,25</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130,13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ERSTE CARD CLUB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85941596441</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1.511,15</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1.360,03</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151,11</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ELEKTROMETAL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45669853088</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13.698,28</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12.328,45</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1.369,83</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lastRenderedPageBreak/>
              <w:t>BJELOVARSKI SAJAM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95270568579</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171.079,58</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153.971,62</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17.107,95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ODVJETNICA RUŽICA PILIČIĆ ŠINKO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69036652687</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15.500,00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13.950,00</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1.550,00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PROENERGY</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63962176928</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6.505,79</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5.855,21</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650,57</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MEDIARITAM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95283343666</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3.825,00</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3.442,50</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382,50</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ZAGREBAČKI HOLDING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85584865987</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411,51</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370,35</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41,15</w:t>
            </w:r>
          </w:p>
        </w:tc>
      </w:tr>
      <w:tr w:rsidTr="002A01A2" w:rsidR="002A01A2" w:rsidRPr="002A01A2">
        <w:trPr>
          <w:trHeight w:val="564"/>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GRADSKA PLINARA ZAGREB OPSKRBA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74364571096</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11.271,51</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10.144,36</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1.127,15</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EVENT MASTER d.o.o.</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47792707577</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28.948,88</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26.053,99</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2.894,90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ROBERT VESELJAK</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67946168060</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4.052.136,61</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3.646.922,95</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 xml:space="preserve">  0,00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ODAŠILJAČI I VEZE</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88150534338</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570.603,01</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513.542,70</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57.060,30</w:t>
            </w:r>
          </w:p>
        </w:tc>
      </w:tr>
      <w:tr w:rsidTr="002A01A2" w:rsidR="002A01A2" w:rsidRPr="002A01A2">
        <w:trPr>
          <w:trHeight w:val="300"/>
        </w:trPr>
        <w:tc>
          <w:tcPr>
            <w:tcW w:type="dxa" w:w="3085"/>
            <w:tcBorders>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GLAS SLAVONIJE d.d.</w:t>
            </w:r>
          </w:p>
        </w:tc>
        <w:tc>
          <w:tcPr>
            <w:tcW w:type="dxa" w:w="1559"/>
            <w:tcBorders>
              <w:top w:space="0" w:sz="4" w:color="auto" w:val="single"/>
              <w:left w:space="0" w:sz="4" w:color="auto" w:val="single"/>
              <w:bottom w:space="0" w:sz="4" w:color="auto" w:val="single"/>
              <w:right w:space="0" w:sz="4" w:color="auto" w:val="single"/>
            </w:tcBorders>
            <w:hideMark/>
          </w:tcPr>
          <w:p w:rsidRDefault="002A01A2" w:rsidP="002A01A2" w:rsidR="002A01A2" w:rsidRPr="002A01A2">
            <w:pPr>
              <w:rPr>
                <w:rFonts w:cs="Tahoma"/>
                <w:noProof/>
                <w:sz w:val="20"/>
                <w:szCs w:val="20"/>
              </w:rPr>
            </w:pPr>
            <w:r w:rsidRPr="002A01A2">
              <w:rPr>
                <w:rFonts w:cs="Tahoma"/>
                <w:noProof/>
                <w:sz w:val="20"/>
                <w:szCs w:val="20"/>
              </w:rPr>
              <w:t>87192735882</w:t>
            </w:r>
          </w:p>
        </w:tc>
        <w:tc>
          <w:tcPr>
            <w:tcW w:type="dxa" w:w="1604"/>
            <w:tcBorders>
              <w:left w:space="0" w:sz="4" w:color="auto" w:val="single"/>
            </w:tcBorders>
            <w:noWrap/>
            <w:hideMark/>
          </w:tcPr>
          <w:p w:rsidRDefault="002A01A2" w:rsidP="002A01A2" w:rsidR="002A01A2" w:rsidRPr="002A01A2">
            <w:pPr>
              <w:jc w:val="right"/>
              <w:rPr>
                <w:rFonts w:cs="Tahoma"/>
                <w:noProof/>
                <w:sz w:val="20"/>
                <w:szCs w:val="20"/>
              </w:rPr>
            </w:pPr>
            <w:r w:rsidRPr="002A01A2">
              <w:rPr>
                <w:rFonts w:cs="Tahoma"/>
                <w:noProof/>
                <w:sz w:val="20"/>
                <w:szCs w:val="20"/>
              </w:rPr>
              <w:t>2.292.557,28</w:t>
            </w:r>
          </w:p>
        </w:tc>
        <w:tc>
          <w:tcPr>
            <w:tcW w:type="dxa" w:w="1646"/>
            <w:noWrap/>
            <w:hideMark/>
          </w:tcPr>
          <w:p w:rsidRDefault="002A01A2" w:rsidP="002A01A2" w:rsidR="002A01A2" w:rsidRPr="002A01A2">
            <w:pPr>
              <w:jc w:val="right"/>
              <w:rPr>
                <w:rFonts w:cs="Tahoma"/>
                <w:noProof/>
                <w:sz w:val="20"/>
                <w:szCs w:val="20"/>
              </w:rPr>
            </w:pPr>
            <w:r w:rsidRPr="002A01A2">
              <w:rPr>
                <w:rFonts w:cs="Tahoma"/>
                <w:noProof/>
                <w:sz w:val="20"/>
                <w:szCs w:val="20"/>
              </w:rPr>
              <w:t>2.063.301,55</w:t>
            </w:r>
          </w:p>
        </w:tc>
        <w:tc>
          <w:tcPr>
            <w:tcW w:type="dxa" w:w="1394"/>
            <w:noWrap/>
            <w:hideMark/>
          </w:tcPr>
          <w:p w:rsidRDefault="002A01A2" w:rsidP="002A01A2" w:rsidR="002A01A2" w:rsidRPr="002A01A2">
            <w:pPr>
              <w:jc w:val="right"/>
              <w:rPr>
                <w:rFonts w:cs="Tahoma"/>
                <w:noProof/>
                <w:sz w:val="20"/>
                <w:szCs w:val="20"/>
              </w:rPr>
            </w:pPr>
            <w:r w:rsidRPr="002A01A2">
              <w:rPr>
                <w:rFonts w:cs="Tahoma"/>
                <w:noProof/>
                <w:sz w:val="20"/>
                <w:szCs w:val="20"/>
              </w:rPr>
              <w:t>0,00</w:t>
            </w:r>
          </w:p>
        </w:tc>
      </w:tr>
      <w:tr w:rsidTr="002A01A2" w:rsidR="002A01A2" w:rsidRPr="002A01A2">
        <w:trPr>
          <w:trHeight w:val="312"/>
        </w:trPr>
        <w:tc>
          <w:tcPr>
            <w:tcW w:type="dxa" w:w="4644"/>
            <w:gridSpan w:val="2"/>
            <w:tcBorders>
              <w:right w:space="0" w:sz="4" w:color="auto" w:val="single"/>
            </w:tcBorders>
            <w:shd w:themeFillShade="D9" w:themeFill="background1" w:fill="D9D9D9" w:color="auto" w:val="clear"/>
            <w:noWrap/>
            <w:hideMark/>
          </w:tcPr>
          <w:p w:rsidRDefault="002A01A2" w:rsidP="002A01A2" w:rsidR="002A01A2" w:rsidRPr="002A01A2">
            <w:pPr>
              <w:rPr>
                <w:rFonts w:cs="Tahoma"/>
                <w:noProof/>
                <w:sz w:val="20"/>
                <w:szCs w:val="20"/>
              </w:rPr>
            </w:pPr>
            <w:r w:rsidRPr="002A01A2">
              <w:rPr>
                <w:rFonts w:cs="Tahoma"/>
                <w:noProof/>
                <w:sz w:val="20"/>
                <w:szCs w:val="20"/>
              </w:rPr>
              <w:t xml:space="preserve">UKUPNO                        </w:t>
            </w:r>
          </w:p>
        </w:tc>
        <w:tc>
          <w:tcPr>
            <w:tcW w:type="dxa" w:w="1604"/>
            <w:tcBorders>
              <w:left w:space="0" w:sz="4" w:color="auto" w:val="single"/>
            </w:tcBorders>
            <w:shd w:themeFillShade="D9" w:themeFill="background1" w:fill="D9D9D9" w:color="auto" w:val="clear"/>
            <w:noWrap/>
            <w:hideMark/>
          </w:tcPr>
          <w:p w:rsidRDefault="002A01A2" w:rsidP="002A01A2" w:rsidR="002A01A2" w:rsidRPr="002A01A2">
            <w:pPr>
              <w:jc w:val="right"/>
              <w:rPr>
                <w:rFonts w:cs="Tahoma"/>
                <w:noProof/>
                <w:sz w:val="20"/>
                <w:szCs w:val="20"/>
              </w:rPr>
            </w:pPr>
            <w:r w:rsidRPr="002A01A2">
              <w:rPr>
                <w:rFonts w:cs="Tahoma"/>
                <w:noProof/>
                <w:sz w:val="20"/>
                <w:szCs w:val="20"/>
              </w:rPr>
              <w:t>8.561.912,40</w:t>
            </w:r>
          </w:p>
        </w:tc>
        <w:tc>
          <w:tcPr>
            <w:tcW w:type="dxa" w:w="1646"/>
            <w:shd w:themeFillShade="D9" w:themeFill="background1" w:fill="D9D9D9" w:color="auto" w:val="clear"/>
            <w:noWrap/>
            <w:hideMark/>
          </w:tcPr>
          <w:p w:rsidRDefault="002A01A2" w:rsidP="002A01A2" w:rsidR="002A01A2" w:rsidRPr="002A01A2">
            <w:pPr>
              <w:jc w:val="right"/>
              <w:rPr>
                <w:rFonts w:cs="Tahoma"/>
                <w:noProof/>
                <w:sz w:val="20"/>
                <w:szCs w:val="20"/>
              </w:rPr>
            </w:pPr>
            <w:r w:rsidRPr="002A01A2">
              <w:rPr>
                <w:rFonts w:cs="Tahoma"/>
                <w:noProof/>
                <w:sz w:val="20"/>
                <w:szCs w:val="20"/>
              </w:rPr>
              <w:t>7.705.721,10</w:t>
            </w:r>
          </w:p>
        </w:tc>
        <w:tc>
          <w:tcPr>
            <w:tcW w:type="dxa" w:w="1394"/>
            <w:shd w:themeFillShade="D9" w:themeFill="background1" w:fill="D9D9D9" w:color="auto" w:val="clear"/>
            <w:noWrap/>
            <w:hideMark/>
          </w:tcPr>
          <w:p w:rsidRDefault="002A01A2" w:rsidP="002A01A2" w:rsidR="002A01A2" w:rsidRPr="002A01A2">
            <w:pPr>
              <w:jc w:val="right"/>
              <w:rPr>
                <w:rFonts w:cs="Tahoma"/>
                <w:noProof/>
                <w:sz w:val="20"/>
                <w:szCs w:val="20"/>
              </w:rPr>
            </w:pPr>
            <w:r w:rsidRPr="002A01A2">
              <w:rPr>
                <w:rFonts w:cs="Tahoma"/>
                <w:noProof/>
                <w:sz w:val="20"/>
                <w:szCs w:val="20"/>
              </w:rPr>
              <w:t>221.721,80</w:t>
            </w:r>
          </w:p>
        </w:tc>
      </w:tr>
    </w:tbl>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2A01A2" w:rsidR="002A01A2" w:rsidRPr="002A01A2">
      <w:pPr>
        <w:spacing w:lineRule="auto" w:line="240" w:after="0"/>
        <w:rPr>
          <w:rFonts w:cs="Times New Roman" w:eastAsia="Times New Roman" w:hAnsi="Tahoma" w:ascii="Tahoma"/>
          <w:lang w:eastAsia="hr-HR"/>
        </w:rPr>
      </w:pPr>
    </w:p>
    <w:p w:rsidRDefault="002A01A2" w:rsidP="002A01A2" w:rsidR="002A01A2" w:rsidRPr="002A01A2">
      <w:pPr>
        <w:spacing w:lineRule="auto" w:line="240" w:after="0"/>
        <w:jc w:val="both"/>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b/>
          <w:i/>
          <w:lang w:eastAsia="hr-HR"/>
        </w:rPr>
        <w:t xml:space="preserve">Utvrđuje se, </w:t>
      </w:r>
      <w:r w:rsidRPr="002A01A2">
        <w:rPr>
          <w:rFonts w:cs="Times New Roman" w:eastAsia="Times New Roman" w:hAnsi="Tahoma" w:ascii="Tahoma"/>
          <w:i/>
          <w:lang w:eastAsia="hr-HR"/>
        </w:rPr>
        <w:t xml:space="preserve">da se radi potpunog namirenja tražbina  stečajnog vjerovnika Glas Slavonije d.d., OIB 87192735882, ostatak njegove utvrđene tražbine u iznosu od 229.255,72 kn   prenosi u nenovčano namirenje, tako što se navedeni ostatak iznosa utvrđene tražbine unosi kao pravo tog vjerovnika u temeljni kapital društva stečajnoga dužnika, radi stjecanja poslovnog udjela u društvu stečajnog dužnika u nominalnom iznosu od 229.200,00 kuna, dok se ostatak tražbine u iznosu od 55,72 kn prenosi u rezerve društva stečajnog dužnika, a sve to, u postupku povećanja temeljnog kapitala  društva stečajnog dužnika temeljem odluke o povećanju temeljnog kapitala iz točke </w:t>
      </w:r>
      <w:r w:rsidRPr="002A01A2">
        <w:rPr>
          <w:rFonts w:cs="Times New Roman" w:eastAsia="Times New Roman" w:hAnsi="Tahoma" w:ascii="Tahoma"/>
          <w:b/>
          <w:i/>
          <w:lang w:eastAsia="hr-HR"/>
        </w:rPr>
        <w:t xml:space="preserve">XII. </w:t>
      </w:r>
      <w:r w:rsidRPr="002A01A2">
        <w:rPr>
          <w:rFonts w:cs="Times New Roman" w:eastAsia="Times New Roman" w:hAnsi="Tahoma" w:ascii="Tahoma"/>
          <w:i/>
          <w:lang w:eastAsia="hr-HR"/>
        </w:rPr>
        <w:t>ovoga Rješenja.</w:t>
      </w:r>
    </w:p>
    <w:p w:rsidRDefault="002A01A2" w:rsidP="002A01A2" w:rsidR="002A01A2" w:rsidRPr="002A01A2">
      <w:pPr>
        <w:spacing w:lineRule="auto" w:line="240" w:after="0"/>
        <w:jc w:val="both"/>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b/>
          <w:i/>
          <w:lang w:eastAsia="hr-HR"/>
        </w:rPr>
        <w:t xml:space="preserve">Utvrđuje se, </w:t>
      </w:r>
      <w:r w:rsidRPr="002A01A2">
        <w:rPr>
          <w:rFonts w:cs="Times New Roman" w:eastAsia="Times New Roman" w:hAnsi="Tahoma" w:ascii="Tahoma"/>
          <w:i/>
          <w:lang w:eastAsia="hr-HR"/>
        </w:rPr>
        <w:t xml:space="preserve">da se radi potpunog namirenja tražbina  stečajnog vjerovnika ROBERT VESELJAK, OIB 67946168060,  ostatak njegove utvrđene tražbine u iznosu od 405.213,66 kn prenosi u nenovčano namirenje, tako što se navedeni ostatak iznosa utvrđene tražbine unosi kao pravo tog vjerovnika u temeljni kapital društva stečajnoga dužnika, radi stjecanja poslovnog udjela u društvu stečajnog dužnika u nominalnom iznosu od 405.200,00 kuna, dok se ostatak tražbine u iznosu od 13,66 kn prenosi u rezerve društva stečajnog dužnika, a sve to, u postupku povećanja temeljnog kapitala  društva stečajnog dužnika temeljem odluke o povećanju temeljnog kapitala iz točke </w:t>
      </w:r>
      <w:r w:rsidRPr="002A01A2">
        <w:rPr>
          <w:rFonts w:cs="Times New Roman" w:eastAsia="Times New Roman" w:hAnsi="Tahoma" w:ascii="Tahoma"/>
          <w:b/>
          <w:i/>
          <w:lang w:eastAsia="hr-HR"/>
        </w:rPr>
        <w:t xml:space="preserve">XII. </w:t>
      </w:r>
      <w:r w:rsidRPr="002A01A2">
        <w:rPr>
          <w:rFonts w:cs="Times New Roman" w:eastAsia="Times New Roman" w:hAnsi="Tahoma" w:ascii="Tahoma"/>
          <w:i/>
          <w:lang w:eastAsia="hr-HR"/>
        </w:rPr>
        <w:t>ovoga Rješenja.</w:t>
      </w:r>
    </w:p>
    <w:p w:rsidRDefault="002A01A2" w:rsidP="002A01A2" w:rsidR="002A01A2" w:rsidRPr="002A01A2">
      <w:pPr>
        <w:spacing w:lineRule="auto" w:line="240" w:after="0"/>
        <w:jc w:val="both"/>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i/>
          <w:lang w:eastAsia="hr-HR"/>
        </w:rPr>
        <w:t xml:space="preserve">Stečajni dužnik dužan je izdvojiti sredstva u visini do 10% iznosa osporenih tražbina stečajnog vjerovnika s osporenim tražbinama, a radi naknadne isplate tražbina onim stečajnim vjerovnicima kojima naknadno bude pravomoćnom presudom utvrđeno postojanje njihove tražbine prema stečajnom dužnika kao stečajnog vjerovnika drugog višeg isplatnog reda. Iz odredbe prethodne rečenice izuzet je stečajni vjerovnik s osporenom tražbinom Erste &amp; </w:t>
      </w:r>
      <w:proofErr w:type="spellStart"/>
      <w:r w:rsidRPr="002A01A2">
        <w:rPr>
          <w:rFonts w:cs="Times New Roman" w:eastAsia="Times New Roman" w:hAnsi="Tahoma" w:ascii="Tahoma"/>
          <w:i/>
          <w:lang w:eastAsia="hr-HR"/>
        </w:rPr>
        <w:t>Steiermarkische</w:t>
      </w:r>
      <w:proofErr w:type="spellEnd"/>
      <w:r w:rsidRPr="002A01A2">
        <w:rPr>
          <w:rFonts w:cs="Times New Roman" w:eastAsia="Times New Roman" w:hAnsi="Tahoma" w:ascii="Tahoma"/>
          <w:i/>
          <w:lang w:eastAsia="hr-HR"/>
        </w:rPr>
        <w:t xml:space="preserve"> </w:t>
      </w:r>
      <w:proofErr w:type="spellStart"/>
      <w:r w:rsidRPr="002A01A2">
        <w:rPr>
          <w:rFonts w:cs="Times New Roman" w:eastAsia="Times New Roman" w:hAnsi="Tahoma" w:ascii="Tahoma"/>
          <w:i/>
          <w:lang w:eastAsia="hr-HR"/>
        </w:rPr>
        <w:t>bank</w:t>
      </w:r>
      <w:proofErr w:type="spellEnd"/>
      <w:r w:rsidRPr="002A01A2">
        <w:rPr>
          <w:rFonts w:cs="Times New Roman" w:eastAsia="Times New Roman" w:hAnsi="Tahoma" w:ascii="Tahoma"/>
          <w:i/>
          <w:lang w:eastAsia="hr-HR"/>
        </w:rPr>
        <w:t xml:space="preserve"> d.d.</w:t>
      </w:r>
    </w:p>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proofErr w:type="spellStart"/>
      <w:r w:rsidRPr="002A01A2">
        <w:rPr>
          <w:rFonts w:cs="Times New Roman" w:eastAsia="Times New Roman" w:hAnsi="Tahoma" w:ascii="Tahoma"/>
          <w:i/>
          <w:lang w:eastAsia="hr-HR"/>
        </w:rPr>
        <w:t>Sljednik</w:t>
      </w:r>
      <w:proofErr w:type="spellEnd"/>
      <w:r w:rsidRPr="002A01A2">
        <w:rPr>
          <w:rFonts w:cs="Times New Roman" w:eastAsia="Times New Roman" w:hAnsi="Tahoma" w:ascii="Tahoma"/>
          <w:i/>
          <w:lang w:eastAsia="hr-HR"/>
        </w:rPr>
        <w:t xml:space="preserve"> stečajnog dužnika dužan je, za slučaj da pravomoćnom presudom bude utvrđena tražbina stečajnog vjerovnika Erste &amp;</w:t>
      </w:r>
      <w:proofErr w:type="spellStart"/>
      <w:r w:rsidRPr="002A01A2">
        <w:rPr>
          <w:rFonts w:cs="Times New Roman" w:eastAsia="Times New Roman" w:hAnsi="Tahoma" w:ascii="Tahoma"/>
          <w:i/>
          <w:lang w:eastAsia="hr-HR"/>
        </w:rPr>
        <w:t>Steiermarkische</w:t>
      </w:r>
      <w:proofErr w:type="spellEnd"/>
      <w:r w:rsidRPr="002A01A2">
        <w:rPr>
          <w:rFonts w:cs="Times New Roman" w:eastAsia="Times New Roman" w:hAnsi="Tahoma" w:ascii="Tahoma"/>
          <w:i/>
          <w:lang w:eastAsia="hr-HR"/>
        </w:rPr>
        <w:t xml:space="preserve"> </w:t>
      </w:r>
      <w:proofErr w:type="spellStart"/>
      <w:r w:rsidRPr="002A01A2">
        <w:rPr>
          <w:rFonts w:cs="Times New Roman" w:eastAsia="Times New Roman" w:hAnsi="Tahoma" w:ascii="Tahoma"/>
          <w:i/>
          <w:lang w:eastAsia="hr-HR"/>
        </w:rPr>
        <w:t>bank</w:t>
      </w:r>
      <w:proofErr w:type="spellEnd"/>
      <w:r w:rsidRPr="002A01A2">
        <w:rPr>
          <w:rFonts w:cs="Times New Roman" w:eastAsia="Times New Roman" w:hAnsi="Tahoma" w:ascii="Tahoma"/>
          <w:i/>
          <w:lang w:eastAsia="hr-HR"/>
        </w:rPr>
        <w:t xml:space="preserve"> d.d., provesti povećanje temeljnog kapitala društva stečajnog dužnika, unosom prava tog vjerovnika – dijela njegove tražbine koju će činiti iznos do najviše 10% sada osporene </w:t>
      </w:r>
      <w:r w:rsidRPr="002A01A2">
        <w:rPr>
          <w:rFonts w:cs="Times New Roman" w:eastAsia="Times New Roman" w:hAnsi="Tahoma" w:ascii="Tahoma"/>
          <w:i/>
          <w:lang w:eastAsia="hr-HR"/>
        </w:rPr>
        <w:lastRenderedPageBreak/>
        <w:t xml:space="preserve">tražbine, u temeljni kapital društva </w:t>
      </w:r>
      <w:proofErr w:type="spellStart"/>
      <w:r w:rsidRPr="002A01A2">
        <w:rPr>
          <w:rFonts w:cs="Times New Roman" w:eastAsia="Times New Roman" w:hAnsi="Tahoma" w:ascii="Tahoma"/>
          <w:i/>
          <w:lang w:eastAsia="hr-HR"/>
        </w:rPr>
        <w:t>sljednika</w:t>
      </w:r>
      <w:proofErr w:type="spellEnd"/>
      <w:r w:rsidRPr="002A01A2">
        <w:rPr>
          <w:rFonts w:cs="Times New Roman" w:eastAsia="Times New Roman" w:hAnsi="Tahoma" w:ascii="Tahoma"/>
          <w:i/>
          <w:lang w:eastAsia="hr-HR"/>
        </w:rPr>
        <w:t xml:space="preserve"> stečajnog dužnika, a radi stjecanja poslovnog udjela u tome društvu s nominalnim iznosom zaokruženim na niže na višekratnik broja 100 u odnosu na vrijednost unesene tražbine.</w:t>
      </w:r>
    </w:p>
    <w:p w:rsidRDefault="002A01A2" w:rsidP="002A01A2" w:rsidR="002A01A2" w:rsidRPr="002A01A2">
      <w:pPr>
        <w:spacing w:lineRule="auto" w:line="240" w:after="0"/>
        <w:jc w:val="both"/>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b/>
          <w:i/>
          <w:lang w:eastAsia="hr-HR"/>
        </w:rPr>
        <w:t xml:space="preserve"> </w:t>
      </w:r>
      <w:r w:rsidRPr="002A01A2">
        <w:rPr>
          <w:rFonts w:cs="Times New Roman" w:eastAsia="Times New Roman" w:hAnsi="Tahoma" w:ascii="Tahoma"/>
          <w:i/>
          <w:lang w:eastAsia="hr-HR"/>
        </w:rPr>
        <w:t>Utvrđuje se,</w:t>
      </w:r>
      <w:r w:rsidRPr="002A01A2">
        <w:rPr>
          <w:rFonts w:cs="Times New Roman" w:eastAsia="Times New Roman" w:hAnsi="Tahoma" w:ascii="Tahoma"/>
          <w:b/>
          <w:i/>
          <w:lang w:eastAsia="hr-HR"/>
        </w:rPr>
        <w:t xml:space="preserve"> </w:t>
      </w:r>
      <w:r w:rsidRPr="002A01A2">
        <w:rPr>
          <w:rFonts w:cs="Times New Roman" w:eastAsia="Times New Roman" w:hAnsi="Tahoma" w:ascii="Tahoma"/>
          <w:i/>
          <w:lang w:eastAsia="hr-HR"/>
        </w:rPr>
        <w:t xml:space="preserve">da se stečajni vjerovnici drugog višeg isplatnog reda s utvrđenim tražbinama danom primitka isplate novčanog namirenja u pojedinačnim iznosima iz točke </w:t>
      </w:r>
      <w:r w:rsidRPr="002A01A2">
        <w:rPr>
          <w:rFonts w:cs="Times New Roman" w:eastAsia="Times New Roman" w:hAnsi="Tahoma" w:ascii="Tahoma"/>
          <w:b/>
          <w:i/>
          <w:lang w:eastAsia="hr-HR"/>
        </w:rPr>
        <w:t>III</w:t>
      </w:r>
      <w:r w:rsidRPr="002A01A2">
        <w:rPr>
          <w:rFonts w:cs="Times New Roman" w:eastAsia="Times New Roman" w:hAnsi="Tahoma" w:ascii="Tahoma"/>
          <w:i/>
          <w:lang w:eastAsia="hr-HR"/>
        </w:rPr>
        <w:t>. ovoga Rješenja smatraju potpuno namirenima, a stečajni dužnik je oslobođen obveza prema tim stečajnim vjerovnicima.</w:t>
      </w: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 xml:space="preserve">Utvrđuje se, da se s danom upisa povećanja temeljnog kapitala društva stečajnog dužnika unosom prava - ostatka tražbina prema stečajnom dužniku u skladu s točkom </w:t>
      </w:r>
      <w:r w:rsidRPr="002A01A2">
        <w:rPr>
          <w:rFonts w:cs="Times New Roman" w:eastAsia="Times New Roman" w:hAnsi="Tahoma" w:ascii="Tahoma"/>
          <w:b/>
          <w:i/>
          <w:lang w:eastAsia="hr-HR"/>
        </w:rPr>
        <w:t>XII.</w:t>
      </w:r>
      <w:r w:rsidRPr="002A01A2">
        <w:rPr>
          <w:rFonts w:cs="Times New Roman" w:eastAsia="Times New Roman" w:hAnsi="Tahoma" w:ascii="Tahoma"/>
          <w:i/>
          <w:lang w:eastAsia="hr-HR"/>
        </w:rPr>
        <w:t xml:space="preserve"> ovoga Rješenja u sudski registar stečajni vjerovnici GLAS SLAVONIJE d.d. i ROBERT VESELJAK smatraju potpuno namirenima, a </w:t>
      </w:r>
      <w:proofErr w:type="spellStart"/>
      <w:r w:rsidRPr="002A01A2">
        <w:rPr>
          <w:rFonts w:cs="Times New Roman" w:eastAsia="Times New Roman" w:hAnsi="Tahoma" w:ascii="Tahoma"/>
          <w:i/>
          <w:lang w:eastAsia="hr-HR"/>
        </w:rPr>
        <w:t>a</w:t>
      </w:r>
      <w:proofErr w:type="spellEnd"/>
      <w:r w:rsidRPr="002A01A2">
        <w:rPr>
          <w:rFonts w:cs="Times New Roman" w:eastAsia="Times New Roman" w:hAnsi="Tahoma" w:ascii="Tahoma"/>
          <w:i/>
          <w:lang w:eastAsia="hr-HR"/>
        </w:rPr>
        <w:t xml:space="preserve"> stečajni dužnik je oslobođen obveza prema tim stečajnim vjerovnicima.</w:t>
      </w: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Stečajni upravitelj će u roku od 15 dana od dana pravomoćnosti ovoga Rješenja donijeti odluku o spajanju poslovnih udjela postojećih članova društva, temeljem koje Odluke će ti članovi društva imati u društvu svaki po jedan poslovni udjel, i to član društva „</w:t>
      </w:r>
      <w:proofErr w:type="spellStart"/>
      <w:r w:rsidRPr="002A01A2">
        <w:rPr>
          <w:rFonts w:cs="Times New Roman" w:eastAsia="Times New Roman" w:hAnsi="Tahoma" w:ascii="Tahoma"/>
          <w:i/>
          <w:lang w:eastAsia="hr-HR"/>
        </w:rPr>
        <w:t>nasljednička</w:t>
      </w:r>
      <w:proofErr w:type="spellEnd"/>
      <w:r w:rsidRPr="002A01A2">
        <w:rPr>
          <w:rFonts w:cs="Times New Roman" w:eastAsia="Times New Roman" w:hAnsi="Tahoma" w:ascii="Tahoma"/>
          <w:i/>
          <w:lang w:eastAsia="hr-HR"/>
        </w:rPr>
        <w:t xml:space="preserve"> zajednica iza </w:t>
      </w:r>
      <w:proofErr w:type="spellStart"/>
      <w:r w:rsidRPr="002A01A2">
        <w:rPr>
          <w:rFonts w:cs="Times New Roman" w:eastAsia="Times New Roman" w:hAnsi="Tahoma" w:ascii="Tahoma"/>
          <w:i/>
          <w:lang w:eastAsia="hr-HR"/>
        </w:rPr>
        <w:t>pok</w:t>
      </w:r>
      <w:proofErr w:type="spellEnd"/>
      <w:r w:rsidRPr="002A01A2">
        <w:rPr>
          <w:rFonts w:cs="Times New Roman" w:eastAsia="Times New Roman" w:hAnsi="Tahoma" w:ascii="Tahoma"/>
          <w:i/>
          <w:lang w:eastAsia="hr-HR"/>
        </w:rPr>
        <w:t>. Ivana Butkovića u nominalnom iznosu od 1.008.109,25 kuna, član društva Erste&amp;</w:t>
      </w:r>
      <w:proofErr w:type="spellStart"/>
      <w:r w:rsidRPr="002A01A2">
        <w:rPr>
          <w:rFonts w:cs="Times New Roman" w:eastAsia="Times New Roman" w:hAnsi="Tahoma" w:ascii="Tahoma"/>
          <w:i/>
          <w:lang w:eastAsia="hr-HR"/>
        </w:rPr>
        <w:t>Steiermarkische</w:t>
      </w:r>
      <w:proofErr w:type="spellEnd"/>
      <w:r w:rsidRPr="002A01A2">
        <w:rPr>
          <w:rFonts w:cs="Times New Roman" w:eastAsia="Times New Roman" w:hAnsi="Tahoma" w:ascii="Tahoma"/>
          <w:i/>
          <w:lang w:eastAsia="hr-HR"/>
        </w:rPr>
        <w:t xml:space="preserve"> </w:t>
      </w:r>
      <w:proofErr w:type="spellStart"/>
      <w:r w:rsidRPr="002A01A2">
        <w:rPr>
          <w:rFonts w:cs="Times New Roman" w:eastAsia="Times New Roman" w:hAnsi="Tahoma" w:ascii="Tahoma"/>
          <w:i/>
          <w:lang w:eastAsia="hr-HR"/>
        </w:rPr>
        <w:t>bank</w:t>
      </w:r>
      <w:proofErr w:type="spellEnd"/>
      <w:r w:rsidRPr="002A01A2">
        <w:rPr>
          <w:rFonts w:cs="Times New Roman" w:eastAsia="Times New Roman" w:hAnsi="Tahoma" w:ascii="Tahoma"/>
          <w:i/>
          <w:lang w:eastAsia="hr-HR"/>
        </w:rPr>
        <w:t xml:space="preserve"> d.d. u nominalnom iznosu od 23.242,75 kuna i član društva </w:t>
      </w:r>
      <w:proofErr w:type="spellStart"/>
      <w:r w:rsidRPr="002A01A2">
        <w:rPr>
          <w:rFonts w:cs="Times New Roman" w:eastAsia="Times New Roman" w:hAnsi="Tahoma" w:ascii="Tahoma"/>
          <w:i/>
          <w:lang w:eastAsia="hr-HR"/>
        </w:rPr>
        <w:t>Moslavka</w:t>
      </w:r>
      <w:proofErr w:type="spellEnd"/>
      <w:r w:rsidRPr="002A01A2">
        <w:rPr>
          <w:rFonts w:cs="Times New Roman" w:eastAsia="Times New Roman" w:hAnsi="Tahoma" w:ascii="Tahoma"/>
          <w:i/>
          <w:lang w:eastAsia="hr-HR"/>
        </w:rPr>
        <w:t xml:space="preserve"> d.o.o. Bjelovar u nominalnom iznosu od 12.276,00 kuna.</w:t>
      </w:r>
    </w:p>
    <w:p w:rsidRDefault="002A01A2" w:rsidP="002A01A2" w:rsidR="002A01A2" w:rsidRPr="002A01A2">
      <w:pPr>
        <w:spacing w:lineRule="auto" w:line="240" w:after="0"/>
        <w:jc w:val="both"/>
        <w:rPr>
          <w:rFonts w:cs="Times New Roman" w:eastAsia="Times New Roman" w:hAnsi="Tahoma" w:ascii="Tahoma"/>
          <w:i/>
          <w:lang w:eastAsia="hr-HR"/>
        </w:rPr>
      </w:pPr>
      <w:r w:rsidRPr="002A01A2">
        <w:rPr>
          <w:rFonts w:cs="Times New Roman" w:eastAsia="Times New Roman" w:hAnsi="Tahoma" w:ascii="Tahoma"/>
          <w:i/>
          <w:lang w:eastAsia="hr-HR"/>
        </w:rPr>
        <w:t xml:space="preserve"> </w:t>
      </w: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 xml:space="preserve">Stečajni upravitelj će, u svojstvu Skupštine društva stečajnog dužnika, radi provođenja sanacije stečajnog dužnika, u roku od 60 dana od dana pravomoćnosti ovoga Rješenja, donijeti Odluku o smanjenju temeljnog kapitala društva pojednostavljenim smanjenjem, radi pokrića gubitaka stečajnog dužnika, sa </w:t>
      </w:r>
      <w:r w:rsidRPr="002A01A2">
        <w:rPr>
          <w:rFonts w:cs="Tahoma" w:eastAsia="Times New Roman" w:hAnsi="Tahoma" w:ascii="Tahoma"/>
          <w:b/>
          <w:bCs/>
          <w:i/>
          <w:iCs/>
          <w:lang w:eastAsia="hr-HR"/>
        </w:rPr>
        <w:t xml:space="preserve"> 1.115.628,00 </w:t>
      </w:r>
      <w:r w:rsidRPr="002A01A2">
        <w:rPr>
          <w:rFonts w:cs="Tahoma" w:eastAsia="Times New Roman" w:hAnsi="Tahoma" w:ascii="Tahoma"/>
          <w:bCs/>
          <w:i/>
          <w:iCs/>
          <w:lang w:eastAsia="hr-HR"/>
        </w:rPr>
        <w:t xml:space="preserve"> kuna za </w:t>
      </w:r>
      <w:r w:rsidRPr="002A01A2">
        <w:rPr>
          <w:rFonts w:cs="Tahoma" w:eastAsia="Times New Roman" w:hAnsi="Tahoma" w:ascii="Tahoma"/>
          <w:b/>
          <w:bCs/>
          <w:i/>
          <w:iCs/>
          <w:lang w:eastAsia="hr-HR"/>
        </w:rPr>
        <w:t xml:space="preserve"> 1.090.628,00 </w:t>
      </w:r>
      <w:r w:rsidRPr="002A01A2">
        <w:rPr>
          <w:rFonts w:cs="Tahoma" w:eastAsia="Times New Roman" w:hAnsi="Tahoma" w:ascii="Tahoma"/>
          <w:bCs/>
          <w:i/>
          <w:iCs/>
          <w:lang w:eastAsia="hr-HR"/>
        </w:rPr>
        <w:t xml:space="preserve"> kuna na novi iznos temeljnoga kapitala u iznosu od </w:t>
      </w:r>
      <w:r w:rsidRPr="002A01A2">
        <w:rPr>
          <w:rFonts w:cs="Tahoma" w:eastAsia="Times New Roman" w:hAnsi="Tahoma" w:ascii="Tahoma"/>
          <w:b/>
          <w:bCs/>
          <w:i/>
          <w:iCs/>
          <w:lang w:eastAsia="hr-HR"/>
        </w:rPr>
        <w:t>25.000,00</w:t>
      </w:r>
      <w:r w:rsidRPr="002A01A2">
        <w:rPr>
          <w:rFonts w:cs="Tahoma" w:eastAsia="Times New Roman" w:hAnsi="Tahoma" w:ascii="Tahoma"/>
          <w:bCs/>
          <w:i/>
          <w:iCs/>
          <w:lang w:eastAsia="hr-HR"/>
        </w:rPr>
        <w:t xml:space="preserve"> kuna, i to smanjenjem nominalnih iznosa poslovnih udjela članova društva razmjerno njihovom udjelu u temeljnom kapitalu društva stečajnog dužnika. Temeljem navedene Odluke, iznos smanjenja temeljnog kapitala  društva stečajnog dužnika u iznosu od </w:t>
      </w:r>
      <w:r w:rsidRPr="002A01A2">
        <w:rPr>
          <w:rFonts w:cs="Tahoma" w:eastAsia="Times New Roman" w:hAnsi="Tahoma" w:ascii="Tahoma"/>
          <w:b/>
          <w:bCs/>
          <w:i/>
          <w:iCs/>
          <w:lang w:eastAsia="hr-HR"/>
        </w:rPr>
        <w:t xml:space="preserve">1.090.628,00 </w:t>
      </w:r>
      <w:r w:rsidRPr="002A01A2">
        <w:rPr>
          <w:rFonts w:cs="Tahoma" w:eastAsia="Times New Roman" w:hAnsi="Tahoma" w:ascii="Tahoma"/>
          <w:bCs/>
          <w:i/>
          <w:iCs/>
          <w:lang w:eastAsia="hr-HR"/>
        </w:rPr>
        <w:t>kuna iskoristit će se za pokriće prenesenih gubitaka stečajnog dužnika u istom iznosu.</w:t>
      </w: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ahoma" w:eastAsia="Times New Roman" w:hAnsi="Tahoma" w:ascii="Tahoma"/>
          <w:bCs/>
          <w:i/>
          <w:iCs/>
          <w:lang w:eastAsia="hr-HR"/>
        </w:rPr>
      </w:pPr>
      <w:r w:rsidRPr="002A01A2">
        <w:rPr>
          <w:rFonts w:cs="Times New Roman" w:eastAsia="Times New Roman" w:hAnsi="Tahoma" w:ascii="Tahoma"/>
          <w:i/>
          <w:lang w:eastAsia="hr-HR"/>
        </w:rPr>
        <w:t xml:space="preserve">Stečajni upravitelj će, u svojstvu skupštine društva stečajnog dužnika, radi provođenja nenovčanog namirenja stečajnih vjerovnika drugog višeg isplatnog reda Glas Slavonije d.d. i Robert Veseljak, donijeti Odluku o povećanju temeljnog kapitala unosom prava – tražbina u temeljni kapital društva, tako, što će se temeljni kapital  društva povećati s nominalnog iznosa od </w:t>
      </w:r>
      <w:r w:rsidRPr="002A01A2">
        <w:rPr>
          <w:rFonts w:cs="Tahoma" w:eastAsia="Times New Roman" w:hAnsi="Tahoma" w:ascii="Tahoma"/>
          <w:b/>
          <w:bCs/>
          <w:i/>
          <w:iCs/>
          <w:lang w:eastAsia="hr-HR"/>
        </w:rPr>
        <w:t>25.000,00</w:t>
      </w:r>
      <w:r w:rsidRPr="002A01A2">
        <w:rPr>
          <w:rFonts w:cs="Tahoma" w:eastAsia="Times New Roman" w:hAnsi="Tahoma" w:ascii="Tahoma"/>
          <w:bCs/>
          <w:i/>
          <w:iCs/>
          <w:lang w:eastAsia="hr-HR"/>
        </w:rPr>
        <w:t xml:space="preserve"> kuna za </w:t>
      </w:r>
      <w:r w:rsidRPr="002A01A2">
        <w:rPr>
          <w:rFonts w:cs="Tahoma" w:eastAsia="Times New Roman" w:hAnsi="Tahoma" w:ascii="Tahoma"/>
          <w:b/>
          <w:bCs/>
          <w:i/>
          <w:iCs/>
          <w:lang w:eastAsia="hr-HR"/>
        </w:rPr>
        <w:t xml:space="preserve"> 634.400,00</w:t>
      </w:r>
      <w:r w:rsidRPr="002A01A2">
        <w:rPr>
          <w:rFonts w:cs="Tahoma" w:eastAsia="Times New Roman" w:hAnsi="Tahoma" w:ascii="Tahoma"/>
          <w:bCs/>
          <w:i/>
          <w:iCs/>
          <w:lang w:eastAsia="hr-HR"/>
        </w:rPr>
        <w:t xml:space="preserve"> kuna na novi nominalni iznos temeljnoga kapitala od </w:t>
      </w:r>
      <w:r w:rsidRPr="002A01A2">
        <w:rPr>
          <w:rFonts w:cs="Tahoma" w:eastAsia="Times New Roman" w:hAnsi="Tahoma" w:ascii="Tahoma"/>
          <w:b/>
          <w:bCs/>
          <w:i/>
          <w:iCs/>
          <w:lang w:eastAsia="hr-HR"/>
        </w:rPr>
        <w:t xml:space="preserve"> 659.400,00</w:t>
      </w:r>
      <w:r w:rsidRPr="002A01A2">
        <w:rPr>
          <w:rFonts w:cs="Tahoma" w:eastAsia="Times New Roman" w:hAnsi="Tahoma" w:ascii="Tahoma"/>
          <w:bCs/>
          <w:i/>
          <w:iCs/>
          <w:lang w:eastAsia="hr-HR"/>
        </w:rPr>
        <w:t xml:space="preserve"> kuna, tako da će stečajni vjerovnik Glas Slavonije d.d. steći će u društvu jedan poslovni udjel u nominalnom iznosu od 229.200,00 kuna a stečajni vjerovnik Robert Veseljak će steći u društvu jedan poslovni udjel u iznosu od 405.200,00 kuna.</w:t>
      </w:r>
    </w:p>
    <w:p w:rsidRDefault="002A01A2" w:rsidP="002A01A2" w:rsidR="002A01A2" w:rsidRPr="002A01A2">
      <w:pPr>
        <w:spacing w:lineRule="auto" w:line="240" w:after="0"/>
        <w:jc w:val="both"/>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b/>
          <w:i/>
          <w:lang w:eastAsia="hr-HR"/>
        </w:rPr>
        <w:t xml:space="preserve">Utvrđuje se, </w:t>
      </w:r>
      <w:r w:rsidRPr="002A01A2">
        <w:rPr>
          <w:rFonts w:cs="Times New Roman" w:eastAsia="Times New Roman" w:hAnsi="Tahoma" w:ascii="Tahoma"/>
          <w:i/>
          <w:lang w:eastAsia="hr-HR"/>
        </w:rPr>
        <w:t>da se vjerovnicima nižih isplatnih redova neće ništa isplatiti, jer nisu pozvani da prijave svoje tražbine.</w:t>
      </w:r>
    </w:p>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i/>
          <w:lang w:eastAsia="hr-HR"/>
        </w:rPr>
        <w:t>Stečajni upravitelj dužan je namiriti nesporne dospjele obveze stečajne mase najkasnije do dana zaključenja stečajnog postupka, a za sporne obveze dužan je pružiti odgovarajuće osiguranje.</w:t>
      </w:r>
    </w:p>
    <w:p w:rsidRDefault="002A01A2" w:rsidP="002A01A2" w:rsidR="002A01A2" w:rsidRPr="002A01A2">
      <w:pPr>
        <w:spacing w:lineRule="auto" w:line="240" w:after="0"/>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i/>
          <w:lang w:eastAsia="hr-HR"/>
        </w:rPr>
        <w:t>Radi brisanja zabilježbe otvaranja stečajnog postupka, sud će donijeti poseban zaključak nakon pravomoćnosti ovoga Rješenja.</w:t>
      </w:r>
    </w:p>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i/>
          <w:lang w:eastAsia="hr-HR"/>
        </w:rPr>
        <w:t>Ovo Rješenje o potvrdi stečajnoga plana djeluje prema svim sudionicima od njegove pravomoćnosti, a pravni učinci ovoga Rješenja protežu se na sve  stečajne vjerovnike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b/>
          <w:i/>
          <w:lang w:eastAsia="hr-HR"/>
        </w:rPr>
      </w:pPr>
      <w:r w:rsidRPr="002A01A2">
        <w:rPr>
          <w:rFonts w:cs="Times New Roman" w:eastAsia="Times New Roman" w:hAnsi="Tahoma" w:ascii="Tahoma"/>
          <w:b/>
          <w:i/>
          <w:lang w:eastAsia="hr-HR"/>
        </w:rPr>
        <w:t xml:space="preserve">Određuje se </w:t>
      </w:r>
      <w:r w:rsidRPr="002A01A2">
        <w:rPr>
          <w:rFonts w:cs="Times New Roman" w:eastAsia="Times New Roman" w:hAnsi="Tahoma" w:ascii="Tahoma"/>
          <w:i/>
          <w:lang w:eastAsia="hr-HR"/>
        </w:rPr>
        <w:t>nadzor stečajnog upravitelja  i stečajnog suca nad provedbom Stečajnog plana i ovoga Rješenja u dijelu u kojem se oni odnose na namirenje tražbina stečajnih vjerovnika u razdoblju od dana donošenja Rješenja o zaključenju stečajnog postupka do najkasnije šest mjeseci od toga dana.</w:t>
      </w:r>
    </w:p>
    <w:p w:rsidRDefault="002A01A2" w:rsidP="002A01A2" w:rsidR="002A01A2" w:rsidRPr="002A01A2">
      <w:pPr>
        <w:spacing w:lineRule="auto" w:line="240" w:after="0"/>
        <w:ind w:left="720"/>
        <w:contextualSpacing/>
        <w:rPr>
          <w:rFonts w:cs="Times New Roman" w:eastAsia="Times New Roman" w:hAnsi="Tahoma" w:ascii="Tahoma"/>
          <w:b/>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Ovo Rješenje ima snagu ovršne isprave.</w:t>
      </w:r>
    </w:p>
    <w:p w:rsidRDefault="002A01A2" w:rsidP="002A01A2" w:rsidR="002A01A2" w:rsidRPr="002A01A2">
      <w:pPr>
        <w:spacing w:lineRule="auto" w:line="240" w:after="0"/>
        <w:ind w:left="720"/>
        <w:contextualSpacing/>
        <w:rPr>
          <w:rFonts w:cs="Times New Roman" w:eastAsia="Times New Roman" w:hAnsi="Tahoma" w:ascii="Tahoma"/>
          <w:i/>
          <w:lang w:eastAsia="hr-HR"/>
        </w:rPr>
      </w:pPr>
    </w:p>
    <w:p w:rsidRDefault="002A01A2" w:rsidP="00DC3997" w:rsidR="002A01A2" w:rsidRPr="002A01A2">
      <w:pPr>
        <w:numPr>
          <w:ilvl w:val="0"/>
          <w:numId w:val="18"/>
        </w:numPr>
        <w:spacing w:lineRule="auto" w:line="240" w:after="0"/>
        <w:contextualSpacing/>
        <w:jc w:val="both"/>
        <w:rPr>
          <w:rFonts w:cs="Times New Roman" w:eastAsia="Times New Roman" w:hAnsi="Tahoma" w:ascii="Tahoma"/>
          <w:i/>
          <w:lang w:eastAsia="hr-HR"/>
        </w:rPr>
      </w:pPr>
      <w:r w:rsidRPr="002A01A2">
        <w:rPr>
          <w:rFonts w:cs="Times New Roman" w:eastAsia="Times New Roman" w:hAnsi="Tahoma" w:ascii="Tahoma"/>
          <w:i/>
          <w:lang w:eastAsia="hr-HR"/>
        </w:rPr>
        <w:t>Ovo Rješenje, zajedno sa Stečajnim planom, objavit će se na mrežnoj stranici e-oglasna ploča sudova, a činjenica potvrde Stečajnog plana upisat će se u sudski registar ovoga suda.</w:t>
      </w:r>
    </w:p>
    <w:p w:rsidRDefault="002A01A2" w:rsidP="002A01A2" w:rsidR="002A01A2" w:rsidRPr="002A01A2">
      <w:pPr>
        <w:spacing w:lineRule="auto" w:line="240" w:after="0"/>
        <w:jc w:val="right"/>
        <w:rPr>
          <w:rFonts w:cs="Times New Roman" w:eastAsia="Times New Roman" w:hAnsi="Tahoma" w:ascii="Tahoma"/>
          <w:b/>
          <w:lang w:eastAsia="hr-HR"/>
        </w:rPr>
      </w:pPr>
    </w:p>
    <w:p w:rsidRDefault="002A01A2" w:rsidP="002A01A2" w:rsidR="002A01A2" w:rsidRPr="002A01A2">
      <w:pPr>
        <w:spacing w:lineRule="auto" w:line="240" w:after="0"/>
        <w:jc w:val="right"/>
        <w:rPr>
          <w:rFonts w:cs="Times New Roman" w:eastAsia="Times New Roman" w:hAnsi="Tahoma" w:ascii="Tahoma"/>
          <w:b/>
          <w:lang w:eastAsia="hr-HR"/>
        </w:rPr>
      </w:pPr>
    </w:p>
    <w:p w:rsidRDefault="002A01A2" w:rsidP="002A01A2" w:rsidR="002A01A2" w:rsidRPr="002A01A2">
      <w:pPr>
        <w:spacing w:lineRule="auto" w:line="240" w:after="0"/>
        <w:jc w:val="both"/>
        <w:rPr>
          <w:rFonts w:cs="Times New Roman" w:eastAsia="Times New Roman" w:hAnsi="Tahoma" w:ascii="Tahoma"/>
          <w:b/>
          <w:lang w:eastAsia="hr-HR"/>
        </w:rPr>
      </w:pPr>
    </w:p>
    <w:p w:rsidRDefault="002A01A2" w:rsidP="002A01A2" w:rsidR="002A01A2" w:rsidRPr="002A01A2">
      <w:pPr>
        <w:spacing w:lineRule="auto" w:line="240" w:after="0"/>
        <w:jc w:val="right"/>
        <w:rPr>
          <w:rFonts w:cs="Times New Roman" w:eastAsia="Times New Roman" w:hAnsi="Tahoma" w:ascii="Tahoma"/>
          <w:b/>
          <w:lang w:eastAsia="hr-HR"/>
        </w:rPr>
      </w:pPr>
      <w:r w:rsidRPr="002A01A2">
        <w:rPr>
          <w:rFonts w:cs="Times New Roman" w:eastAsia="Times New Roman" w:hAnsi="Tahoma" w:ascii="Tahoma"/>
          <w:b/>
          <w:lang w:eastAsia="hr-HR"/>
        </w:rPr>
        <w:t xml:space="preserve">  Stečajni upravitelj</w:t>
      </w:r>
    </w:p>
    <w:p w:rsidRDefault="002A01A2" w:rsidP="002A01A2" w:rsidR="002A01A2" w:rsidRPr="002A01A2">
      <w:pPr>
        <w:spacing w:lineRule="auto" w:line="240" w:after="0"/>
        <w:jc w:val="right"/>
        <w:rPr>
          <w:rFonts w:cs="Times New Roman" w:eastAsia="Times New Roman" w:hAnsi="Tahoma" w:ascii="Tahoma"/>
          <w:b/>
          <w:lang w:eastAsia="hr-HR"/>
        </w:rPr>
      </w:pPr>
      <w:r w:rsidRPr="002A01A2">
        <w:rPr>
          <w:rFonts w:cs="Times New Roman" w:eastAsia="Times New Roman" w:hAnsi="Tahoma" w:ascii="Tahoma"/>
          <w:b/>
          <w:lang w:eastAsia="hr-HR"/>
        </w:rPr>
        <w:t>Nenad Homar</w:t>
      </w:r>
    </w:p>
    <w:p w:rsidRDefault="002A01A2" w:rsidP="002A01A2" w:rsidR="002A01A2" w:rsidRPr="002A01A2">
      <w:pPr>
        <w:spacing w:lineRule="auto" w:line="240" w:after="0"/>
        <w:rPr>
          <w:rFonts w:cs="Times New Roman" w:eastAsia="Times New Roman" w:hAnsi="Tahoma" w:ascii="Tahoma"/>
          <w:lang w:eastAsia="hr-HR"/>
        </w:rPr>
      </w:pPr>
    </w:p>
    <w:p w:rsidRDefault="002A01A2" w:rsidR="002A01A2"/>
    <w:p w:rsidRDefault="002A01A2" w:rsidR="002A01A2"/>
    <w:p w:rsidRDefault="002A01A2" w:rsidR="002A01A2"/>
    <w:p w:rsidRDefault="002A01A2" w:rsidR="002A01A2"/>
    <w:p w:rsidRDefault="002A01A2" w:rsidR="002A01A2"/>
    <w:p w:rsidRDefault="002A01A2" w:rsidR="002A01A2"/>
    <w:p w:rsidRDefault="002A01A2" w:rsidR="002A01A2"/>
    <w:p w:rsidRDefault="002A01A2" w:rsidP="002A01A2" w:rsidR="002A01A2" w:rsidRPr="002A01A2">
      <w:pPr>
        <w:spacing w:lineRule="auto" w:line="240" w:after="0"/>
        <w:rPr>
          <w:rFonts w:cs="Times New Roman" w:eastAsia="Times New Roman" w:hAnsi="Tahoma" w:ascii="Tahoma"/>
          <w:b/>
          <w:lang w:eastAsia="hr-HR"/>
        </w:rPr>
      </w:pPr>
    </w:p>
    <w:p w:rsidRDefault="002A01A2" w:rsidR="002A01A2"/>
    <w:p w:rsidRDefault="002A01A2" w:rsidR="002A01A2"/>
    <w:p w:rsidRDefault="002A01A2" w:rsidR="002A01A2"/>
    <w:p w:rsidRDefault="002A01A2" w:rsidR="002A01A2"/>
    <w:p w:rsidRDefault="002A01A2" w:rsidR="002A01A2"/>
    <w:sectPr w:rsidR="002A01A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2CA" w:rsidP="002A01A2" w:rsidR="005002CA">
      <w:pPr>
        <w:spacing w:lineRule="auto" w:line="240" w:after="0"/>
      </w:pPr>
      <w:r>
        <w:separator/>
      </w:r>
    </w:p>
  </w:endnote>
  <w:endnote w:id="0" w:type="continuationSeparator">
    <w:p w:rsidRDefault="005002CA" w:rsidP="002A01A2" w:rsidR="005002C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pPr>
      <w:pStyle w:val="Podnoje"/>
      <w:jc w:val="center"/>
      <w:rPr>
        <w:sz w:val="16"/>
        <w:szCs w:val="16"/>
      </w:rPr>
    </w:pPr>
    <w:r>
      <w:rPr>
        <w:sz w:val="16"/>
        <w:szCs w:val="16"/>
      </w:rPr>
      <w:t>.....................................................................................................................................................................................</w:t>
    </w:r>
  </w:p>
  <w:p w:rsidRDefault="002A01A2" w:rsidP="002A01A2" w:rsidR="002A01A2">
    <w:pPr>
      <w:pStyle w:val="Podnoje"/>
      <w:jc w:val="center"/>
      <w:rPr>
        <w:sz w:val="16"/>
        <w:szCs w:val="16"/>
      </w:rPr>
    </w:pPr>
    <w:r>
      <w:rPr>
        <w:sz w:val="16"/>
        <w:szCs w:val="16"/>
      </w:rPr>
      <w:t>INFORMATIVNI CENTAR BJELOVAR d.o.o. u stečaju</w:t>
    </w:r>
  </w:p>
  <w:p w:rsidRDefault="002A01A2" w:rsidP="002A01A2" w:rsidR="002A01A2">
    <w:pPr>
      <w:pStyle w:val="Podnoje"/>
      <w:jc w:val="center"/>
      <w:rPr>
        <w:sz w:val="16"/>
        <w:szCs w:val="16"/>
      </w:rPr>
    </w:pPr>
  </w:p>
  <w:p w:rsidRDefault="002A01A2" w:rsidP="002A01A2" w:rsidR="002A01A2">
    <w:pPr>
      <w:pStyle w:val="Podnoje"/>
      <w:jc w:val="right"/>
      <w:rPr>
        <w:sz w:val="16"/>
        <w:szCs w:val="16"/>
      </w:rPr>
    </w:pPr>
    <w:r w:rsidRPr="00C2426E">
      <w:rPr>
        <w:sz w:val="16"/>
        <w:szCs w:val="16"/>
      </w:rPr>
      <w:fldChar w:fldCharType="begin"/>
    </w:r>
    <w:r w:rsidRPr="00C2426E">
      <w:rPr>
        <w:sz w:val="16"/>
        <w:szCs w:val="16"/>
      </w:rPr>
      <w:instrText>PAGE   \* MERGEFORMAT</w:instrText>
    </w:r>
    <w:r w:rsidRPr="00C2426E">
      <w:rPr>
        <w:sz w:val="16"/>
        <w:szCs w:val="16"/>
      </w:rPr>
      <w:fldChar w:fldCharType="separate"/>
    </w:r>
    <w:r w:rsidR="00956347">
      <w:rPr>
        <w:noProof/>
        <w:sz w:val="16"/>
        <w:szCs w:val="16"/>
      </w:rPr>
      <w:t>2</w:t>
    </w:r>
    <w:r w:rsidRPr="00C2426E">
      <w:rPr>
        <w:sz w:val="16"/>
        <w:szCs w:val="16"/>
      </w:rPr>
      <w:fldChar w:fldCharType="end"/>
    </w:r>
  </w:p>
  <w:p w:rsidRDefault="002A01A2" w:rsidP="002A01A2" w:rsidR="002A01A2" w:rsidRPr="00EA0B9B">
    <w:pPr>
      <w:pStyle w:val="Podnoje"/>
      <w:jc w:val="center"/>
      <w:rPr>
        <w:sz w:val="16"/>
        <w:szCs w:val="16"/>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pPr>
      <w:pStyle w:val="Podnoje"/>
      <w:jc w:val="center"/>
      <w:rPr>
        <w:sz w:val="16"/>
        <w:szCs w:val="16"/>
      </w:rPr>
    </w:pPr>
    <w:r>
      <w:rPr>
        <w:sz w:val="16"/>
        <w:szCs w:val="16"/>
      </w:rPr>
      <w:t>.....................................................................................................................................................................................</w:t>
    </w:r>
  </w:p>
  <w:p w:rsidRDefault="002A01A2" w:rsidP="002A01A2" w:rsidR="002A01A2">
    <w:pPr>
      <w:pStyle w:val="Podnoje"/>
      <w:jc w:val="center"/>
      <w:rPr>
        <w:sz w:val="16"/>
        <w:szCs w:val="16"/>
      </w:rPr>
    </w:pPr>
    <w:r>
      <w:rPr>
        <w:sz w:val="16"/>
        <w:szCs w:val="16"/>
      </w:rPr>
      <w:t xml:space="preserve">INFORMATIVNI CENTAR BJELOVAR d.o.o. u stečaju  </w:t>
    </w:r>
  </w:p>
  <w:p w:rsidRDefault="002A01A2" w:rsidP="002A01A2" w:rsidR="002A01A2" w:rsidRPr="00BC432C">
    <w:pPr>
      <w:pStyle w:val="Podnoje"/>
      <w:jc w:val="center"/>
      <w:rPr>
        <w:sz w:val="16"/>
        <w:szCs w:val="16"/>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pPr>
      <w:pStyle w:val="Podnoje"/>
      <w:jc w:val="center"/>
      <w:rPr>
        <w:sz w:val="16"/>
        <w:szCs w:val="16"/>
      </w:rPr>
    </w:pPr>
    <w:r>
      <w:rPr>
        <w:sz w:val="16"/>
        <w:szCs w:val="16"/>
      </w:rPr>
      <w:t xml:space="preserve">   </w:t>
    </w:r>
    <w:r>
      <w:rPr>
        <w:sz w:val="16"/>
        <w:szCs w:val="16"/>
      </w:rPr>
      <w:t>....................................................................................................................................................................................</w:t>
    </w:r>
  </w:p>
  <w:p w:rsidRDefault="002A01A2" w:rsidP="002A01A2" w:rsidR="002A01A2" w:rsidRPr="00BC432C">
    <w:pPr>
      <w:pStyle w:val="Podnoje"/>
      <w:jc w:val="center"/>
      <w:rPr>
        <w:sz w:val="16"/>
        <w:szCs w:val="16"/>
      </w:rPr>
    </w:pPr>
  </w:p>
  <w:p w:rsidRDefault="002A01A2" w:rsidP="002A01A2" w:rsidR="002A01A2" w:rsidRPr="00BC432C">
    <w:pPr>
      <w:pStyle w:val="Podnoje"/>
      <w:jc w:val="center"/>
      <w:rPr>
        <w:sz w:val="16"/>
        <w:szCs w:val="16"/>
      </w:rPr>
    </w:pPr>
  </w:p>
  <w:p w:rsidRDefault="002A01A2" w:rsidP="002A01A2" w:rsidR="002A01A2" w:rsidRPr="00EA0B9B">
    <w:pPr>
      <w:pStyle w:val="Podnoje"/>
      <w:jc w:val="center"/>
      <w:rPr>
        <w:sz w:val="16"/>
        <w:szCs w:val="16"/>
      </w:rPr>
    </w:pPr>
    <w:r>
      <w:rPr>
        <w:sz w:val="16"/>
        <w:szCs w:val="16"/>
      </w:rPr>
      <w:t xml:space="preserve">    </w:t>
    </w: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pPr>
      <w:pStyle w:val="Podnoje"/>
      <w:rPr>
        <w:sz w:val="16"/>
        <w:szCs w:val="16"/>
      </w:rPr>
    </w:pPr>
    <w:r>
      <w:rPr>
        <w:sz w:val="16"/>
        <w:szCs w:val="16"/>
      </w:rPr>
      <w:t>....................................................................................................................................................................................</w:t>
    </w:r>
  </w:p>
  <w:p w:rsidRDefault="002A01A2" w:rsidP="002A01A2" w:rsidR="002A01A2">
    <w:pPr>
      <w:pStyle w:val="Podnoje"/>
      <w:jc w:val="center"/>
      <w:rPr>
        <w:sz w:val="16"/>
        <w:szCs w:val="16"/>
      </w:rPr>
    </w:pPr>
    <w:r>
      <w:rPr>
        <w:sz w:val="16"/>
        <w:szCs w:val="16"/>
      </w:rPr>
      <w:t xml:space="preserve"> INFORMATIVNI CENTAR BJELOVAR d.o.o. u stečaju </w:t>
    </w:r>
  </w:p>
  <w:p w:rsidRDefault="002A01A2" w:rsidP="002A01A2" w:rsidR="002A01A2" w:rsidRPr="00BC432C">
    <w:pPr>
      <w:pStyle w:val="Podnoje"/>
      <w:jc w:val="right"/>
      <w:rPr>
        <w:sz w:val="16"/>
        <w:szCs w:val="16"/>
      </w:rPr>
    </w:pPr>
  </w:p>
  <w:p w:rsidRDefault="002A01A2" w:rsidP="002A01A2" w:rsidR="002A01A2" w:rsidRPr="00DF2E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2CA" w:rsidP="002A01A2" w:rsidR="005002CA">
      <w:pPr>
        <w:spacing w:lineRule="auto" w:line="240" w:after="0"/>
      </w:pPr>
      <w:r>
        <w:separator/>
      </w:r>
    </w:p>
  </w:footnote>
  <w:footnote w:id="0" w:type="continuationSeparator">
    <w:p w:rsidRDefault="005002CA" w:rsidP="002A01A2" w:rsidR="005002C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rsidRPr="00E15C66">
    <w:pPr>
      <w:jc w:val="center"/>
      <w:rPr>
        <w:sz w:val="16"/>
        <w:szCs w:val="16"/>
      </w:rPr>
    </w:pPr>
    <w:r w:rsidRPr="00E15C66">
      <w:rPr>
        <w:sz w:val="16"/>
        <w:szCs w:val="16"/>
      </w:rPr>
      <w:t>…………………………………………………………………………………………………………………………………………………………..</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rsidRPr="004C495A">
    <w:pPr>
      <w:jc w:val="center"/>
      <w:rPr>
        <w:sz w:val="16"/>
        <w:szCs w:val="16"/>
      </w:rPr>
    </w:pPr>
    <w:r>
      <w:rPr>
        <w:b/>
      </w:rPr>
      <w:t xml:space="preserve"> </w:t>
    </w:r>
    <w:r w:rsidRPr="004C495A">
      <w:rPr>
        <w:sz w:val="16"/>
        <w:szCs w:val="16"/>
      </w:rPr>
      <w:t xml:space="preserve">STEČAJNI PLAN STEČAJNOG DUŽNIKA </w:t>
    </w:r>
    <w:r>
      <w:rPr>
        <w:sz w:val="16"/>
        <w:szCs w:val="16"/>
      </w:rPr>
      <w:t>INFORMATIVNI CENTAR BJELOVAR d.o.o. u stečaju</w:t>
    </w:r>
  </w:p>
  <w:p w:rsidRDefault="002A01A2" w:rsidP="002A01A2" w:rsidR="002A01A2" w:rsidRPr="004C495A">
    <w:pPr>
      <w:jc w:val="center"/>
      <w:rPr>
        <w:sz w:val="16"/>
        <w:szCs w:val="16"/>
      </w:rPr>
    </w:pPr>
    <w:r>
      <w:rPr>
        <w:sz w:val="16"/>
        <w:szCs w:val="16"/>
      </w:rPr>
      <w:t>PROVEDBENA</w:t>
    </w:r>
    <w:r w:rsidRPr="004C495A">
      <w:rPr>
        <w:sz w:val="16"/>
        <w:szCs w:val="16"/>
      </w:rPr>
      <w:t xml:space="preserve"> OSNOVA</w:t>
    </w:r>
  </w:p>
  <w:p w:rsidRDefault="002A01A2" w:rsidP="002A01A2" w:rsidR="002A01A2" w:rsidRPr="00DF2ED1">
    <w:pPr>
      <w:jc w:val="center"/>
      <w:rPr>
        <w:sz w:val="16"/>
        <w:szCs w:val="16"/>
      </w:rPr>
    </w:pPr>
    <w:r w:rsidRPr="004C495A">
      <w:rPr>
        <w:sz w:val="16"/>
        <w:szCs w:val="16"/>
      </w:rPr>
      <w:t>………………………………………………………………………………………………………………</w:t>
    </w:r>
    <w:r>
      <w:rPr>
        <w:sz w:val="16"/>
        <w:szCs w:val="16"/>
      </w:rPr>
      <w:t>………………………………………</w:t>
    </w:r>
    <w:r w:rsidRPr="004C495A">
      <w:rPr>
        <w:sz w:val="16"/>
        <w:szCs w:val="16"/>
      </w:rPr>
      <w:t>…..</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01A2" w:rsidP="002A01A2" w:rsidR="002A01A2" w:rsidRPr="004C495A">
    <w:pPr>
      <w:jc w:val="center"/>
      <w:rPr>
        <w:sz w:val="16"/>
        <w:szCs w:val="16"/>
      </w:rPr>
    </w:pPr>
    <w:r>
      <w:rPr>
        <w:b/>
        <w:sz w:val="20"/>
        <w:szCs w:val="20"/>
      </w:rPr>
      <w:t xml:space="preserve"> </w:t>
    </w:r>
    <w:r w:rsidRPr="004C495A">
      <w:rPr>
        <w:sz w:val="16"/>
        <w:szCs w:val="16"/>
      </w:rPr>
      <w:t xml:space="preserve">STEČAJNI PLAN STEČAJNOG DUŽNIKA </w:t>
    </w:r>
    <w:r>
      <w:rPr>
        <w:sz w:val="16"/>
        <w:szCs w:val="16"/>
      </w:rPr>
      <w:t>INFORMATIVNI CENTAR BJELOVAR d.o.o. u stečaju</w:t>
    </w:r>
  </w:p>
  <w:p w:rsidRDefault="002A01A2" w:rsidP="002A01A2" w:rsidR="002A01A2" w:rsidRPr="004C495A">
    <w:pPr>
      <w:jc w:val="center"/>
      <w:rPr>
        <w:sz w:val="16"/>
        <w:szCs w:val="16"/>
      </w:rPr>
    </w:pPr>
    <w:r>
      <w:rPr>
        <w:sz w:val="16"/>
        <w:szCs w:val="16"/>
      </w:rPr>
      <w:t>PROVEDBENA</w:t>
    </w:r>
    <w:r w:rsidRPr="004C495A">
      <w:rPr>
        <w:sz w:val="16"/>
        <w:szCs w:val="16"/>
      </w:rPr>
      <w:t xml:space="preserve"> OSNOVA</w:t>
    </w:r>
  </w:p>
  <w:p w:rsidRDefault="002A01A2" w:rsidP="002A01A2" w:rsidR="002A01A2" w:rsidRPr="00293C5C">
    <w:pPr>
      <w:jc w:val="center"/>
      <w:rPr>
        <w:sz w:val="16"/>
        <w:szCs w:val="16"/>
      </w:rPr>
    </w:pPr>
    <w:r w:rsidRPr="004C495A">
      <w:rPr>
        <w:sz w:val="16"/>
        <w:szCs w:val="16"/>
      </w:rPr>
      <w:t>………………………………………………………………………………………………………………</w:t>
    </w:r>
    <w:r>
      <w:rPr>
        <w:sz w:val="16"/>
        <w:szCs w:val="16"/>
      </w:rPr>
      <w:t>………………………………………</w:t>
    </w:r>
    <w:r w:rsidRPr="004C495A">
      <w:rPr>
        <w:sz w:val="16"/>
        <w:szCs w:val="16"/>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B593D"/>
    <w:multiLevelType w:val="multilevel"/>
    <w:tmpl w:val="C2D0371A"/>
    <w:lvl w:ilvl="0">
      <w:start w:val="4"/>
      <w:numFmt w:val="decimal"/>
      <w:lvlText w:val="%1."/>
      <w:lvlJc w:val="left"/>
      <w:pPr>
        <w:ind w:hanging="432" w:left="432"/>
      </w:pPr>
      <w:rPr>
        <w:rFonts w:hint="default"/>
      </w:rPr>
    </w:lvl>
    <w:lvl w:ilvl="1">
      <w:start w:val="1"/>
      <w:numFmt w:val="decimal"/>
      <w:lvlText w:val="%1.%2."/>
      <w:lvlJc w:val="left"/>
      <w:pPr>
        <w:ind w:hanging="720" w:left="720"/>
      </w:pPr>
      <w:rPr>
        <w:rFonts w:hint="default"/>
        <w:b/>
      </w:rPr>
    </w:lvl>
    <w:lvl w:ilvl="2">
      <w:start w:val="1"/>
      <w:numFmt w:val="decimal"/>
      <w:lvlText w:val="%1.%2.%3."/>
      <w:lvlJc w:val="left"/>
      <w:pPr>
        <w:ind w:hanging="1080" w:left="108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520" w:left="2520"/>
      </w:pPr>
      <w:rPr>
        <w:rFonts w:hint="default"/>
      </w:rPr>
    </w:lvl>
  </w:abstractNum>
  <w:abstractNum w:abstractNumId="1">
    <w:nsid w:val="060649F5"/>
    <w:multiLevelType w:val="multilevel"/>
    <w:tmpl w:val="DE889F2A"/>
    <w:lvl w:ilvl="0">
      <w:start w:val="1"/>
      <w:numFmt w:val="decimal"/>
      <w:lvlText w:val="%1."/>
      <w:lvlJc w:val="left"/>
      <w:pPr>
        <w:tabs>
          <w:tab w:pos="480" w:val="num"/>
        </w:tabs>
        <w:ind w:hanging="480" w:left="480"/>
      </w:pPr>
      <w:rPr>
        <w:rFonts w:hint="default"/>
      </w:rPr>
    </w:lvl>
    <w:lvl w:ilvl="1">
      <w:start w:val="1"/>
      <w:numFmt w:val="decimal"/>
      <w:lvlText w:val="%1.%2."/>
      <w:lvlJc w:val="left"/>
      <w:pPr>
        <w:tabs>
          <w:tab w:pos="720" w:val="num"/>
        </w:tabs>
        <w:ind w:hanging="720" w:left="720"/>
      </w:pPr>
      <w:rPr>
        <w:rFonts w:hint="default"/>
        <w:b/>
      </w:rPr>
    </w:lvl>
    <w:lvl w:ilvl="2">
      <w:start w:val="1"/>
      <w:numFmt w:val="decimal"/>
      <w:lvlText w:val="%1.%2.%3."/>
      <w:lvlJc w:val="left"/>
      <w:pPr>
        <w:tabs>
          <w:tab w:pos="1364" w:val="num"/>
        </w:tabs>
        <w:ind w:hanging="1080" w:left="1364"/>
      </w:pPr>
      <w:rPr>
        <w:rFonts w:hint="default"/>
        <w:color w:val="auto"/>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440" w:val="num"/>
        </w:tabs>
        <w:ind w:hanging="1440" w:left="1440"/>
      </w:pPr>
      <w:rPr>
        <w:rFonts w:hint="default"/>
      </w:rPr>
    </w:lvl>
    <w:lvl w:ilvl="5">
      <w:start w:val="1"/>
      <w:numFmt w:val="decimal"/>
      <w:lvlText w:val="%1.%2.%3.%4.%5.%6."/>
      <w:lvlJc w:val="left"/>
      <w:pPr>
        <w:tabs>
          <w:tab w:pos="1800" w:val="num"/>
        </w:tabs>
        <w:ind w:hanging="1800" w:left="1800"/>
      </w:pPr>
      <w:rPr>
        <w:rFonts w:hint="default"/>
      </w:rPr>
    </w:lvl>
    <w:lvl w:ilvl="6">
      <w:start w:val="1"/>
      <w:numFmt w:val="decimal"/>
      <w:lvlText w:val="%1.%2.%3.%4.%5.%6.%7."/>
      <w:lvlJc w:val="left"/>
      <w:pPr>
        <w:tabs>
          <w:tab w:pos="1800" w:val="num"/>
        </w:tabs>
        <w:ind w:hanging="1800" w:left="1800"/>
      </w:pPr>
      <w:rPr>
        <w:rFonts w:hint="default"/>
      </w:rPr>
    </w:lvl>
    <w:lvl w:ilvl="7">
      <w:start w:val="1"/>
      <w:numFmt w:val="decimal"/>
      <w:lvlText w:val="%1.%2.%3.%4.%5.%6.%7.%8."/>
      <w:lvlJc w:val="left"/>
      <w:pPr>
        <w:tabs>
          <w:tab w:pos="2160" w:val="num"/>
        </w:tabs>
        <w:ind w:hanging="2160" w:left="2160"/>
      </w:pPr>
      <w:rPr>
        <w:rFonts w:hint="default"/>
      </w:rPr>
    </w:lvl>
    <w:lvl w:ilvl="8">
      <w:start w:val="1"/>
      <w:numFmt w:val="decimal"/>
      <w:lvlText w:val="%1.%2.%3.%4.%5.%6.%7.%8.%9."/>
      <w:lvlJc w:val="left"/>
      <w:pPr>
        <w:tabs>
          <w:tab w:pos="2520" w:val="num"/>
        </w:tabs>
        <w:ind w:hanging="2520" w:left="2520"/>
      </w:pPr>
      <w:rPr>
        <w:rFonts w:hint="default"/>
      </w:rPr>
    </w:lvl>
  </w:abstractNum>
  <w:abstractNum w:abstractNumId="2">
    <w:nsid w:val="07BA1E84"/>
    <w:multiLevelType w:val="hybridMultilevel"/>
    <w:tmpl w:val="346684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AC044A"/>
    <w:multiLevelType w:val="multilevel"/>
    <w:tmpl w:val="BEC88D48"/>
    <w:lvl w:ilvl="0">
      <w:start w:val="1"/>
      <w:numFmt w:val="decimal"/>
      <w:lvlText w:val="%1."/>
      <w:lvlJc w:val="left"/>
      <w:pPr>
        <w:tabs>
          <w:tab w:pos="720" w:val="num"/>
        </w:tabs>
        <w:ind w:hanging="360" w:left="720"/>
      </w:pPr>
      <w:rPr>
        <w:rFonts w:hint="default"/>
        <w:b/>
      </w:rPr>
    </w:lvl>
    <w:lvl w:ilvl="1">
      <w:start w:val="2"/>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800" w:val="num"/>
        </w:tabs>
        <w:ind w:hanging="1440" w:left="180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2160" w:val="num"/>
        </w:tabs>
        <w:ind w:hanging="1800" w:left="2160"/>
      </w:pPr>
      <w:rPr>
        <w:rFonts w:hint="default"/>
      </w:rPr>
    </w:lvl>
    <w:lvl w:ilvl="7">
      <w:start w:val="1"/>
      <w:numFmt w:val="decimal"/>
      <w:isLgl/>
      <w:lvlText w:val="%1.%2.%3.%4.%5.%6.%7.%8."/>
      <w:lvlJc w:val="left"/>
      <w:pPr>
        <w:tabs>
          <w:tab w:pos="2520" w:val="num"/>
        </w:tabs>
        <w:ind w:hanging="2160" w:left="252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4">
    <w:nsid w:val="108E4680"/>
    <w:multiLevelType w:val="multilevel"/>
    <w:tmpl w:val="234EC64E"/>
    <w:lvl w:ilvl="0">
      <w:start w:val="1"/>
      <w:numFmt w:val="decimal"/>
      <w:pStyle w:val="Poglavlja"/>
      <w:lvlText w:val="%1."/>
      <w:lvlJc w:val="left"/>
      <w:pPr>
        <w:ind w:hanging="360" w:left="720"/>
      </w:pPr>
      <w:rPr>
        <w:rFonts w:hint="default"/>
      </w:rPr>
    </w:lvl>
    <w:lvl w:ilvl="1">
      <w:start w:val="1"/>
      <w:numFmt w:val="decimal"/>
      <w:isLgl/>
      <w:lvlText w:val="%1.%2"/>
      <w:lvlJc w:val="left"/>
      <w:pPr>
        <w:ind w:hanging="720" w:left="1004"/>
      </w:pPr>
      <w:rPr>
        <w:rFonts w:hint="default"/>
      </w:rPr>
    </w:lvl>
    <w:lvl w:ilvl="2">
      <w:start w:val="1"/>
      <w:numFmt w:val="decimal"/>
      <w:isLgl/>
      <w:lvlText w:val="%1.%2.%3"/>
      <w:lvlJc w:val="left"/>
      <w:pPr>
        <w:ind w:hanging="720" w:left="1080"/>
      </w:pPr>
      <w:rPr>
        <w:rFonts w:hint="default"/>
        <w:color w:val="0070C0"/>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5">
    <w:nsid w:val="16DC18B7"/>
    <w:multiLevelType w:val="hybridMultilevel"/>
    <w:tmpl w:val="2ADC9D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872644"/>
    <w:multiLevelType w:val="hybridMultilevel"/>
    <w:tmpl w:val="9E521874"/>
    <w:lvl w:tplc="041A0001" w:ilvl="0">
      <w:start w:val="1"/>
      <w:numFmt w:val="bullet"/>
      <w:lvlText w:val=""/>
      <w:lvlJc w:val="left"/>
      <w:pPr>
        <w:ind w:hanging="360" w:left="501"/>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200DBD"/>
    <w:multiLevelType w:val="multilevel"/>
    <w:tmpl w:val="88187E9C"/>
    <w:lvl w:ilvl="0">
      <w:start w:val="13"/>
      <w:numFmt w:val="decimal"/>
      <w:lvlText w:val="%1."/>
      <w:lvlJc w:val="left"/>
      <w:pPr>
        <w:ind w:hanging="576" w:left="576"/>
      </w:pPr>
      <w:rPr>
        <w:rFonts w:hint="default"/>
      </w:rPr>
    </w:lvl>
    <w:lvl w:ilvl="1">
      <w:start w:val="5"/>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520" w:left="2520"/>
      </w:pPr>
      <w:rPr>
        <w:rFonts w:hint="default"/>
      </w:rPr>
    </w:lvl>
  </w:abstractNum>
  <w:abstractNum w:abstractNumId="8">
    <w:nsid w:val="386A667F"/>
    <w:multiLevelType w:val="hybridMultilevel"/>
    <w:tmpl w:val="AB2ADE7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9C15016"/>
    <w:multiLevelType w:val="hybridMultilevel"/>
    <w:tmpl w:val="83B8B6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C9154A2"/>
    <w:multiLevelType w:val="hybridMultilevel"/>
    <w:tmpl w:val="5680BC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6503D13"/>
    <w:multiLevelType w:val="hybridMultilevel"/>
    <w:tmpl w:val="6FF22E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685186A"/>
    <w:multiLevelType w:val="hybridMultilevel"/>
    <w:tmpl w:val="B466599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FF76E11"/>
    <w:multiLevelType w:val="multilevel"/>
    <w:tmpl w:val="99943F3A"/>
    <w:lvl w:ilvl="0">
      <w:start w:val="1"/>
      <w:numFmt w:val="decimal"/>
      <w:lvlText w:val="%1."/>
      <w:lvlJc w:val="left"/>
      <w:pPr>
        <w:ind w:hanging="360" w:left="786"/>
      </w:pPr>
      <w:rPr>
        <w:rFonts w:hint="default"/>
        <w:b/>
      </w:rPr>
    </w:lvl>
    <w:lvl w:ilvl="1">
      <w:start w:val="1"/>
      <w:numFmt w:val="decimal"/>
      <w:isLgl/>
      <w:lvlText w:val="%1.%2."/>
      <w:lvlJc w:val="left"/>
      <w:pPr>
        <w:ind w:hanging="720" w:left="1146"/>
      </w:pPr>
      <w:rPr>
        <w:rFonts w:hint="default"/>
        <w:b/>
        <w:i w:val="false"/>
      </w:rPr>
    </w:lvl>
    <w:lvl w:ilvl="2">
      <w:start w:val="1"/>
      <w:numFmt w:val="decimal"/>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14">
    <w:nsid w:val="585F7D23"/>
    <w:multiLevelType w:val="hybridMultilevel"/>
    <w:tmpl w:val="4E8CA7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3167E5"/>
    <w:multiLevelType w:val="hybridMultilevel"/>
    <w:tmpl w:val="C7B62118"/>
    <w:lvl w:tplc="CC14CB8E" w:ilvl="0">
      <w:start w:val="1"/>
      <w:numFmt w:val="upperRoman"/>
      <w:lvlText w:val="%1."/>
      <w:lvlJc w:val="left"/>
      <w:pPr>
        <w:ind w:hanging="72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FCF57D0"/>
    <w:multiLevelType w:val="hybridMultilevel"/>
    <w:tmpl w:val="7BF6F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BF36F3"/>
    <w:multiLevelType w:val="hybridMultilevel"/>
    <w:tmpl w:val="F210F80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32C3D4B"/>
    <w:multiLevelType w:val="hybridMultilevel"/>
    <w:tmpl w:val="82543AE4"/>
    <w:lvl w:tplc="32705612"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9">
    <w:nsid w:val="77C6469E"/>
    <w:multiLevelType w:val="hybridMultilevel"/>
    <w:tmpl w:val="14CEA4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17"/>
  </w:num>
  <w:num w:numId="4">
    <w:abstractNumId w:val="0"/>
  </w:num>
  <w:num w:numId="5">
    <w:abstractNumId w:val="4"/>
  </w:num>
  <w:num w:numId="6">
    <w:abstractNumId w:val="16"/>
  </w:num>
  <w:num w:numId="7">
    <w:abstractNumId w:val="18"/>
  </w:num>
  <w:num w:numId="8">
    <w:abstractNumId w:val="19"/>
  </w:num>
  <w:num w:numId="9">
    <w:abstractNumId w:val="14"/>
  </w:num>
  <w:num w:numId="10">
    <w:abstractNumId w:val="9"/>
  </w:num>
  <w:num w:numId="11">
    <w:abstractNumId w:val="12"/>
  </w:num>
  <w:num w:numId="12">
    <w:abstractNumId w:val="7"/>
  </w:num>
  <w:num w:numId="13">
    <w:abstractNumId w:val="2"/>
  </w:num>
  <w:num w:numId="14">
    <w:abstractNumId w:val="13"/>
  </w:num>
  <w:num w:numId="15">
    <w:abstractNumId w:val="8"/>
  </w:num>
  <w:num w:numId="16">
    <w:abstractNumId w:val="6"/>
  </w:num>
  <w:num w:numId="17">
    <w:abstractNumId w:val="11"/>
  </w:num>
  <w:num w:numId="18">
    <w:abstractNumId w:val="15"/>
  </w:num>
  <w:num w:numId="19">
    <w:abstractNumId w:val="10"/>
  </w:num>
  <w:num w:numId="20">
    <w:abstractNumId w:val="5"/>
  </w:num>
  <w:numIdMacAtCleanup w:val="2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01A2"/>
    <w:rsid w:val="000E5076"/>
    <w:rsid w:val="002A01A2"/>
    <w:rsid w:val="005002CA"/>
    <w:rsid w:val="00750F21"/>
    <w:rsid w:val="00956347"/>
    <w:rsid w:val="00D2342D"/>
    <w:rsid w:val="00DC39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envelope address"/>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2A01A2"/>
    <w:pPr>
      <w:keepNext/>
      <w:spacing w:lineRule="auto" w:line="240" w:after="0"/>
      <w:jc w:val="center"/>
      <w:outlineLvl w:val="0"/>
    </w:pPr>
    <w:rPr>
      <w:rFonts w:cs="Times New Roman"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2A01A2"/>
    <w:pPr>
      <w:keepNext/>
      <w:keepLines/>
      <w:spacing w:lineRule="auto" w:line="240" w:after="0" w:before="40"/>
      <w:outlineLvl w:val="1"/>
    </w:pPr>
    <w:rPr>
      <w:rFonts w:cstheme="majorBidi" w:eastAsiaTheme="majorEastAsia" w:hAnsiTheme="majorHAnsi" w:asciiTheme="majorHAnsi"/>
      <w:color w:themeShade="BF" w:themeColor="accent1" w:val="365F91"/>
      <w:sz w:val="26"/>
      <w:szCs w:val="26"/>
      <w:lang w:eastAsia="hr-HR"/>
    </w:rPr>
  </w:style>
  <w:style w:styleId="Naslov3" w:type="paragraph">
    <w:name w:val="heading 3"/>
    <w:basedOn w:val="Normal"/>
    <w:next w:val="Normal"/>
    <w:link w:val="Naslov3Char"/>
    <w:uiPriority w:val="9"/>
    <w:semiHidden/>
    <w:unhideWhenUsed/>
    <w:qFormat/>
    <w:rsid w:val="002A01A2"/>
    <w:pPr>
      <w:keepNext/>
      <w:keepLines/>
      <w:spacing w:lineRule="auto" w:line="240" w:after="0" w:before="40"/>
      <w:outlineLvl w:val="2"/>
    </w:pPr>
    <w:rPr>
      <w:rFonts w:cstheme="majorBidi" w:eastAsiaTheme="majorEastAsia" w:hAnsiTheme="majorHAnsi" w:asciiTheme="majorHAnsi"/>
      <w:color w:themeShade="7F" w:themeColor="accent1" w:val="243F60"/>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01A2"/>
    <w:rPr>
      <w:rFonts w:cs="Times New Roman" w:eastAsia="Times New Roman" w:hAnsi="Times New Roman" w:ascii="Times New Roman"/>
      <w:b/>
      <w:bCs/>
      <w:sz w:val="24"/>
      <w:szCs w:val="24"/>
      <w:lang w:eastAsia="hr-HR"/>
    </w:rPr>
  </w:style>
  <w:style w:customStyle="true" w:styleId="Naslov2Char" w:type="character">
    <w:name w:val="Naslov 2 Char"/>
    <w:basedOn w:val="Zadanifontodlomka"/>
    <w:link w:val="Naslov2"/>
    <w:uiPriority w:val="9"/>
    <w:semiHidden/>
    <w:rsid w:val="002A01A2"/>
    <w:rPr>
      <w:rFonts w:cstheme="majorBidi" w:eastAsiaTheme="majorEastAsia" w:hAnsiTheme="majorHAnsi" w:asciiTheme="majorHAnsi"/>
      <w:color w:themeShade="BF" w:themeColor="accent1" w:val="365F91"/>
      <w:sz w:val="26"/>
      <w:szCs w:val="26"/>
      <w:lang w:eastAsia="hr-HR"/>
    </w:rPr>
  </w:style>
  <w:style w:customStyle="true" w:styleId="Naslov3Char" w:type="character">
    <w:name w:val="Naslov 3 Char"/>
    <w:basedOn w:val="Zadanifontodlomka"/>
    <w:link w:val="Naslov3"/>
    <w:uiPriority w:val="9"/>
    <w:semiHidden/>
    <w:rsid w:val="002A01A2"/>
    <w:rPr>
      <w:rFonts w:cstheme="majorBidi" w:eastAsiaTheme="majorEastAsia" w:hAnsiTheme="majorHAnsi" w:asciiTheme="majorHAnsi"/>
      <w:color w:themeShade="7F" w:themeColor="accent1" w:val="243F60"/>
      <w:sz w:val="24"/>
      <w:szCs w:val="24"/>
      <w:lang w:eastAsia="hr-HR"/>
    </w:rPr>
  </w:style>
  <w:style w:customStyle="true" w:styleId="Bezpopisa1" w:type="numbering">
    <w:name w:val="Bez popisa1"/>
    <w:next w:val="Bezpopisa"/>
    <w:uiPriority w:val="99"/>
    <w:semiHidden/>
    <w:unhideWhenUsed/>
    <w:rsid w:val="002A01A2"/>
  </w:style>
  <w:style w:styleId="Zaglavlje" w:type="paragraph">
    <w:name w:val="header"/>
    <w:basedOn w:val="Normal"/>
    <w:link w:val="ZaglavljeChar"/>
    <w:rsid w:val="002A01A2"/>
    <w:pPr>
      <w:tabs>
        <w:tab w:pos="4536" w:val="center"/>
        <w:tab w:pos="9072" w:val="right"/>
      </w:tabs>
      <w:spacing w:lineRule="auto" w:line="240" w:after="0"/>
    </w:pPr>
    <w:rPr>
      <w:rFonts w:cs="Times New Roman" w:eastAsia="Times New Roman" w:hAnsi="Tahoma" w:ascii="Tahoma"/>
      <w:lang w:eastAsia="hr-HR"/>
    </w:rPr>
  </w:style>
  <w:style w:customStyle="true" w:styleId="ZaglavljeChar" w:type="character">
    <w:name w:val="Zaglavlje Char"/>
    <w:basedOn w:val="Zadanifontodlomka"/>
    <w:link w:val="Zaglavlje"/>
    <w:rsid w:val="002A01A2"/>
    <w:rPr>
      <w:rFonts w:cs="Times New Roman" w:eastAsia="Times New Roman" w:hAnsi="Tahoma" w:ascii="Tahoma"/>
      <w:lang w:eastAsia="hr-HR"/>
    </w:rPr>
  </w:style>
  <w:style w:styleId="Podnoje" w:type="paragraph">
    <w:name w:val="footer"/>
    <w:basedOn w:val="Normal"/>
    <w:link w:val="PodnojeChar"/>
    <w:uiPriority w:val="99"/>
    <w:rsid w:val="002A01A2"/>
    <w:pPr>
      <w:tabs>
        <w:tab w:pos="4536" w:val="center"/>
        <w:tab w:pos="9072" w:val="right"/>
      </w:tabs>
      <w:spacing w:lineRule="auto" w:line="240" w:after="0"/>
    </w:pPr>
    <w:rPr>
      <w:rFonts w:cs="Times New Roman" w:eastAsia="Times New Roman" w:hAnsi="Tahoma" w:ascii="Tahoma"/>
      <w:lang w:eastAsia="hr-HR"/>
    </w:rPr>
  </w:style>
  <w:style w:customStyle="true" w:styleId="PodnojeChar" w:type="character">
    <w:name w:val="Podnožje Char"/>
    <w:basedOn w:val="Zadanifontodlomka"/>
    <w:link w:val="Podnoje"/>
    <w:uiPriority w:val="99"/>
    <w:rsid w:val="002A01A2"/>
    <w:rPr>
      <w:rFonts w:cs="Times New Roman" w:eastAsia="Times New Roman" w:hAnsi="Tahoma" w:ascii="Tahoma"/>
      <w:lang w:eastAsia="hr-HR"/>
    </w:rPr>
  </w:style>
  <w:style w:styleId="Odlomakpopisa" w:type="paragraph">
    <w:name w:val="List Paragraph"/>
    <w:basedOn w:val="Normal"/>
    <w:link w:val="OdlomakpopisaChar"/>
    <w:uiPriority w:val="34"/>
    <w:qFormat/>
    <w:rsid w:val="002A01A2"/>
    <w:pPr>
      <w:spacing w:lineRule="auto" w:line="240" w:after="0"/>
      <w:ind w:left="720"/>
      <w:contextualSpacing/>
    </w:pPr>
    <w:rPr>
      <w:rFonts w:cs="Times New Roman" w:eastAsia="Times New Roman" w:hAnsi="Tahoma" w:ascii="Tahoma"/>
      <w:lang w:eastAsia="hr-HR"/>
    </w:rPr>
  </w:style>
  <w:style w:styleId="Referencakomentara" w:type="character">
    <w:name w:val="annotation reference"/>
    <w:basedOn w:val="Zadanifontodlomka"/>
    <w:uiPriority w:val="99"/>
    <w:semiHidden/>
    <w:unhideWhenUsed/>
    <w:rsid w:val="002A01A2"/>
    <w:rPr>
      <w:sz w:val="16"/>
      <w:szCs w:val="16"/>
    </w:rPr>
  </w:style>
  <w:style w:styleId="Tekstkomentara" w:type="paragraph">
    <w:name w:val="annotation text"/>
    <w:basedOn w:val="Normal"/>
    <w:link w:val="TekstkomentaraChar"/>
    <w:uiPriority w:val="99"/>
    <w:unhideWhenUsed/>
    <w:rsid w:val="002A01A2"/>
    <w:pPr>
      <w:spacing w:lineRule="auto" w:line="240" w:after="0"/>
    </w:pPr>
    <w:rPr>
      <w:rFonts w:cs="Times New Roman" w:eastAsia="Times New Roman" w:hAnsi="Tahoma" w:ascii="Tahoma"/>
      <w:sz w:val="20"/>
      <w:szCs w:val="20"/>
      <w:lang w:eastAsia="hr-HR"/>
    </w:rPr>
  </w:style>
  <w:style w:customStyle="true" w:styleId="TekstkomentaraChar" w:type="character">
    <w:name w:val="Tekst komentara Char"/>
    <w:basedOn w:val="Zadanifontodlomka"/>
    <w:link w:val="Tekstkomentara"/>
    <w:uiPriority w:val="99"/>
    <w:rsid w:val="002A01A2"/>
    <w:rPr>
      <w:rFonts w:cs="Times New Roman" w:eastAsia="Times New Roman" w:hAnsi="Tahoma" w:ascii="Tahoma"/>
      <w:sz w:val="20"/>
      <w:szCs w:val="20"/>
      <w:lang w:eastAsia="hr-HR"/>
    </w:rPr>
  </w:style>
  <w:style w:styleId="Tekstbalonia" w:type="paragraph">
    <w:name w:val="Balloon Text"/>
    <w:basedOn w:val="Normal"/>
    <w:link w:val="TekstbaloniaChar"/>
    <w:semiHidden/>
    <w:unhideWhenUsed/>
    <w:rsid w:val="002A01A2"/>
    <w:pPr>
      <w:spacing w:lineRule="auto" w:line="240" w:after="0"/>
    </w:pPr>
    <w:rPr>
      <w:rFonts w:cs="Tahoma" w:eastAsia="Times New Roman" w:hAnsi="Tahoma" w:ascii="Tahoma"/>
      <w:sz w:val="16"/>
      <w:szCs w:val="16"/>
      <w:lang w:eastAsia="hr-HR"/>
    </w:rPr>
  </w:style>
  <w:style w:customStyle="true" w:styleId="TekstbaloniaChar" w:type="character">
    <w:name w:val="Tekst balončića Char"/>
    <w:basedOn w:val="Zadanifontodlomka"/>
    <w:link w:val="Tekstbalonia"/>
    <w:semiHidden/>
    <w:rsid w:val="002A01A2"/>
    <w:rPr>
      <w:rFonts w:cs="Tahoma" w:eastAsia="Times New Roman" w:hAnsi="Tahoma" w:ascii="Tahoma"/>
      <w:sz w:val="16"/>
      <w:szCs w:val="16"/>
      <w:lang w:eastAsia="hr-HR"/>
    </w:rPr>
  </w:style>
  <w:style w:styleId="Predmetkomentara" w:type="paragraph">
    <w:name w:val="annotation subject"/>
    <w:basedOn w:val="Tekstkomentara"/>
    <w:next w:val="Tekstkomentara"/>
    <w:link w:val="PredmetkomentaraChar"/>
    <w:uiPriority w:val="99"/>
    <w:semiHidden/>
    <w:unhideWhenUsed/>
    <w:rsid w:val="002A01A2"/>
    <w:rPr>
      <w:b/>
      <w:bCs/>
    </w:rPr>
  </w:style>
  <w:style w:customStyle="true" w:styleId="PredmetkomentaraChar" w:type="character">
    <w:name w:val="Predmet komentara Char"/>
    <w:basedOn w:val="TekstkomentaraChar"/>
    <w:link w:val="Predmetkomentara"/>
    <w:uiPriority w:val="99"/>
    <w:semiHidden/>
    <w:rsid w:val="002A01A2"/>
    <w:rPr>
      <w:rFonts w:cs="Times New Roman" w:eastAsia="Times New Roman" w:hAnsi="Tahoma" w:ascii="Tahoma"/>
      <w:b/>
      <w:bCs/>
      <w:sz w:val="20"/>
      <w:szCs w:val="20"/>
      <w:lang w:eastAsia="hr-HR"/>
    </w:rPr>
  </w:style>
  <w:style w:customStyle="true" w:styleId="Bezpopisa11" w:type="numbering">
    <w:name w:val="Bez popisa11"/>
    <w:next w:val="Bezpopisa"/>
    <w:uiPriority w:val="99"/>
    <w:semiHidden/>
    <w:unhideWhenUsed/>
    <w:rsid w:val="002A01A2"/>
  </w:style>
  <w:style w:styleId="Adresaomotnice" w:type="paragraph">
    <w:name w:val="envelope address"/>
    <w:basedOn w:val="Normal"/>
    <w:rsid w:val="002A01A2"/>
    <w:pPr>
      <w:framePr w:hRule="exact" w:yAlign="bottom" w:xAlign="center" w:hAnchor="page" w:wrap="auto" w:hSpace="180" w:h="1980" w:w="7920"/>
      <w:spacing w:lineRule="auto" w:line="240" w:after="0"/>
      <w:ind w:left="2880"/>
    </w:pPr>
    <w:rPr>
      <w:rFonts w:cs="Arial" w:eastAsia="Times New Roman" w:hAnsi="Times New Roman" w:ascii="Times New Roman"/>
      <w:b/>
      <w:i/>
      <w:sz w:val="24"/>
      <w:szCs w:val="24"/>
      <w:lang w:eastAsia="hr-HR"/>
    </w:rPr>
  </w:style>
  <w:style w:styleId="Tijeloteksta" w:type="paragraph">
    <w:name w:val="Body Text"/>
    <w:basedOn w:val="Normal"/>
    <w:link w:val="TijelotekstaChar"/>
    <w:rsid w:val="002A01A2"/>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2A01A2"/>
    <w:rPr>
      <w:rFonts w:cs="Times New Roman" w:eastAsia="Times New Roman" w:hAnsi="Times New Roman" w:ascii="Times New Roman"/>
      <w:sz w:val="24"/>
      <w:szCs w:val="24"/>
      <w:lang w:eastAsia="hr-HR"/>
    </w:rPr>
  </w:style>
  <w:style w:styleId="Brojstranice" w:type="character">
    <w:name w:val="page number"/>
    <w:basedOn w:val="Zadanifontodlomka"/>
    <w:rsid w:val="002A01A2"/>
  </w:style>
  <w:style w:styleId="Tijeloteksta-uvlaka3" w:type="paragraph">
    <w:name w:val="Body Text Indent 3"/>
    <w:basedOn w:val="Normal"/>
    <w:link w:val="Tijeloteksta-uvlaka3Char"/>
    <w:rsid w:val="002A01A2"/>
    <w:pPr>
      <w:spacing w:lineRule="auto" w:line="240" w:after="120"/>
      <w:ind w:left="283"/>
    </w:pPr>
    <w:rPr>
      <w:rFonts w:cs="Times New Roman" w:eastAsia="Times New Roman" w:hAnsi="Times New Roman" w:ascii="Times New Roman"/>
      <w:sz w:val="16"/>
      <w:szCs w:val="16"/>
      <w:lang w:eastAsia="hr-HR"/>
    </w:rPr>
  </w:style>
  <w:style w:customStyle="true" w:styleId="Tijeloteksta-uvlaka3Char" w:type="character">
    <w:name w:val="Tijelo teksta - uvlaka 3 Char"/>
    <w:basedOn w:val="Zadanifontodlomka"/>
    <w:link w:val="Tijeloteksta-uvlaka3"/>
    <w:rsid w:val="002A01A2"/>
    <w:rPr>
      <w:rFonts w:cs="Times New Roman" w:eastAsia="Times New Roman" w:hAnsi="Times New Roman" w:ascii="Times New Roman"/>
      <w:sz w:val="16"/>
      <w:szCs w:val="16"/>
      <w:lang w:eastAsia="hr-HR"/>
    </w:rPr>
  </w:style>
  <w:style w:styleId="Uvuenotijeloteksta" w:type="paragraph">
    <w:name w:val="Body Text Indent"/>
    <w:basedOn w:val="Normal"/>
    <w:link w:val="UvuenotijelotekstaChar"/>
    <w:rsid w:val="002A01A2"/>
    <w:pPr>
      <w:spacing w:lineRule="auto" w:line="240" w:after="120"/>
      <w:ind w:left="283"/>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2A01A2"/>
    <w:rPr>
      <w:rFonts w:cs="Times New Roman" w:eastAsia="Times New Roman" w:hAnsi="Times New Roman" w:ascii="Times New Roman"/>
      <w:sz w:val="24"/>
      <w:szCs w:val="24"/>
      <w:lang w:eastAsia="hr-HR"/>
    </w:rPr>
  </w:style>
  <w:style w:styleId="Tijeloteksta-uvlaka2" w:type="paragraph">
    <w:name w:val="Body Text Indent 2"/>
    <w:basedOn w:val="Normal"/>
    <w:link w:val="Tijeloteksta-uvlaka2Char"/>
    <w:rsid w:val="002A01A2"/>
    <w:pPr>
      <w:spacing w:lineRule="auto" w:line="480" w:after="120"/>
      <w:ind w:left="283"/>
    </w:pPr>
    <w:rPr>
      <w:rFonts w:cs="Times New Roman" w:eastAsia="Times New Roman" w:hAnsi="Times New Roman" w:ascii="Times New Roman"/>
      <w:sz w:val="24"/>
      <w:szCs w:val="24"/>
      <w:lang w:eastAsia="hr-HR"/>
    </w:rPr>
  </w:style>
  <w:style w:customStyle="true" w:styleId="Tijeloteksta-uvlaka2Char" w:type="character">
    <w:name w:val="Tijelo teksta - uvlaka 2 Char"/>
    <w:basedOn w:val="Zadanifontodlomka"/>
    <w:link w:val="Tijeloteksta-uvlaka2"/>
    <w:rsid w:val="002A01A2"/>
    <w:rPr>
      <w:rFonts w:cs="Times New Roman" w:eastAsia="Times New Roman" w:hAnsi="Times New Roman" w:ascii="Times New Roman"/>
      <w:sz w:val="24"/>
      <w:szCs w:val="24"/>
      <w:lang w:eastAsia="hr-HR"/>
    </w:rPr>
  </w:style>
  <w:style w:styleId="StandardWeb" w:type="paragraph">
    <w:name w:val="Normal (Web)"/>
    <w:basedOn w:val="Normal"/>
    <w:rsid w:val="002A01A2"/>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Bezproreda" w:type="paragraph">
    <w:name w:val="No Spacing"/>
    <w:uiPriority w:val="99"/>
    <w:qFormat/>
    <w:rsid w:val="002A01A2"/>
    <w:pPr>
      <w:spacing w:lineRule="auto" w:line="240" w:after="0"/>
    </w:pPr>
    <w:rPr>
      <w:rFonts w:cs="Times New Roman" w:eastAsia="Calibri" w:hAnsi="Calibri" w:ascii="Calibri"/>
    </w:rPr>
  </w:style>
  <w:style w:styleId="Hiperveza" w:type="character">
    <w:name w:val="Hyperlink"/>
    <w:basedOn w:val="Zadanifontodlomka"/>
    <w:uiPriority w:val="99"/>
    <w:unhideWhenUsed/>
    <w:rsid w:val="002A01A2"/>
    <w:rPr>
      <w:color w:val="0000FF"/>
      <w:u w:val="single"/>
    </w:rPr>
  </w:style>
  <w:style w:styleId="SlijeenaHiperveza" w:type="character">
    <w:name w:val="FollowedHyperlink"/>
    <w:basedOn w:val="Zadanifontodlomka"/>
    <w:uiPriority w:val="99"/>
    <w:unhideWhenUsed/>
    <w:rsid w:val="002A01A2"/>
    <w:rPr>
      <w:color w:val="800080"/>
      <w:u w:val="single"/>
    </w:rPr>
  </w:style>
  <w:style w:customStyle="true" w:styleId="xl65" w:type="paragraph">
    <w:name w:val="xl65"/>
    <w:basedOn w:val="Normal"/>
    <w:rsid w:val="002A01A2"/>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6" w:type="paragraph">
    <w:name w:val="xl66"/>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7" w:type="paragraph">
    <w:name w:val="xl67"/>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8" w:type="paragraph">
    <w:name w:val="xl68"/>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9" w:type="paragraph">
    <w:name w:val="xl69"/>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0" w:type="paragraph">
    <w:name w:val="xl70"/>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1" w:type="paragraph">
    <w:name w:val="xl71"/>
    <w:basedOn w:val="Normal"/>
    <w:rsid w:val="002A01A2"/>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2" w:type="paragraph">
    <w:name w:val="xl72"/>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73" w:type="paragraph">
    <w:name w:val="xl73"/>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xl74" w:type="paragraph">
    <w:name w:val="xl74"/>
    <w:basedOn w:val="Normal"/>
    <w:rsid w:val="002A01A2"/>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4"/>
      <w:szCs w:val="24"/>
      <w:lang w:eastAsia="hr-HR"/>
    </w:rPr>
  </w:style>
  <w:style w:customStyle="true" w:styleId="Bezpopisa111" w:type="numbering">
    <w:name w:val="Bez popisa111"/>
    <w:next w:val="Bezpopisa"/>
    <w:uiPriority w:val="99"/>
    <w:semiHidden/>
    <w:unhideWhenUsed/>
    <w:rsid w:val="002A01A2"/>
  </w:style>
  <w:style w:styleId="Tekstrezerviranogmjesta" w:type="character">
    <w:name w:val="Placeholder Text"/>
    <w:basedOn w:val="Zadanifontodlomka"/>
    <w:uiPriority w:val="99"/>
    <w:semiHidden/>
    <w:rsid w:val="002A01A2"/>
    <w:rPr>
      <w:color w:val="808080"/>
      <w:bdr w:space="0" w:sz="0" w:color="auto" w:val="none"/>
      <w:shd w:fill="auto" w:color="auto" w:val="clear"/>
    </w:rPr>
  </w:style>
  <w:style w:customStyle="true" w:styleId="eSPISCCParagraphDefaultFont" w:type="character">
    <w:name w:val="eSPIS_CC_Paragraph Default Font"/>
    <w:basedOn w:val="Zadanifontodlomka"/>
    <w:rsid w:val="002A01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1A2"/>
    <w:rPr>
      <w:bdr w:space="0" w:sz="0" w:color="auto" w:val="none"/>
      <w:shd w:fill="FFFFCC" w:color="auto" w:val="clear"/>
      <w:lang w:val="hr-HR"/>
    </w:rPr>
  </w:style>
  <w:style w:customStyle="true" w:styleId="PozadinaSvijetloCrvena" w:type="character">
    <w:name w:val="Pozadina_SvijetloCrvena"/>
    <w:basedOn w:val="eSPISCCParagraphDefaultFont"/>
    <w:rsid w:val="002A01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1A2"/>
    <w:rPr>
      <w:rFonts w:cs="Times New Roman" w:hAnsi="Times New Roman" w:ascii="Times New Roman"/>
      <w:sz w:val="24"/>
      <w:bdr w:space="0" w:sz="0" w:color="auto" w:val="none"/>
      <w:shd w:fill="CCFFCC" w:color="auto" w:val="clear"/>
      <w:lang w:val="hr-HR"/>
    </w:rPr>
  </w:style>
  <w:style w:styleId="Tekstfusnote" w:type="paragraph">
    <w:name w:val="footnote text"/>
    <w:basedOn w:val="Normal"/>
    <w:link w:val="TekstfusnoteChar"/>
    <w:uiPriority w:val="99"/>
    <w:semiHidden/>
    <w:unhideWhenUsed/>
    <w:rsid w:val="002A01A2"/>
    <w:pPr>
      <w:spacing w:lineRule="auto" w:line="240" w:after="0"/>
    </w:pPr>
    <w:rPr>
      <w:rFonts w:cs="Times New Roman" w:eastAsia="Times New Roman" w:hAnsi="Tahoma" w:ascii="Tahoma"/>
      <w:sz w:val="20"/>
      <w:szCs w:val="20"/>
      <w:lang w:eastAsia="hr-HR"/>
    </w:rPr>
  </w:style>
  <w:style w:customStyle="true" w:styleId="TekstfusnoteChar" w:type="character">
    <w:name w:val="Tekst fusnote Char"/>
    <w:basedOn w:val="Zadanifontodlomka"/>
    <w:link w:val="Tekstfusnote"/>
    <w:uiPriority w:val="99"/>
    <w:semiHidden/>
    <w:rsid w:val="002A01A2"/>
    <w:rPr>
      <w:rFonts w:cs="Times New Roman" w:eastAsia="Times New Roman" w:hAnsi="Tahoma" w:ascii="Tahoma"/>
      <w:sz w:val="20"/>
      <w:szCs w:val="20"/>
      <w:lang w:eastAsia="hr-HR"/>
    </w:rPr>
  </w:style>
  <w:style w:styleId="Referencafusnote" w:type="character">
    <w:name w:val="footnote reference"/>
    <w:basedOn w:val="Zadanifontodlomka"/>
    <w:uiPriority w:val="99"/>
    <w:semiHidden/>
    <w:unhideWhenUsed/>
    <w:rsid w:val="002A01A2"/>
    <w:rPr>
      <w:vertAlign w:val="superscript"/>
    </w:rPr>
  </w:style>
  <w:style w:styleId="Reetkatablice" w:type="table">
    <w:name w:val="Table Grid"/>
    <w:basedOn w:val="Obinatablica"/>
    <w:uiPriority w:val="39"/>
    <w:rsid w:val="002A01A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glavlja" w:type="paragraph">
    <w:name w:val="Poglavlja"/>
    <w:basedOn w:val="Odlomakpopisa"/>
    <w:link w:val="PoglavljaChar"/>
    <w:qFormat/>
    <w:rsid w:val="002A01A2"/>
    <w:pPr>
      <w:numPr>
        <w:numId w:val="5"/>
      </w:numPr>
    </w:pPr>
    <w:rPr>
      <w:rFonts w:cs="Tahoma"/>
      <w:b/>
      <w:bCs/>
      <w:sz w:val="28"/>
      <w:szCs w:val="28"/>
    </w:rPr>
  </w:style>
  <w:style w:customStyle="true" w:styleId="OdlomakpopisaChar" w:type="character">
    <w:name w:val="Odlomak popisa Char"/>
    <w:basedOn w:val="Zadanifontodlomka"/>
    <w:link w:val="Odlomakpopisa"/>
    <w:uiPriority w:val="34"/>
    <w:rsid w:val="002A01A2"/>
    <w:rPr>
      <w:rFonts w:cs="Times New Roman" w:eastAsia="Times New Roman" w:hAnsi="Tahoma" w:ascii="Tahoma"/>
      <w:lang w:eastAsia="hr-HR"/>
    </w:rPr>
  </w:style>
  <w:style w:customStyle="true" w:styleId="PoglavljaChar" w:type="character">
    <w:name w:val="Poglavlja Char"/>
    <w:basedOn w:val="OdlomakpopisaChar"/>
    <w:link w:val="Poglavlja"/>
    <w:rsid w:val="002A01A2"/>
    <w:rPr>
      <w:rFonts w:cs="Tahoma" w:eastAsia="Times New Roman" w:hAnsi="Tahoma" w:ascii="Tahoma"/>
      <w:b/>
      <w:bCs/>
      <w:sz w:val="28"/>
      <w:szCs w:val="28"/>
      <w:lang w:eastAsia="hr-HR"/>
    </w:rPr>
  </w:style>
  <w:style w:styleId="Sadraj1" w:type="paragraph">
    <w:name w:val="toc 1"/>
    <w:basedOn w:val="Normal"/>
    <w:next w:val="Normal"/>
    <w:autoRedefine/>
    <w:uiPriority w:val="39"/>
    <w:unhideWhenUsed/>
    <w:rsid w:val="002A01A2"/>
    <w:pPr>
      <w:tabs>
        <w:tab w:pos="440" w:val="left"/>
        <w:tab w:pos="9062" w:leader="dot" w:val="right"/>
      </w:tabs>
      <w:spacing w:lineRule="auto" w:line="240" w:after="100"/>
      <w:jc w:val="center"/>
    </w:pPr>
    <w:rPr>
      <w:rFonts w:cs="Times New Roman" w:eastAsia="Times New Roman" w:hAnsi="Tahoma" w:ascii="Tahoma"/>
      <w:b/>
      <w:sz w:val="24"/>
      <w:lang w:eastAsia="hr-HR"/>
    </w:rPr>
  </w:style>
  <w:style w:customStyle="true" w:styleId="Bezpopisa2" w:type="numbering">
    <w:name w:val="Bez popisa2"/>
    <w:next w:val="Bezpopisa"/>
    <w:uiPriority w:val="99"/>
    <w:semiHidden/>
    <w:unhideWhenUsed/>
    <w:rsid w:val="002A01A2"/>
  </w:style>
  <w:style w:customStyle="true" w:styleId="Bezpopisa12" w:type="numbering">
    <w:name w:val="Bez popisa12"/>
    <w:next w:val="Bezpopisa"/>
    <w:uiPriority w:val="99"/>
    <w:semiHidden/>
    <w:unhideWhenUsed/>
    <w:rsid w:val="002A01A2"/>
  </w:style>
  <w:style w:customStyle="true" w:styleId="Bezpopisa112" w:type="numbering">
    <w:name w:val="Bez popisa112"/>
    <w:next w:val="Bezpopisa"/>
    <w:uiPriority w:val="99"/>
    <w:semiHidden/>
    <w:unhideWhenUsed/>
    <w:rsid w:val="002A01A2"/>
  </w:style>
  <w:style w:customStyle="true" w:styleId="Reetkatablice1" w:type="table">
    <w:name w:val="Rešetka tablice1"/>
    <w:basedOn w:val="Obinatablica"/>
    <w:next w:val="Reetkatablice"/>
    <w:uiPriority w:val="59"/>
    <w:rsid w:val="002A01A2"/>
    <w:pPr>
      <w:spacing w:lineRule="auto" w:line="240" w:after="0"/>
    </w:pPr>
    <w:rPr>
      <w:rFonts w:cs="Times New Roman" w:eastAsia="Times New Roman" w:hAnsi="Tahoma" w:ascii="Tahoma"/>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1" w:type="table">
    <w:name w:val="Rešetka tablice11"/>
    <w:basedOn w:val="Obinatablica"/>
    <w:next w:val="Reetkatablice"/>
    <w:uiPriority w:val="59"/>
    <w:rsid w:val="002A01A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tablice1" w:type="table">
    <w:name w:val="Svijetla rešetka tablice1"/>
    <w:basedOn w:val="Obinatablica"/>
    <w:uiPriority w:val="40"/>
    <w:rsid w:val="002A01A2"/>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Reetkatablice2" w:type="table">
    <w:name w:val="Rešetka tablice2"/>
    <w:basedOn w:val="Obinatablica"/>
    <w:next w:val="Reetkatablice"/>
    <w:uiPriority w:val="59"/>
    <w:rsid w:val="002A01A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2A01A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envelope address" w:uiPriority="0"/>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2A01A2"/>
    <w:pPr>
      <w:keepNext/>
      <w:spacing w:after="0" w:line="240" w:lineRule="auto"/>
      <w:jc w:val="center"/>
      <w:outlineLvl w:val="0"/>
    </w:pPr>
    <w:rPr>
      <w:rFonts w:ascii="Times New Roman" w:cs="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2A01A2"/>
    <w:pPr>
      <w:keepNext/>
      <w:keepLines/>
      <w:spacing w:after="0" w:before="40" w:line="240" w:lineRule="auto"/>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2A01A2"/>
    <w:pPr>
      <w:keepNext/>
      <w:keepLines/>
      <w:spacing w:after="0" w:before="40" w:line="240" w:lineRule="auto"/>
      <w:outlineLvl w:val="2"/>
    </w:pPr>
    <w:rPr>
      <w:rFonts w:asciiTheme="majorHAnsi" w:cstheme="majorBidi" w:eastAsiaTheme="majorEastAsia" w:hAnsiTheme="majorHAnsi"/>
      <w:color w:themeColor="accent1" w:themeShade="7F" w:val="243F60"/>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01A2"/>
    <w:rPr>
      <w:rFonts w:ascii="Times New Roman" w:cs="Times New Roman" w:eastAsia="Times New Roman" w:hAnsi="Times New Roman"/>
      <w:b/>
      <w:bCs/>
      <w:sz w:val="24"/>
      <w:szCs w:val="24"/>
      <w:lang w:eastAsia="hr-HR"/>
    </w:rPr>
  </w:style>
  <w:style w:customStyle="1" w:styleId="Naslov2Char" w:type="character">
    <w:name w:val="Naslov 2 Char"/>
    <w:basedOn w:val="Zadanifontodlomka"/>
    <w:link w:val="Naslov2"/>
    <w:uiPriority w:val="9"/>
    <w:semiHidden/>
    <w:rsid w:val="002A01A2"/>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2A01A2"/>
    <w:rPr>
      <w:rFonts w:asciiTheme="majorHAnsi" w:cstheme="majorBidi" w:eastAsiaTheme="majorEastAsia" w:hAnsiTheme="majorHAnsi"/>
      <w:color w:themeColor="accent1" w:themeShade="7F" w:val="243F60"/>
      <w:sz w:val="24"/>
      <w:szCs w:val="24"/>
      <w:lang w:eastAsia="hr-HR"/>
    </w:rPr>
  </w:style>
  <w:style w:customStyle="1" w:styleId="Bezpopisa1" w:type="numbering">
    <w:name w:val="Bez popisa1"/>
    <w:next w:val="Bezpopisa"/>
    <w:uiPriority w:val="99"/>
    <w:semiHidden/>
    <w:unhideWhenUsed/>
    <w:rsid w:val="002A01A2"/>
  </w:style>
  <w:style w:styleId="Zaglavlje" w:type="paragraph">
    <w:name w:val="header"/>
    <w:basedOn w:val="Normal"/>
    <w:link w:val="ZaglavljeChar"/>
    <w:rsid w:val="002A01A2"/>
    <w:pPr>
      <w:tabs>
        <w:tab w:pos="4536" w:val="center"/>
        <w:tab w:pos="9072" w:val="right"/>
      </w:tabs>
      <w:spacing w:after="0" w:line="240" w:lineRule="auto"/>
    </w:pPr>
    <w:rPr>
      <w:rFonts w:ascii="Tahoma" w:cs="Times New Roman" w:eastAsia="Times New Roman" w:hAnsi="Tahoma"/>
      <w:lang w:eastAsia="hr-HR"/>
    </w:rPr>
  </w:style>
  <w:style w:customStyle="1" w:styleId="ZaglavljeChar" w:type="character">
    <w:name w:val="Zaglavlje Char"/>
    <w:basedOn w:val="Zadanifontodlomka"/>
    <w:link w:val="Zaglavlje"/>
    <w:rsid w:val="002A01A2"/>
    <w:rPr>
      <w:rFonts w:ascii="Tahoma" w:cs="Times New Roman" w:eastAsia="Times New Roman" w:hAnsi="Tahoma"/>
      <w:lang w:eastAsia="hr-HR"/>
    </w:rPr>
  </w:style>
  <w:style w:styleId="Podnoje" w:type="paragraph">
    <w:name w:val="footer"/>
    <w:basedOn w:val="Normal"/>
    <w:link w:val="PodnojeChar"/>
    <w:uiPriority w:val="99"/>
    <w:rsid w:val="002A01A2"/>
    <w:pPr>
      <w:tabs>
        <w:tab w:pos="4536" w:val="center"/>
        <w:tab w:pos="9072" w:val="right"/>
      </w:tabs>
      <w:spacing w:after="0" w:line="240" w:lineRule="auto"/>
    </w:pPr>
    <w:rPr>
      <w:rFonts w:ascii="Tahoma" w:cs="Times New Roman" w:eastAsia="Times New Roman" w:hAnsi="Tahoma"/>
      <w:lang w:eastAsia="hr-HR"/>
    </w:rPr>
  </w:style>
  <w:style w:customStyle="1" w:styleId="PodnojeChar" w:type="character">
    <w:name w:val="Podnožje Char"/>
    <w:basedOn w:val="Zadanifontodlomka"/>
    <w:link w:val="Podnoje"/>
    <w:uiPriority w:val="99"/>
    <w:rsid w:val="002A01A2"/>
    <w:rPr>
      <w:rFonts w:ascii="Tahoma" w:cs="Times New Roman" w:eastAsia="Times New Roman" w:hAnsi="Tahoma"/>
      <w:lang w:eastAsia="hr-HR"/>
    </w:rPr>
  </w:style>
  <w:style w:styleId="Odlomakpopisa" w:type="paragraph">
    <w:name w:val="List Paragraph"/>
    <w:basedOn w:val="Normal"/>
    <w:link w:val="OdlomakpopisaChar"/>
    <w:uiPriority w:val="34"/>
    <w:qFormat/>
    <w:rsid w:val="002A01A2"/>
    <w:pPr>
      <w:spacing w:after="0" w:line="240" w:lineRule="auto"/>
      <w:ind w:left="720"/>
      <w:contextualSpacing/>
    </w:pPr>
    <w:rPr>
      <w:rFonts w:ascii="Tahoma" w:cs="Times New Roman" w:eastAsia="Times New Roman" w:hAnsi="Tahoma"/>
      <w:lang w:eastAsia="hr-HR"/>
    </w:rPr>
  </w:style>
  <w:style w:styleId="Referencakomentara" w:type="character">
    <w:name w:val="annotation reference"/>
    <w:basedOn w:val="Zadanifontodlomka"/>
    <w:uiPriority w:val="99"/>
    <w:semiHidden/>
    <w:unhideWhenUsed/>
    <w:rsid w:val="002A01A2"/>
    <w:rPr>
      <w:sz w:val="16"/>
      <w:szCs w:val="16"/>
    </w:rPr>
  </w:style>
  <w:style w:styleId="Tekstkomentara" w:type="paragraph">
    <w:name w:val="annotation text"/>
    <w:basedOn w:val="Normal"/>
    <w:link w:val="TekstkomentaraChar"/>
    <w:uiPriority w:val="99"/>
    <w:unhideWhenUsed/>
    <w:rsid w:val="002A01A2"/>
    <w:pPr>
      <w:spacing w:after="0" w:line="240" w:lineRule="auto"/>
    </w:pPr>
    <w:rPr>
      <w:rFonts w:ascii="Tahoma" w:cs="Times New Roman" w:eastAsia="Times New Roman" w:hAnsi="Tahoma"/>
      <w:sz w:val="20"/>
      <w:szCs w:val="20"/>
      <w:lang w:eastAsia="hr-HR"/>
    </w:rPr>
  </w:style>
  <w:style w:customStyle="1" w:styleId="TekstkomentaraChar" w:type="character">
    <w:name w:val="Tekst komentara Char"/>
    <w:basedOn w:val="Zadanifontodlomka"/>
    <w:link w:val="Tekstkomentara"/>
    <w:uiPriority w:val="99"/>
    <w:rsid w:val="002A01A2"/>
    <w:rPr>
      <w:rFonts w:ascii="Tahoma" w:cs="Times New Roman" w:eastAsia="Times New Roman" w:hAnsi="Tahoma"/>
      <w:sz w:val="20"/>
      <w:szCs w:val="20"/>
      <w:lang w:eastAsia="hr-HR"/>
    </w:rPr>
  </w:style>
  <w:style w:styleId="Tekstbalonia" w:type="paragraph">
    <w:name w:val="Balloon Text"/>
    <w:basedOn w:val="Normal"/>
    <w:link w:val="TekstbaloniaChar"/>
    <w:semiHidden/>
    <w:unhideWhenUsed/>
    <w:rsid w:val="002A01A2"/>
    <w:pPr>
      <w:spacing w:after="0" w:line="240" w:lineRule="auto"/>
    </w:pPr>
    <w:rPr>
      <w:rFonts w:ascii="Tahoma" w:cs="Tahoma" w:eastAsia="Times New Roman" w:hAnsi="Tahoma"/>
      <w:sz w:val="16"/>
      <w:szCs w:val="16"/>
      <w:lang w:eastAsia="hr-HR"/>
    </w:rPr>
  </w:style>
  <w:style w:customStyle="1" w:styleId="TekstbaloniaChar" w:type="character">
    <w:name w:val="Tekst balončića Char"/>
    <w:basedOn w:val="Zadanifontodlomka"/>
    <w:link w:val="Tekstbalonia"/>
    <w:semiHidden/>
    <w:rsid w:val="002A01A2"/>
    <w:rPr>
      <w:rFonts w:ascii="Tahoma" w:cs="Tahoma" w:eastAsia="Times New Roman" w:hAnsi="Tahoma"/>
      <w:sz w:val="16"/>
      <w:szCs w:val="16"/>
      <w:lang w:eastAsia="hr-HR"/>
    </w:rPr>
  </w:style>
  <w:style w:styleId="Predmetkomentara" w:type="paragraph">
    <w:name w:val="annotation subject"/>
    <w:basedOn w:val="Tekstkomentara"/>
    <w:next w:val="Tekstkomentara"/>
    <w:link w:val="PredmetkomentaraChar"/>
    <w:uiPriority w:val="99"/>
    <w:semiHidden/>
    <w:unhideWhenUsed/>
    <w:rsid w:val="002A01A2"/>
    <w:rPr>
      <w:b/>
      <w:bCs/>
    </w:rPr>
  </w:style>
  <w:style w:customStyle="1" w:styleId="PredmetkomentaraChar" w:type="character">
    <w:name w:val="Predmet komentara Char"/>
    <w:basedOn w:val="TekstkomentaraChar"/>
    <w:link w:val="Predmetkomentara"/>
    <w:uiPriority w:val="99"/>
    <w:semiHidden/>
    <w:rsid w:val="002A01A2"/>
    <w:rPr>
      <w:rFonts w:ascii="Tahoma" w:cs="Times New Roman" w:eastAsia="Times New Roman" w:hAnsi="Tahoma"/>
      <w:b/>
      <w:bCs/>
      <w:sz w:val="20"/>
      <w:szCs w:val="20"/>
      <w:lang w:eastAsia="hr-HR"/>
    </w:rPr>
  </w:style>
  <w:style w:customStyle="1" w:styleId="Bezpopisa11" w:type="numbering">
    <w:name w:val="Bez popisa11"/>
    <w:next w:val="Bezpopisa"/>
    <w:uiPriority w:val="99"/>
    <w:semiHidden/>
    <w:unhideWhenUsed/>
    <w:rsid w:val="002A01A2"/>
  </w:style>
  <w:style w:styleId="Adresaomotnice" w:type="paragraph">
    <w:name w:val="envelope address"/>
    <w:basedOn w:val="Normal"/>
    <w:rsid w:val="002A01A2"/>
    <w:pPr>
      <w:framePr w:h="1980" w:hAnchor="page" w:hRule="exact" w:hSpace="180" w:w="7920" w:wrap="auto" w:xAlign="center" w:yAlign="bottom"/>
      <w:spacing w:after="0" w:line="240" w:lineRule="auto"/>
      <w:ind w:left="2880"/>
    </w:pPr>
    <w:rPr>
      <w:rFonts w:ascii="Times New Roman" w:cs="Arial" w:eastAsia="Times New Roman" w:hAnsi="Times New Roman"/>
      <w:b/>
      <w:i/>
      <w:sz w:val="24"/>
      <w:szCs w:val="24"/>
      <w:lang w:eastAsia="hr-HR"/>
    </w:rPr>
  </w:style>
  <w:style w:styleId="Tijeloteksta" w:type="paragraph">
    <w:name w:val="Body Text"/>
    <w:basedOn w:val="Normal"/>
    <w:link w:val="TijelotekstaChar"/>
    <w:rsid w:val="002A01A2"/>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2A01A2"/>
    <w:rPr>
      <w:rFonts w:ascii="Times New Roman" w:cs="Times New Roman" w:eastAsia="Times New Roman" w:hAnsi="Times New Roman"/>
      <w:sz w:val="24"/>
      <w:szCs w:val="24"/>
      <w:lang w:eastAsia="hr-HR"/>
    </w:rPr>
  </w:style>
  <w:style w:styleId="Brojstranice" w:type="character">
    <w:name w:val="page number"/>
    <w:basedOn w:val="Zadanifontodlomka"/>
    <w:rsid w:val="002A01A2"/>
  </w:style>
  <w:style w:styleId="Tijeloteksta-uvlaka3" w:type="paragraph">
    <w:name w:val="Body Text Indent 3"/>
    <w:basedOn w:val="Normal"/>
    <w:link w:val="Tijeloteksta-uvlaka3Char"/>
    <w:rsid w:val="002A01A2"/>
    <w:pPr>
      <w:spacing w:after="120" w:line="240" w:lineRule="auto"/>
      <w:ind w:left="283"/>
    </w:pPr>
    <w:rPr>
      <w:rFonts w:ascii="Times New Roman" w:cs="Times New Roman" w:eastAsia="Times New Roman" w:hAnsi="Times New Roman"/>
      <w:sz w:val="16"/>
      <w:szCs w:val="16"/>
      <w:lang w:eastAsia="hr-HR"/>
    </w:rPr>
  </w:style>
  <w:style w:customStyle="1" w:styleId="Tijeloteksta-uvlaka3Char" w:type="character">
    <w:name w:val="Tijelo teksta - uvlaka 3 Char"/>
    <w:basedOn w:val="Zadanifontodlomka"/>
    <w:link w:val="Tijeloteksta-uvlaka3"/>
    <w:rsid w:val="002A01A2"/>
    <w:rPr>
      <w:rFonts w:ascii="Times New Roman" w:cs="Times New Roman" w:eastAsia="Times New Roman" w:hAnsi="Times New Roman"/>
      <w:sz w:val="16"/>
      <w:szCs w:val="16"/>
      <w:lang w:eastAsia="hr-HR"/>
    </w:rPr>
  </w:style>
  <w:style w:styleId="Uvuenotijeloteksta" w:type="paragraph">
    <w:name w:val="Body Text Indent"/>
    <w:basedOn w:val="Normal"/>
    <w:link w:val="UvuenotijelotekstaChar"/>
    <w:rsid w:val="002A01A2"/>
    <w:pPr>
      <w:spacing w:after="120" w:line="240" w:lineRule="auto"/>
      <w:ind w:left="283"/>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2A01A2"/>
    <w:rPr>
      <w:rFonts w:ascii="Times New Roman" w:cs="Times New Roman" w:eastAsia="Times New Roman" w:hAnsi="Times New Roman"/>
      <w:sz w:val="24"/>
      <w:szCs w:val="24"/>
      <w:lang w:eastAsia="hr-HR"/>
    </w:rPr>
  </w:style>
  <w:style w:styleId="Tijeloteksta-uvlaka2" w:type="paragraph">
    <w:name w:val="Body Text Indent 2"/>
    <w:basedOn w:val="Normal"/>
    <w:link w:val="Tijeloteksta-uvlaka2Char"/>
    <w:rsid w:val="002A01A2"/>
    <w:pPr>
      <w:spacing w:after="120" w:line="480" w:lineRule="auto"/>
      <w:ind w:left="283"/>
    </w:pPr>
    <w:rPr>
      <w:rFonts w:ascii="Times New Roman" w:cs="Times New Roman" w:eastAsia="Times New Roman" w:hAnsi="Times New Roman"/>
      <w:sz w:val="24"/>
      <w:szCs w:val="24"/>
      <w:lang w:eastAsia="hr-HR"/>
    </w:rPr>
  </w:style>
  <w:style w:customStyle="1" w:styleId="Tijeloteksta-uvlaka2Char" w:type="character">
    <w:name w:val="Tijelo teksta - uvlaka 2 Char"/>
    <w:basedOn w:val="Zadanifontodlomka"/>
    <w:link w:val="Tijeloteksta-uvlaka2"/>
    <w:rsid w:val="002A01A2"/>
    <w:rPr>
      <w:rFonts w:ascii="Times New Roman" w:cs="Times New Roman" w:eastAsia="Times New Roman" w:hAnsi="Times New Roman"/>
      <w:sz w:val="24"/>
      <w:szCs w:val="24"/>
      <w:lang w:eastAsia="hr-HR"/>
    </w:rPr>
  </w:style>
  <w:style w:styleId="StandardWeb" w:type="paragraph">
    <w:name w:val="Normal (Web)"/>
    <w:basedOn w:val="Normal"/>
    <w:rsid w:val="002A01A2"/>
    <w:pPr>
      <w:spacing w:after="100" w:afterAutospacing="1" w:before="100" w:beforeAutospacing="1" w:line="240" w:lineRule="auto"/>
    </w:pPr>
    <w:rPr>
      <w:rFonts w:ascii="Times New Roman" w:cs="Times New Roman" w:eastAsia="Times New Roman" w:hAnsi="Times New Roman"/>
      <w:sz w:val="24"/>
      <w:szCs w:val="24"/>
      <w:lang w:eastAsia="hr-HR"/>
    </w:rPr>
  </w:style>
  <w:style w:styleId="Bezproreda" w:type="paragraph">
    <w:name w:val="No Spacing"/>
    <w:uiPriority w:val="99"/>
    <w:qFormat/>
    <w:rsid w:val="002A01A2"/>
    <w:pPr>
      <w:spacing w:after="0" w:line="240" w:lineRule="auto"/>
    </w:pPr>
    <w:rPr>
      <w:rFonts w:ascii="Calibri" w:cs="Times New Roman" w:eastAsia="Calibri" w:hAnsi="Calibri"/>
    </w:rPr>
  </w:style>
  <w:style w:styleId="Hiperveza" w:type="character">
    <w:name w:val="Hyperlink"/>
    <w:basedOn w:val="Zadanifontodlomka"/>
    <w:uiPriority w:val="99"/>
    <w:unhideWhenUsed/>
    <w:rsid w:val="002A01A2"/>
    <w:rPr>
      <w:color w:val="0000FF"/>
      <w:u w:val="single"/>
    </w:rPr>
  </w:style>
  <w:style w:styleId="SlijeenaHiperveza" w:type="character">
    <w:name w:val="FollowedHyperlink"/>
    <w:basedOn w:val="Zadanifontodlomka"/>
    <w:uiPriority w:val="99"/>
    <w:unhideWhenUsed/>
    <w:rsid w:val="002A01A2"/>
    <w:rPr>
      <w:color w:val="800080"/>
      <w:u w:val="single"/>
    </w:rPr>
  </w:style>
  <w:style w:customStyle="1" w:styleId="xl65" w:type="paragraph">
    <w:name w:val="xl65"/>
    <w:basedOn w:val="Normal"/>
    <w:rsid w:val="002A01A2"/>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6" w:type="paragraph">
    <w:name w:val="xl66"/>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7" w:type="paragraph">
    <w:name w:val="xl67"/>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8" w:type="paragraph">
    <w:name w:val="xl68"/>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9" w:type="paragraph">
    <w:name w:val="xl69"/>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0" w:type="paragraph">
    <w:name w:val="xl70"/>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1" w:type="paragraph">
    <w:name w:val="xl71"/>
    <w:basedOn w:val="Normal"/>
    <w:rsid w:val="002A01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2" w:type="paragraph">
    <w:name w:val="xl72"/>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73" w:type="paragraph">
    <w:name w:val="xl73"/>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xl74" w:type="paragraph">
    <w:name w:val="xl74"/>
    <w:basedOn w:val="Normal"/>
    <w:rsid w:val="002A01A2"/>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4"/>
      <w:szCs w:val="24"/>
      <w:lang w:eastAsia="hr-HR"/>
    </w:rPr>
  </w:style>
  <w:style w:customStyle="1" w:styleId="Bezpopisa111" w:type="numbering">
    <w:name w:val="Bez popisa111"/>
    <w:next w:val="Bezpopisa"/>
    <w:uiPriority w:val="99"/>
    <w:semiHidden/>
    <w:unhideWhenUsed/>
    <w:rsid w:val="002A01A2"/>
  </w:style>
  <w:style w:styleId="Tekstrezerviranogmjesta" w:type="character">
    <w:name w:val="Placeholder Text"/>
    <w:basedOn w:val="Zadanifontodlomka"/>
    <w:uiPriority w:val="99"/>
    <w:semiHidden/>
    <w:rsid w:val="002A01A2"/>
    <w:rPr>
      <w:color w:val="808080"/>
      <w:bdr w:color="auto" w:space="0" w:sz="0" w:val="none"/>
      <w:shd w:color="auto" w:fill="auto" w:val="clear"/>
    </w:rPr>
  </w:style>
  <w:style w:customStyle="1" w:styleId="eSPISCCParagraphDefaultFont" w:type="character">
    <w:name w:val="eSPIS_CC_Paragraph Default Font"/>
    <w:basedOn w:val="Zadanifontodlomka"/>
    <w:rsid w:val="002A01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1A2"/>
    <w:rPr>
      <w:bdr w:color="auto" w:space="0" w:sz="0" w:val="none"/>
      <w:shd w:color="auto" w:fill="FFFFCC" w:val="clear"/>
      <w:lang w:val="hr-HR"/>
    </w:rPr>
  </w:style>
  <w:style w:customStyle="1" w:styleId="PozadinaSvijetloCrvena" w:type="character">
    <w:name w:val="Pozadina_SvijetloCrvena"/>
    <w:basedOn w:val="eSPISCCParagraphDefaultFont"/>
    <w:rsid w:val="002A01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1A2"/>
    <w:rPr>
      <w:rFonts w:ascii="Times New Roman" w:cs="Times New Roman" w:hAnsi="Times New Roman"/>
      <w:sz w:val="24"/>
      <w:bdr w:color="auto" w:space="0" w:sz="0" w:val="none"/>
      <w:shd w:color="auto" w:fill="CCFFCC" w:val="clear"/>
      <w:lang w:val="hr-HR"/>
    </w:rPr>
  </w:style>
  <w:style w:styleId="Tekstfusnote" w:type="paragraph">
    <w:name w:val="footnote text"/>
    <w:basedOn w:val="Normal"/>
    <w:link w:val="TekstfusnoteChar"/>
    <w:uiPriority w:val="99"/>
    <w:semiHidden/>
    <w:unhideWhenUsed/>
    <w:rsid w:val="002A01A2"/>
    <w:pPr>
      <w:spacing w:after="0" w:line="240" w:lineRule="auto"/>
    </w:pPr>
    <w:rPr>
      <w:rFonts w:ascii="Tahoma" w:cs="Times New Roman" w:eastAsia="Times New Roman" w:hAnsi="Tahoma"/>
      <w:sz w:val="20"/>
      <w:szCs w:val="20"/>
      <w:lang w:eastAsia="hr-HR"/>
    </w:rPr>
  </w:style>
  <w:style w:customStyle="1" w:styleId="TekstfusnoteChar" w:type="character">
    <w:name w:val="Tekst fusnote Char"/>
    <w:basedOn w:val="Zadanifontodlomka"/>
    <w:link w:val="Tekstfusnote"/>
    <w:uiPriority w:val="99"/>
    <w:semiHidden/>
    <w:rsid w:val="002A01A2"/>
    <w:rPr>
      <w:rFonts w:ascii="Tahoma" w:cs="Times New Roman" w:eastAsia="Times New Roman" w:hAnsi="Tahoma"/>
      <w:sz w:val="20"/>
      <w:szCs w:val="20"/>
      <w:lang w:eastAsia="hr-HR"/>
    </w:rPr>
  </w:style>
  <w:style w:styleId="Referencafusnote" w:type="character">
    <w:name w:val="footnote reference"/>
    <w:basedOn w:val="Zadanifontodlomka"/>
    <w:uiPriority w:val="99"/>
    <w:semiHidden/>
    <w:unhideWhenUsed/>
    <w:rsid w:val="002A01A2"/>
    <w:rPr>
      <w:vertAlign w:val="superscript"/>
    </w:rPr>
  </w:style>
  <w:style w:styleId="Reetkatablice" w:type="table">
    <w:name w:val="Table Grid"/>
    <w:basedOn w:val="Obinatablica"/>
    <w:uiPriority w:val="39"/>
    <w:rsid w:val="002A01A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glavlja" w:type="paragraph">
    <w:name w:val="Poglavlja"/>
    <w:basedOn w:val="Odlomakpopisa"/>
    <w:link w:val="PoglavljaChar"/>
    <w:qFormat/>
    <w:rsid w:val="002A01A2"/>
    <w:pPr>
      <w:numPr>
        <w:numId w:val="5"/>
      </w:numPr>
    </w:pPr>
    <w:rPr>
      <w:rFonts w:cs="Tahoma"/>
      <w:b/>
      <w:bCs/>
      <w:sz w:val="28"/>
      <w:szCs w:val="28"/>
    </w:rPr>
  </w:style>
  <w:style w:customStyle="1" w:styleId="OdlomakpopisaChar" w:type="character">
    <w:name w:val="Odlomak popisa Char"/>
    <w:basedOn w:val="Zadanifontodlomka"/>
    <w:link w:val="Odlomakpopisa"/>
    <w:uiPriority w:val="34"/>
    <w:rsid w:val="002A01A2"/>
    <w:rPr>
      <w:rFonts w:ascii="Tahoma" w:cs="Times New Roman" w:eastAsia="Times New Roman" w:hAnsi="Tahoma"/>
      <w:lang w:eastAsia="hr-HR"/>
    </w:rPr>
  </w:style>
  <w:style w:customStyle="1" w:styleId="PoglavljaChar" w:type="character">
    <w:name w:val="Poglavlja Char"/>
    <w:basedOn w:val="OdlomakpopisaChar"/>
    <w:link w:val="Poglavlja"/>
    <w:rsid w:val="002A01A2"/>
    <w:rPr>
      <w:rFonts w:ascii="Tahoma" w:cs="Tahoma" w:eastAsia="Times New Roman" w:hAnsi="Tahoma"/>
      <w:b/>
      <w:bCs/>
      <w:sz w:val="28"/>
      <w:szCs w:val="28"/>
      <w:lang w:eastAsia="hr-HR"/>
    </w:rPr>
  </w:style>
  <w:style w:styleId="Sadraj1" w:type="paragraph">
    <w:name w:val="toc 1"/>
    <w:basedOn w:val="Normal"/>
    <w:next w:val="Normal"/>
    <w:autoRedefine/>
    <w:uiPriority w:val="39"/>
    <w:unhideWhenUsed/>
    <w:rsid w:val="002A01A2"/>
    <w:pPr>
      <w:tabs>
        <w:tab w:pos="440" w:val="left"/>
        <w:tab w:leader="dot" w:pos="9062" w:val="right"/>
      </w:tabs>
      <w:spacing w:after="100" w:line="240" w:lineRule="auto"/>
      <w:jc w:val="center"/>
    </w:pPr>
    <w:rPr>
      <w:rFonts w:ascii="Tahoma" w:cs="Times New Roman" w:eastAsia="Times New Roman" w:hAnsi="Tahoma"/>
      <w:b/>
      <w:sz w:val="24"/>
      <w:lang w:eastAsia="hr-HR"/>
    </w:rPr>
  </w:style>
  <w:style w:customStyle="1" w:styleId="Bezpopisa2" w:type="numbering">
    <w:name w:val="Bez popisa2"/>
    <w:next w:val="Bezpopisa"/>
    <w:uiPriority w:val="99"/>
    <w:semiHidden/>
    <w:unhideWhenUsed/>
    <w:rsid w:val="002A01A2"/>
  </w:style>
  <w:style w:customStyle="1" w:styleId="Bezpopisa12" w:type="numbering">
    <w:name w:val="Bez popisa12"/>
    <w:next w:val="Bezpopisa"/>
    <w:uiPriority w:val="99"/>
    <w:semiHidden/>
    <w:unhideWhenUsed/>
    <w:rsid w:val="002A01A2"/>
  </w:style>
  <w:style w:customStyle="1" w:styleId="Bezpopisa112" w:type="numbering">
    <w:name w:val="Bez popisa112"/>
    <w:next w:val="Bezpopisa"/>
    <w:uiPriority w:val="99"/>
    <w:semiHidden/>
    <w:unhideWhenUsed/>
    <w:rsid w:val="002A01A2"/>
  </w:style>
  <w:style w:customStyle="1" w:styleId="Reetkatablice1" w:type="table">
    <w:name w:val="Rešetka tablice1"/>
    <w:basedOn w:val="Obinatablica"/>
    <w:next w:val="Reetkatablice"/>
    <w:uiPriority w:val="59"/>
    <w:rsid w:val="002A01A2"/>
    <w:pPr>
      <w:spacing w:after="0" w:line="240" w:lineRule="auto"/>
    </w:pPr>
    <w:rPr>
      <w:rFonts w:ascii="Tahoma" w:cs="Times New Roman" w:eastAsia="Times New Roman" w:hAnsi="Tahoma"/>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1" w:type="table">
    <w:name w:val="Rešetka tablice11"/>
    <w:basedOn w:val="Obinatablica"/>
    <w:next w:val="Reetkatablice"/>
    <w:uiPriority w:val="59"/>
    <w:rsid w:val="002A01A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tablice1" w:type="table">
    <w:name w:val="Svijetla rešetka tablice1"/>
    <w:basedOn w:val="Obinatablica"/>
    <w:uiPriority w:val="40"/>
    <w:rsid w:val="002A01A2"/>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Reetkatablice2" w:type="table">
    <w:name w:val="Rešetka tablice2"/>
    <w:basedOn w:val="Obinatablica"/>
    <w:next w:val="Reetkatablice"/>
    <w:uiPriority w:val="59"/>
    <w:rsid w:val="002A01A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2A01A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1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37</properties:Pages>
  <properties:Words>11979</properties:Words>
  <properties:Characters>68285</properties:Characters>
  <properties:Lines>569</properties:Lines>
  <properties:Paragraphs>160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2018-05-30T10:09:00Z</dcterms:created>
  <dc:creator>Željka Vitez</dc:creator>
  <cp:lastModifiedBy>Željka Vitez</cp:lastModifiedBy>
  <dcterms:modified xmlns:xsi="http://www.w3.org/2001/XMLSchema-instance" xsi:type="dcterms:W3CDTF">2018-05-30T10:27:00Z</dcterms:modified>
  <cp:revision>2</cp:revision>
</cp:coreProperties>
</file>