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77ce" w14:paraId="7b277ce"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222D9A" w:rsidR="008E179B">
      <w:pPr>
        <w:jc w:val="center"/>
      </w:pPr>
      <w:r>
        <w:t>o održanom ročištu radi sklapanja predstečajne nagodbe nad dužnikom</w:t>
      </w:r>
      <w:r w:rsidR="007837B4">
        <w:t xml:space="preserve"> </w:t>
      </w:r>
    </w:p>
    <w:p w:rsidRDefault="00222D9A" w:rsidP="008E179B" w:rsidR="00222D9A">
      <w:pPr>
        <w:jc w:val="center"/>
      </w:pPr>
      <w:r w:rsidRPr="00E22AB1">
        <w:t>POŽGAJ F</w:t>
      </w:r>
      <w:r>
        <w:t xml:space="preserve">LOORING d.o.o., Veliki Bukovec, </w:t>
      </w:r>
      <w:r w:rsidRPr="00E22AB1">
        <w:t>Dravska ulica 40, OIB</w:t>
      </w:r>
      <w:r>
        <w:t>:</w:t>
      </w:r>
      <w:r w:rsidRPr="00E22AB1">
        <w:t xml:space="preserve"> 35779288855</w:t>
      </w:r>
      <w:r w:rsidR="008E179B">
        <w:t xml:space="preserve">, </w:t>
      </w:r>
    </w:p>
    <w:p w:rsidRDefault="00222D9A" w:rsidP="008E179B" w:rsidR="00063095">
      <w:pPr>
        <w:jc w:val="center"/>
      </w:pPr>
      <w:r>
        <w:t>30. studenog</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222D9A">
        <w:t xml:space="preserve">12,30 </w:t>
      </w:r>
      <w:r w:rsidR="00063095">
        <w:t>sati.</w:t>
      </w:r>
    </w:p>
    <w:p w:rsidRDefault="00063095" w:rsidP="00063095" w:rsidR="00063095"/>
    <w:p w:rsidRDefault="00CB441E" w:rsidP="00063095" w:rsidR="00CB441E"/>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222D9A">
        <w:t>Sven Pirker</w:t>
      </w:r>
    </w:p>
    <w:p w:rsidRDefault="00DA28FA" w:rsidP="00063095" w:rsidR="00DA28FA">
      <w:pPr>
        <w:jc w:val="both"/>
      </w:pPr>
      <w:r>
        <w:t>-zastupnica Republike Hrvatske, zamjenica Županijskog državnog odvjetnika u Varaždinu, Građansko-upravni odjel, Tanja Purić-Stamenković,</w:t>
      </w:r>
    </w:p>
    <w:p w:rsidRDefault="00DA28FA" w:rsidP="00063095" w:rsidR="00DA28FA">
      <w:pPr>
        <w:jc w:val="both"/>
      </w:pPr>
      <w:r>
        <w:t>-punomoćnik dužnika, Miroslav Rendić, odvjetnik iz Varaždina,</w:t>
      </w:r>
    </w:p>
    <w:p w:rsidRDefault="00DA28FA" w:rsidP="00ED148D" w:rsidR="008E179B">
      <w:pPr>
        <w:jc w:val="both"/>
      </w:pPr>
      <w:r>
        <w:t>-</w:t>
      </w:r>
      <w:r w:rsidR="0044508D">
        <w:t xml:space="preserve">za </w:t>
      </w:r>
      <w:r>
        <w:t>Hrvatsku poštansku banku d.d. Evelin Jakopović, zaposlenica,</w:t>
      </w:r>
    </w:p>
    <w:p w:rsidRDefault="00DA28FA" w:rsidP="00ED148D" w:rsidR="00DA28FA">
      <w:pPr>
        <w:jc w:val="both"/>
      </w:pPr>
      <w:r>
        <w:t>-Danijel Benčić, član uprave dužnika</w:t>
      </w:r>
    </w:p>
    <w:p w:rsidRDefault="00BF3A2C" w:rsidP="00FD5BAF" w:rsidR="00BF3A2C">
      <w:pPr>
        <w:jc w:val="both"/>
      </w:pPr>
    </w:p>
    <w:p w:rsidRDefault="00EB2F81" w:rsidP="00FD5BAF" w:rsidR="00EB2F81">
      <w:pPr>
        <w:jc w:val="both"/>
      </w:pPr>
    </w:p>
    <w:p w:rsidRDefault="00EB2F81" w:rsidP="002B5920" w:rsidR="00C80B05">
      <w:pPr>
        <w:jc w:val="both"/>
      </w:pPr>
      <w:r>
        <w:tab/>
      </w:r>
      <w:r>
        <w:tab/>
      </w:r>
    </w:p>
    <w:p w:rsidRDefault="00C80B05" w:rsidP="002B5920" w:rsidR="00DA28FA">
      <w:pPr>
        <w:jc w:val="both"/>
      </w:pPr>
      <w:r>
        <w:tab/>
      </w:r>
      <w:r w:rsidR="00DA28FA">
        <w:t xml:space="preserve">Konstatira se da su tijekom ovog predstečajnog postupka prispjeli obrasci za glasanje za sljedeće vjerovnike: </w:t>
      </w:r>
    </w:p>
    <w:p w:rsidRDefault="00DA28FA" w:rsidP="002B5920" w:rsidR="00C80B05">
      <w:pPr>
        <w:jc w:val="both"/>
      </w:pPr>
      <w:r>
        <w:t>-javni bilježnik Stjepan Trstenjak, koji je glasovao za plan restrukturiranja (list 189 spisa),</w:t>
      </w:r>
    </w:p>
    <w:p w:rsidRDefault="00DA28FA" w:rsidP="002B5920" w:rsidR="00DA28FA">
      <w:pPr>
        <w:jc w:val="both"/>
      </w:pPr>
      <w:r>
        <w:t>-NET PLUS d.o.o. Varaždin, koji je glasovao za plan restrukturiranja (list 192 spisa),</w:t>
      </w:r>
    </w:p>
    <w:p w:rsidRDefault="00DA28FA" w:rsidP="002B5920" w:rsidR="00DA28FA">
      <w:pPr>
        <w:jc w:val="both"/>
      </w:pPr>
      <w:r>
        <w:t>-Kornelija Dretar, vlasnica obrta Grafing, koja je glasovala za plan restrukturiranja (list 195 spisa),</w:t>
      </w:r>
    </w:p>
    <w:p w:rsidRDefault="00DA28FA" w:rsidP="002B5920" w:rsidR="00DA28FA">
      <w:pPr>
        <w:jc w:val="both"/>
      </w:pPr>
      <w:r>
        <w:t>-POŽGAJ d.o.o., koji je glasao za plan restrukturiranja (list 197 spisa),</w:t>
      </w:r>
    </w:p>
    <w:p w:rsidRDefault="00DA28FA" w:rsidP="002B5920" w:rsidR="00DA28FA">
      <w:pPr>
        <w:jc w:val="both"/>
      </w:pPr>
      <w:r>
        <w:t>-PARKET POŽGAJ d.o.o., koji je glasao za plan restrukturiranja (list 200 spisa), a za ovog vjerovnika u rješenju ovoga suda od 7. rujna 2017., poslovni broj St-82/17-16 utvrđeno je da</w:t>
      </w:r>
      <w:r w:rsidR="004B418B">
        <w:t xml:space="preserve"> je ovaj vjerovnik u odnosu prema ovom dužniku glavni dužnik, a ovaj dužnik je jamac platac u odnosu na vjerovnika PARKETI POŽGAJ d.o.o.,</w:t>
      </w:r>
    </w:p>
    <w:p w:rsidRDefault="004B418B" w:rsidP="002B5920" w:rsidR="004B418B">
      <w:pPr>
        <w:jc w:val="both"/>
      </w:pPr>
      <w:r>
        <w:t>-MASSIVE FLOORING d.o.o., Veliki Bukovec, koji je glasao za plan restrukturiranja (list 203 spisa),</w:t>
      </w:r>
    </w:p>
    <w:p w:rsidRDefault="004B418B" w:rsidP="002B5920" w:rsidR="004B418B">
      <w:pPr>
        <w:jc w:val="both"/>
      </w:pPr>
      <w:r>
        <w:t>-NEXUS d.o.o., koji je glasao za plan restrukturiranja (list 206 spisa).</w:t>
      </w:r>
    </w:p>
    <w:p w:rsidRDefault="004B418B" w:rsidP="002B5920" w:rsidR="004B418B">
      <w:pPr>
        <w:jc w:val="both"/>
      </w:pPr>
    </w:p>
    <w:p w:rsidRDefault="004B418B" w:rsidP="002B5920" w:rsidR="004B418B">
      <w:pPr>
        <w:jc w:val="both"/>
      </w:pPr>
      <w:r>
        <w:tab/>
        <w:t>Na današnjem ročištu svoje obrasce za glasanje predala je Hrvatska poštanska banka d.d. Zagreb, koja glasa za plan restrukturiranja, te se utvrđuje da je ovaj vjerovnik s osnova razlučnog prava također dostavio sudu obavijest o tome da tražbina s tog osnova iznosi 19.423.308,46 kn, te da se prema obrascu prijave tražbine tog vjerovnika od 27. ožujka 2017. isti odriče razlučnog prava za cjelokupni iznos od 19.423.308,46 kn.</w:t>
      </w:r>
    </w:p>
    <w:p w:rsidRDefault="004B418B" w:rsidP="002B5920" w:rsidR="004B418B">
      <w:pPr>
        <w:jc w:val="both"/>
      </w:pPr>
    </w:p>
    <w:p w:rsidRDefault="004B418B" w:rsidP="004B418B" w:rsidR="004B418B">
      <w:pPr>
        <w:ind w:firstLine="708"/>
        <w:jc w:val="both"/>
      </w:pPr>
      <w:r>
        <w:lastRenderedPageBreak/>
        <w:t>Direktor dužnika pojašnjava da što se tiče tražbina s osnova jamstva PARKETI POŽGAJ d.o.o. i KUPRES d.o.o., nisu uvrštavani u prijedloge za glasovanje</w:t>
      </w:r>
      <w:r w:rsidR="0067279C">
        <w:t xml:space="preserve"> s osnova jamstva, dok je samo uzeta u obzir tražbina PARKETI POŽGAJ d.o.o., koja je utvrđena s osnova zajma a ne jamstva</w:t>
      </w:r>
      <w:r>
        <w:t>.</w:t>
      </w:r>
      <w:r w:rsidR="0067279C">
        <w:t xml:space="preserve"> </w:t>
      </w:r>
    </w:p>
    <w:p w:rsidRDefault="00DA28FA" w:rsidP="002B5920" w:rsidR="00DA28FA">
      <w:pPr>
        <w:jc w:val="both"/>
      </w:pPr>
    </w:p>
    <w:p w:rsidRDefault="00C80B05" w:rsidP="00C80B05" w:rsidR="00C80B05">
      <w:pPr>
        <w:ind w:firstLine="708"/>
        <w:jc w:val="both"/>
      </w:pPr>
      <w:r>
        <w:t>Nakon toga</w:t>
      </w:r>
      <w:r w:rsidR="003C02BA">
        <w:t xml:space="preserve"> na temelju čl. 57. SZ u skladu sa dostavljenim prijavama tražbina i iskorištenim pravom glasa na ovom ročištu za glasovanje o planu restrukturiranja, sud sastavlja popis vjerovnika i prava glasa koja im pripadaju, uz napomenu da je to sačinjeno u obliku tabele, radi lakšeg izračuna rezultata glasovanja, kako slijedi: </w:t>
      </w:r>
    </w:p>
    <w:p w:rsidRDefault="00222D9A" w:rsidP="00C80B05" w:rsidR="00222D9A">
      <w:pPr>
        <w:ind w:firstLine="708"/>
        <w:jc w:val="both"/>
      </w:pPr>
    </w:p>
    <w:p w:rsidRDefault="0067279C" w:rsidP="0067279C" w:rsidR="0067279C">
      <w:pPr>
        <w:jc w:val="both"/>
      </w:pPr>
      <w:r>
        <w:t>SKUPINA VJEROVNIKA KOJI NEMAJU PRAVO ODVOJENOG NAMIRENJA</w:t>
      </w:r>
    </w:p>
    <w:p w:rsidRDefault="0067279C" w:rsidP="00C80B05" w:rsidR="0067279C">
      <w:pPr>
        <w:ind w:firstLine="708"/>
        <w:jc w:val="both"/>
      </w:pPr>
    </w:p>
    <w:p w:rsidRDefault="00222D9A" w:rsidP="00C80B05" w:rsidR="00222D9A">
      <w:pPr>
        <w:ind w:firstLine="708"/>
        <w:jc w:val="both"/>
      </w:pPr>
    </w:p>
    <w:tbl>
      <w:tblPr>
        <w:tblW w:type="dxa" w:w="9782"/>
        <w:tblLayout w:type="fixed"/>
        <w:tblCellMar>
          <w:left w:type="dxa" w:w="30"/>
          <w:right w:type="dxa" w:w="30"/>
        </w:tblCellMar>
        <w:tblLook w:val="0000" w:noVBand="0" w:noHBand="0" w:lastColumn="0" w:firstColumn="0" w:lastRow="0" w:firstRow="0"/>
      </w:tblPr>
      <w:tblGrid>
        <w:gridCol w:w="929"/>
        <w:gridCol w:w="2133"/>
        <w:gridCol w:w="4210"/>
        <w:gridCol w:w="1582"/>
        <w:gridCol w:w="928"/>
      </w:tblGrid>
      <w:tr w:rsidTr="004C108A" w:rsidR="004B418B">
        <w:trPr>
          <w:trHeight w:val="696"/>
        </w:trPr>
        <w:tc>
          <w:tcPr>
            <w:tcW w:type="dxa" w:w="929"/>
            <w:tcBorders>
              <w:top w:space="0" w:sz="12" w:color="auto" w:val="single"/>
              <w:left w:space="0" w:sz="12" w:color="auto" w:val="single"/>
              <w:bottom w:val="nil"/>
              <w:right w:space="0" w:sz="12" w:color="auto" w:val="single"/>
            </w:tcBorders>
            <w:shd w:fill="auto" w:color="99CCFF" w:val="solid"/>
          </w:tcPr>
          <w:p w:rsidRDefault="004B418B" w:rsidR="004B418B">
            <w:pPr>
              <w:autoSpaceDE w:val="false"/>
              <w:autoSpaceDN w:val="false"/>
              <w:adjustRightInd w:val="false"/>
              <w:jc w:val="center"/>
              <w:rPr>
                <w:rFonts w:eastAsiaTheme="minorHAnsi" w:cs="Arial" w:hAnsi="Arial" w:ascii="Arial"/>
                <w:b/>
                <w:bCs/>
                <w:color w:val="000000"/>
                <w:sz w:val="16"/>
                <w:szCs w:val="16"/>
                <w:lang w:eastAsia="en-US"/>
              </w:rPr>
            </w:pPr>
            <w:r>
              <w:rPr>
                <w:rFonts w:eastAsiaTheme="minorHAnsi" w:cs="Arial" w:hAnsi="Arial" w:ascii="Arial"/>
                <w:b/>
                <w:bCs/>
                <w:color w:val="000000"/>
                <w:sz w:val="16"/>
                <w:szCs w:val="16"/>
                <w:lang w:eastAsia="en-US"/>
              </w:rPr>
              <w:t>REDNI BROJ</w:t>
            </w:r>
          </w:p>
        </w:tc>
        <w:tc>
          <w:tcPr>
            <w:tcW w:type="dxa" w:w="2133"/>
            <w:tcBorders>
              <w:top w:space="0" w:sz="12" w:color="auto" w:val="single"/>
              <w:left w:space="0" w:sz="12" w:color="auto" w:val="single"/>
              <w:bottom w:val="nil"/>
              <w:right w:space="0" w:sz="12" w:color="auto" w:val="single"/>
            </w:tcBorders>
            <w:shd w:fill="auto" w:color="99CCFF" w:val="solid"/>
          </w:tcPr>
          <w:p w:rsidRDefault="004B418B" w:rsidR="004B418B">
            <w:pPr>
              <w:autoSpaceDE w:val="false"/>
              <w:autoSpaceDN w:val="false"/>
              <w:adjustRightInd w:val="false"/>
              <w:jc w:val="center"/>
              <w:rPr>
                <w:rFonts w:eastAsiaTheme="minorHAnsi" w:cs="Arial" w:hAnsi="Arial" w:ascii="Arial"/>
                <w:b/>
                <w:bCs/>
                <w:color w:val="000000"/>
                <w:sz w:val="16"/>
                <w:szCs w:val="16"/>
                <w:lang w:eastAsia="en-US"/>
              </w:rPr>
            </w:pPr>
            <w:r>
              <w:rPr>
                <w:rFonts w:eastAsiaTheme="minorHAnsi" w:cs="Arial" w:hAnsi="Arial" w:ascii="Arial"/>
                <w:b/>
                <w:bCs/>
                <w:color w:val="000000"/>
                <w:sz w:val="16"/>
                <w:szCs w:val="16"/>
                <w:lang w:eastAsia="en-US"/>
              </w:rPr>
              <w:t>OIB VJEROVNIKA</w:t>
            </w:r>
          </w:p>
        </w:tc>
        <w:tc>
          <w:tcPr>
            <w:tcW w:type="dxa" w:w="4210"/>
            <w:tcBorders>
              <w:top w:space="0" w:sz="12" w:color="auto" w:val="single"/>
              <w:left w:space="0" w:sz="12" w:color="auto" w:val="single"/>
              <w:bottom w:val="nil"/>
              <w:right w:space="0" w:sz="12" w:color="auto" w:val="single"/>
            </w:tcBorders>
            <w:shd w:fill="auto" w:color="99CCFF" w:val="solid"/>
          </w:tcPr>
          <w:p w:rsidRDefault="004B418B" w:rsidR="004B418B">
            <w:pPr>
              <w:autoSpaceDE w:val="false"/>
              <w:autoSpaceDN w:val="false"/>
              <w:adjustRightInd w:val="false"/>
              <w:rPr>
                <w:rFonts w:eastAsiaTheme="minorHAnsi" w:cs="Arial" w:hAnsi="Arial" w:ascii="Arial"/>
                <w:b/>
                <w:bCs/>
                <w:color w:val="000000"/>
                <w:sz w:val="16"/>
                <w:szCs w:val="16"/>
                <w:lang w:eastAsia="en-US"/>
              </w:rPr>
            </w:pPr>
            <w:r>
              <w:rPr>
                <w:rFonts w:eastAsiaTheme="minorHAnsi" w:cs="Arial" w:hAnsi="Arial" w:ascii="Arial"/>
                <w:b/>
                <w:bCs/>
                <w:color w:val="000000"/>
                <w:sz w:val="16"/>
                <w:szCs w:val="16"/>
                <w:lang w:eastAsia="en-US"/>
              </w:rPr>
              <w:t>NAZIV VJEROVNIKA</w:t>
            </w:r>
          </w:p>
        </w:tc>
        <w:tc>
          <w:tcPr>
            <w:tcW w:type="dxa" w:w="1582"/>
            <w:tcBorders>
              <w:top w:space="0" w:sz="12" w:color="auto" w:val="single"/>
              <w:left w:space="0" w:sz="12" w:color="auto" w:val="single"/>
              <w:bottom w:val="nil"/>
              <w:right w:space="0" w:sz="12" w:color="auto" w:val="single"/>
            </w:tcBorders>
            <w:shd w:fill="auto" w:color="99CCFF" w:val="solid"/>
          </w:tcPr>
          <w:p w:rsidRDefault="004B418B" w:rsidR="004B418B">
            <w:pPr>
              <w:autoSpaceDE w:val="false"/>
              <w:autoSpaceDN w:val="false"/>
              <w:adjustRightInd w:val="false"/>
              <w:jc w:val="right"/>
              <w:rPr>
                <w:rFonts w:eastAsiaTheme="minorHAnsi" w:cs="Arial" w:hAnsi="Arial" w:ascii="Arial"/>
                <w:b/>
                <w:bCs/>
                <w:color w:val="000000"/>
                <w:sz w:val="16"/>
                <w:szCs w:val="16"/>
                <w:lang w:eastAsia="en-US"/>
              </w:rPr>
            </w:pPr>
            <w:r>
              <w:rPr>
                <w:rFonts w:eastAsiaTheme="minorHAnsi" w:cs="Arial" w:hAnsi="Arial" w:ascii="Arial"/>
                <w:b/>
                <w:bCs/>
                <w:color w:val="000000"/>
                <w:sz w:val="16"/>
                <w:szCs w:val="16"/>
                <w:lang w:eastAsia="en-US"/>
              </w:rPr>
              <w:t>UTVRĐENI IZNOS TRAŽBINE u kunama</w:t>
            </w:r>
          </w:p>
        </w:tc>
        <w:tc>
          <w:tcPr>
            <w:tcW w:type="dxa" w:w="928"/>
            <w:tcBorders>
              <w:top w:space="0" w:sz="12" w:color="auto" w:val="single"/>
              <w:left w:space="0" w:sz="12" w:color="auto" w:val="single"/>
              <w:bottom w:val="nil"/>
              <w:right w:space="0" w:sz="12" w:color="auto" w:val="single"/>
            </w:tcBorders>
            <w:shd w:fill="auto" w:color="99CCFF" w:val="solid"/>
          </w:tcPr>
          <w:p w:rsidRDefault="004B418B" w:rsidR="004B418B">
            <w:pPr>
              <w:autoSpaceDE w:val="false"/>
              <w:autoSpaceDN w:val="false"/>
              <w:adjustRightInd w:val="false"/>
              <w:jc w:val="center"/>
              <w:rPr>
                <w:rFonts w:eastAsiaTheme="minorHAnsi" w:cs="Arial" w:hAnsi="Arial" w:ascii="Arial"/>
                <w:b/>
                <w:bCs/>
                <w:color w:val="000000"/>
                <w:sz w:val="16"/>
                <w:szCs w:val="16"/>
                <w:lang w:eastAsia="en-US"/>
              </w:rPr>
            </w:pPr>
            <w:r>
              <w:rPr>
                <w:rFonts w:eastAsiaTheme="minorHAnsi" w:cs="Arial" w:hAnsi="Arial" w:ascii="Arial"/>
                <w:b/>
                <w:bCs/>
                <w:color w:val="000000"/>
                <w:sz w:val="16"/>
                <w:szCs w:val="16"/>
                <w:lang w:eastAsia="en-US"/>
              </w:rPr>
              <w:t>GLAS ZA/PROTIV</w:t>
            </w:r>
          </w:p>
        </w:tc>
      </w:tr>
      <w:tr w:rsidTr="004C108A" w:rsidR="004B418B">
        <w:trPr>
          <w:trHeight w:val="240"/>
        </w:trPr>
        <w:tc>
          <w:tcPr>
            <w:tcW w:type="dxa" w:w="3062"/>
            <w:gridSpan w:val="2"/>
            <w:tcBorders>
              <w:top w:space="0" w:sz="12" w:color="auto" w:val="single"/>
              <w:left w:space="0" w:sz="12" w:color="auto" w:val="single"/>
              <w:bottom w:space="0" w:sz="12" w:color="auto" w:val="single"/>
              <w:right w:val="nil"/>
            </w:tcBorders>
          </w:tcPr>
          <w:p w:rsidRDefault="004B418B" w:rsidR="004B418B">
            <w:pPr>
              <w:autoSpaceDE w:val="false"/>
              <w:autoSpaceDN w:val="false"/>
              <w:adjustRightInd w:val="false"/>
              <w:rPr>
                <w:rFonts w:eastAsiaTheme="minorHAnsi" w:cs="Arial" w:hAnsi="Arial" w:ascii="Arial"/>
                <w:b/>
                <w:bCs/>
                <w:color w:val="000000"/>
                <w:sz w:val="20"/>
                <w:szCs w:val="20"/>
                <w:lang w:eastAsia="en-US"/>
              </w:rPr>
            </w:pPr>
            <w:r>
              <w:rPr>
                <w:rFonts w:eastAsiaTheme="minorHAnsi" w:cs="Arial" w:hAnsi="Arial" w:ascii="Arial"/>
                <w:b/>
                <w:bCs/>
                <w:color w:val="000000"/>
                <w:sz w:val="20"/>
                <w:szCs w:val="20"/>
                <w:lang w:eastAsia="en-US"/>
              </w:rPr>
              <w:t>RAZLUČNI VJEROVNICI</w:t>
            </w:r>
          </w:p>
        </w:tc>
        <w:tc>
          <w:tcPr>
            <w:tcW w:type="dxa" w:w="4210"/>
            <w:tcBorders>
              <w:top w:space="0" w:sz="12" w:color="auto" w:val="single"/>
              <w:left w:val="nil"/>
              <w:bottom w:space="0" w:sz="12" w:color="auto" w:val="single"/>
              <w:right w:val="nil"/>
            </w:tcBorders>
          </w:tcPr>
          <w:p w:rsidRDefault="004B418B" w:rsidR="004B418B">
            <w:pPr>
              <w:autoSpaceDE w:val="false"/>
              <w:autoSpaceDN w:val="false"/>
              <w:adjustRightInd w:val="false"/>
              <w:rPr>
                <w:rFonts w:eastAsiaTheme="minorHAnsi" w:cs="Arial" w:hAnsi="Arial" w:ascii="Arial"/>
                <w:b/>
                <w:bCs/>
                <w:color w:val="000000"/>
                <w:sz w:val="20"/>
                <w:szCs w:val="20"/>
                <w:lang w:eastAsia="en-US"/>
              </w:rPr>
            </w:pPr>
          </w:p>
        </w:tc>
        <w:tc>
          <w:tcPr>
            <w:tcW w:type="dxa" w:w="1582"/>
            <w:tcBorders>
              <w:top w:space="0" w:sz="12" w:color="auto" w:val="single"/>
              <w:left w:val="nil"/>
              <w:bottom w:space="0" w:sz="12" w:color="auto" w:val="single"/>
              <w:right w:val="nil"/>
            </w:tcBorders>
          </w:tcPr>
          <w:p w:rsidRDefault="004B418B" w:rsidR="004B418B">
            <w:pPr>
              <w:autoSpaceDE w:val="false"/>
              <w:autoSpaceDN w:val="false"/>
              <w:adjustRightInd w:val="false"/>
              <w:rPr>
                <w:rFonts w:eastAsiaTheme="minorHAnsi" w:cs="Arial" w:hAnsi="Arial" w:ascii="Arial"/>
                <w:b/>
                <w:bCs/>
                <w:color w:val="000000"/>
                <w:sz w:val="20"/>
                <w:szCs w:val="20"/>
                <w:lang w:eastAsia="en-US"/>
              </w:rPr>
            </w:pPr>
          </w:p>
        </w:tc>
        <w:tc>
          <w:tcPr>
            <w:tcW w:type="dxa" w:w="928"/>
            <w:tcBorders>
              <w:top w:space="0" w:sz="12" w:color="auto" w:val="single"/>
              <w:left w:val="nil"/>
              <w:bottom w:space="0" w:sz="12" w:color="auto" w:val="single"/>
              <w:right w:space="0" w:sz="12" w:color="auto" w:val="single"/>
            </w:tcBorders>
          </w:tcPr>
          <w:p w:rsidRDefault="004B418B" w:rsidR="004B418B">
            <w:pPr>
              <w:autoSpaceDE w:val="false"/>
              <w:autoSpaceDN w:val="false"/>
              <w:adjustRightInd w:val="false"/>
              <w:rPr>
                <w:rFonts w:eastAsiaTheme="minorHAnsi" w:cs="Arial" w:hAnsi="Arial" w:ascii="Arial"/>
                <w:b/>
                <w:bCs/>
                <w:color w:val="000000"/>
                <w:sz w:val="20"/>
                <w:szCs w:val="20"/>
                <w:lang w:eastAsia="en-US"/>
              </w:rPr>
            </w:pPr>
          </w:p>
        </w:tc>
      </w:tr>
      <w:tr w:rsidTr="004C108A" w:rsidR="004B418B">
        <w:trPr>
          <w:trHeight w:val="228"/>
        </w:trPr>
        <w:tc>
          <w:tcPr>
            <w:tcW w:type="dxa" w:w="929"/>
            <w:tcBorders>
              <w:top w:val="nil"/>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w:t>
            </w:r>
          </w:p>
        </w:tc>
        <w:tc>
          <w:tcPr>
            <w:tcW w:type="dxa" w:w="2133"/>
            <w:tcBorders>
              <w:top w:val="nil"/>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56613263505</w:t>
            </w:r>
          </w:p>
        </w:tc>
        <w:tc>
          <w:tcPr>
            <w:tcW w:type="dxa" w:w="4210"/>
            <w:tcBorders>
              <w:top w:val="nil"/>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KORNELIJA DRETAR, Varaždin, A. Stepinca 3</w:t>
            </w:r>
          </w:p>
        </w:tc>
        <w:tc>
          <w:tcPr>
            <w:tcW w:type="dxa" w:w="1582"/>
            <w:tcBorders>
              <w:top w:val="nil"/>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550,00 kn</w:t>
            </w:r>
          </w:p>
        </w:tc>
        <w:tc>
          <w:tcPr>
            <w:tcW w:type="dxa" w:w="928"/>
            <w:tcBorders>
              <w:top w:val="nil"/>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2</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58960122779</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ERNST &amp; YOUNG d.o.o. Zagreb, Radnička cesta 50</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26.742,23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PROTIV</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3</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85821130368</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FINANCIJSKA AGENCIJA, Zagreb, Vrtni put 3</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125,23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PROTIV</w:t>
            </w:r>
          </w:p>
        </w:tc>
      </w:tr>
      <w:tr w:rsidTr="004C108A" w:rsidR="004B418B">
        <w:trPr>
          <w:trHeight w:val="401"/>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4</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85167032587</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HRVATSKA GOSPODARSKA KOMORA, Zagreb, Rooseveltov trg 2</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251,91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PROTIV</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5</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69693144506</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HRVATSKE ŠUME d.o.o. Zagreb, Lj. F. Vukotinovića 2</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352,91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PROTIV</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6</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02282565733</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MASSIVE FLOORING d.o.o., Dravska 24, Veliki Bukovec</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9.423,75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7</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25565188385</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NET PLUS d.o.o., Nikole Tavelića 17, Hrašćica, Varaždin</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1.725,00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8</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79640747340</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NEXUS FGS, Zagreb, Nova Ves 17</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11.921.684,76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9</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65436826341</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PARKETI POŽGAJ d.o.o., Dravska 40, Veliki Bukovec</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14.951.640,46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228"/>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10</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97022429963</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POŽGAJ d.o.o., Dravska 24,  Veliki Bukovec</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1.153,48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401"/>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11</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18683136487</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REPUBLIKA HRVATSKA, MINISTARSTVO FINANCIJA, Zagreb, Katančićeva 5</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55.193,29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PROTIV</w:t>
            </w:r>
          </w:p>
        </w:tc>
      </w:tr>
      <w:tr w:rsidTr="004C108A" w:rsidR="004B418B">
        <w:trPr>
          <w:trHeight w:val="360"/>
        </w:trPr>
        <w:tc>
          <w:tcPr>
            <w:tcW w:type="dxa" w:w="929"/>
            <w:tcBorders>
              <w:top w:space="0" w:sz="2" w:color="auto" w:val="single"/>
              <w:left w:space="0" w:sz="6"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12</w:t>
            </w:r>
          </w:p>
        </w:tc>
        <w:tc>
          <w:tcPr>
            <w:tcW w:type="dxa" w:w="2133"/>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04682807598</w:t>
            </w:r>
          </w:p>
        </w:tc>
        <w:tc>
          <w:tcPr>
            <w:tcW w:type="dxa" w:w="4210"/>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STJEPAN TRSTENJAK, Varaždin, Trg slobode 1</w:t>
            </w:r>
          </w:p>
        </w:tc>
        <w:tc>
          <w:tcPr>
            <w:tcW w:type="dxa" w:w="1582"/>
            <w:tcBorders>
              <w:top w:space="0" w:sz="2" w:color="auto" w:val="single"/>
              <w:left w:space="0" w:sz="2" w:color="auto" w:val="single"/>
              <w:bottom w:space="0" w:sz="2"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190,00 kn</w:t>
            </w:r>
          </w:p>
        </w:tc>
        <w:tc>
          <w:tcPr>
            <w:tcW w:type="dxa" w:w="928"/>
            <w:tcBorders>
              <w:top w:space="0" w:sz="2" w:color="auto" w:val="single"/>
              <w:left w:space="0" w:sz="2" w:color="auto" w:val="single"/>
              <w:bottom w:space="0" w:sz="2"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360"/>
        </w:trPr>
        <w:tc>
          <w:tcPr>
            <w:tcW w:type="dxa" w:w="929"/>
            <w:tcBorders>
              <w:top w:space="0" w:sz="2" w:color="auto" w:val="single"/>
              <w:left w:space="0" w:sz="6" w:color="auto" w:val="single"/>
              <w:bottom w:space="0" w:sz="6"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13</w:t>
            </w:r>
          </w:p>
        </w:tc>
        <w:tc>
          <w:tcPr>
            <w:tcW w:type="dxa" w:w="2133"/>
            <w:tcBorders>
              <w:top w:space="0" w:sz="2" w:color="auto" w:val="single"/>
              <w:left w:space="0" w:sz="2" w:color="auto" w:val="single"/>
              <w:bottom w:space="0" w:sz="6" w:color="auto" w:val="single"/>
              <w:right w:space="0" w:sz="2"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87939104217</w:t>
            </w:r>
          </w:p>
        </w:tc>
        <w:tc>
          <w:tcPr>
            <w:tcW w:type="dxa" w:w="4210"/>
            <w:tcBorders>
              <w:top w:space="0" w:sz="2" w:color="auto" w:val="single"/>
              <w:left w:space="0" w:sz="2" w:color="auto" w:val="single"/>
              <w:bottom w:space="0" w:sz="6" w:color="auto" w:val="single"/>
              <w:right w:space="0" w:sz="2" w:color="auto" w:val="single"/>
            </w:tcBorders>
          </w:tcPr>
          <w:p w:rsidRDefault="004B418B" w:rsidR="004B418B">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HRVATSKA POŠTANSKA BANKA d.d. Zagreb, Jurišićeva 4</w:t>
            </w:r>
          </w:p>
        </w:tc>
        <w:tc>
          <w:tcPr>
            <w:tcW w:type="dxa" w:w="1582"/>
            <w:tcBorders>
              <w:top w:space="0" w:sz="2" w:color="auto" w:val="single"/>
              <w:left w:space="0" w:sz="2" w:color="auto" w:val="single"/>
              <w:bottom w:space="0" w:sz="6" w:color="auto" w:val="single"/>
              <w:right w:space="0" w:sz="2" w:color="auto" w:val="single"/>
            </w:tcBorders>
          </w:tcPr>
          <w:p w:rsidRDefault="004B418B" w:rsidR="004B418B">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1.416.378,65 kn</w:t>
            </w:r>
          </w:p>
        </w:tc>
        <w:tc>
          <w:tcPr>
            <w:tcW w:type="dxa" w:w="928"/>
            <w:tcBorders>
              <w:top w:space="0" w:sz="2" w:color="auto" w:val="single"/>
              <w:left w:space="0" w:sz="2" w:color="auto" w:val="single"/>
              <w:bottom w:space="0" w:sz="6" w:color="auto" w:val="single"/>
              <w:right w:space="0" w:sz="6" w:color="auto" w:val="single"/>
            </w:tcBorders>
          </w:tcPr>
          <w:p w:rsidRDefault="004B418B" w:rsidR="004B418B">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B418B">
        <w:trPr>
          <w:trHeight w:val="360"/>
        </w:trPr>
        <w:tc>
          <w:tcPr>
            <w:tcW w:type="dxa" w:w="3062"/>
            <w:gridSpan w:val="2"/>
            <w:tcBorders>
              <w:top w:space="0" w:sz="12" w:color="auto" w:val="single"/>
              <w:left w:space="0" w:sz="12" w:color="auto" w:val="single"/>
              <w:bottom w:space="0" w:sz="12" w:color="auto" w:val="single"/>
              <w:right w:val="nil"/>
            </w:tcBorders>
          </w:tcPr>
          <w:p w:rsidRDefault="004B418B" w:rsidR="004B418B">
            <w:pPr>
              <w:autoSpaceDE w:val="false"/>
              <w:autoSpaceDN w:val="false"/>
              <w:adjustRightInd w:val="false"/>
              <w:rPr>
                <w:rFonts w:eastAsiaTheme="minorHAnsi" w:cs="Arial" w:hAnsi="Arial" w:ascii="Arial"/>
                <w:b/>
                <w:bCs/>
                <w:color w:val="000000"/>
                <w:sz w:val="20"/>
                <w:szCs w:val="20"/>
                <w:lang w:eastAsia="en-US"/>
              </w:rPr>
            </w:pPr>
            <w:r>
              <w:rPr>
                <w:rFonts w:eastAsiaTheme="minorHAnsi" w:cs="Arial" w:hAnsi="Arial" w:ascii="Arial"/>
                <w:b/>
                <w:bCs/>
                <w:color w:val="000000"/>
                <w:sz w:val="20"/>
                <w:szCs w:val="20"/>
                <w:lang w:eastAsia="en-US"/>
              </w:rPr>
              <w:t>UKUPNO OSTALI VJEROVNICI</w:t>
            </w:r>
          </w:p>
        </w:tc>
        <w:tc>
          <w:tcPr>
            <w:tcW w:type="dxa" w:w="4210"/>
            <w:tcBorders>
              <w:top w:space="0" w:sz="12" w:color="auto" w:val="single"/>
              <w:left w:val="nil"/>
              <w:bottom w:space="0" w:sz="12" w:color="auto" w:val="single"/>
              <w:right w:val="nil"/>
            </w:tcBorders>
          </w:tcPr>
          <w:p w:rsidRDefault="004B418B" w:rsidR="004B418B">
            <w:pPr>
              <w:autoSpaceDE w:val="false"/>
              <w:autoSpaceDN w:val="false"/>
              <w:adjustRightInd w:val="false"/>
              <w:jc w:val="right"/>
              <w:rPr>
                <w:rFonts w:eastAsiaTheme="minorHAnsi"/>
                <w:b/>
                <w:bCs/>
                <w:color w:val="000000"/>
                <w:sz w:val="18"/>
                <w:szCs w:val="18"/>
                <w:lang w:eastAsia="en-US"/>
              </w:rPr>
            </w:pPr>
          </w:p>
        </w:tc>
        <w:tc>
          <w:tcPr>
            <w:tcW w:type="dxa" w:w="1582"/>
            <w:tcBorders>
              <w:top w:space="0" w:sz="12" w:color="auto" w:val="single"/>
              <w:left w:val="nil"/>
              <w:bottom w:space="0" w:sz="12" w:color="auto" w:val="single"/>
              <w:right w:val="nil"/>
            </w:tcBorders>
          </w:tcPr>
          <w:p w:rsidRDefault="004B418B" w:rsidR="004B418B">
            <w:pPr>
              <w:autoSpaceDE w:val="false"/>
              <w:autoSpaceDN w:val="false"/>
              <w:adjustRightInd w:val="false"/>
              <w:jc w:val="right"/>
              <w:rPr>
                <w:rFonts w:eastAsiaTheme="minorHAnsi" w:cs="Arial" w:hAnsi="Arial" w:ascii="Arial"/>
                <w:b/>
                <w:bCs/>
                <w:color w:val="000000"/>
                <w:sz w:val="18"/>
                <w:szCs w:val="18"/>
                <w:lang w:eastAsia="en-US"/>
              </w:rPr>
            </w:pPr>
            <w:r>
              <w:rPr>
                <w:rFonts w:eastAsiaTheme="minorHAnsi" w:cs="Arial" w:hAnsi="Arial" w:ascii="Arial"/>
                <w:b/>
                <w:bCs/>
                <w:color w:val="000000"/>
                <w:sz w:val="18"/>
                <w:szCs w:val="18"/>
                <w:lang w:eastAsia="en-US"/>
              </w:rPr>
              <w:t>28.385.411,67 kn</w:t>
            </w:r>
          </w:p>
        </w:tc>
        <w:tc>
          <w:tcPr>
            <w:tcW w:type="dxa" w:w="928"/>
            <w:tcBorders>
              <w:top w:space="0" w:sz="12" w:color="auto" w:val="single"/>
              <w:left w:val="nil"/>
              <w:bottom w:space="0" w:sz="12" w:color="auto" w:val="single"/>
              <w:right w:space="0" w:sz="12" w:color="auto" w:val="single"/>
            </w:tcBorders>
          </w:tcPr>
          <w:p w:rsidRDefault="004B418B" w:rsidR="004B418B">
            <w:pPr>
              <w:autoSpaceDE w:val="false"/>
              <w:autoSpaceDN w:val="false"/>
              <w:adjustRightInd w:val="false"/>
              <w:jc w:val="right"/>
              <w:rPr>
                <w:rFonts w:eastAsiaTheme="minorHAnsi" w:cs="Arial" w:hAnsi="Arial" w:ascii="Arial"/>
                <w:color w:val="000000"/>
                <w:sz w:val="20"/>
                <w:szCs w:val="20"/>
                <w:lang w:eastAsia="en-US"/>
              </w:rPr>
            </w:pPr>
          </w:p>
        </w:tc>
      </w:tr>
    </w:tbl>
    <w:p w:rsidRDefault="00222D9A" w:rsidP="00C80B05" w:rsidR="00222D9A">
      <w:pPr>
        <w:ind w:firstLine="708"/>
        <w:jc w:val="both"/>
      </w:pPr>
    </w:p>
    <w:p w:rsidRDefault="004C108A" w:rsidP="00C80B05" w:rsidR="004C108A">
      <w:pPr>
        <w:ind w:firstLine="708"/>
        <w:jc w:val="both"/>
      </w:pPr>
    </w:p>
    <w:p w:rsidRDefault="004C108A" w:rsidP="00C80B05" w:rsidR="004C108A">
      <w:pPr>
        <w:ind w:firstLine="708"/>
        <w:jc w:val="both"/>
      </w:pPr>
    </w:p>
    <w:p w:rsidRDefault="004C108A" w:rsidP="004C108A" w:rsidR="004C108A">
      <w:pPr>
        <w:jc w:val="both"/>
      </w:pPr>
      <w:r>
        <w:t>SKUPINA VJEROVNIKA S PRAVOM ODVOJENOG NAMIRENJA</w:t>
      </w:r>
    </w:p>
    <w:p w:rsidRDefault="0067279C" w:rsidP="0067279C" w:rsidR="0067279C">
      <w:pPr>
        <w:jc w:val="both"/>
      </w:pPr>
    </w:p>
    <w:tbl>
      <w:tblPr>
        <w:tblW w:type="dxa" w:w="9782"/>
        <w:tblLayout w:type="fixed"/>
        <w:tblCellMar>
          <w:left w:type="dxa" w:w="30"/>
          <w:right w:type="dxa" w:w="30"/>
        </w:tblCellMar>
        <w:tblLook w:val="0000" w:noVBand="0" w:noHBand="0" w:lastColumn="0" w:firstColumn="0" w:lastRow="0" w:firstRow="0"/>
      </w:tblPr>
      <w:tblGrid>
        <w:gridCol w:w="929"/>
        <w:gridCol w:w="2133"/>
        <w:gridCol w:w="4210"/>
        <w:gridCol w:w="1582"/>
        <w:gridCol w:w="928"/>
      </w:tblGrid>
      <w:tr w:rsidTr="004C108A" w:rsidR="004C108A">
        <w:trPr>
          <w:trHeight w:val="360"/>
        </w:trPr>
        <w:tc>
          <w:tcPr>
            <w:tcW w:type="dxa" w:w="929"/>
            <w:tcBorders>
              <w:top w:space="0" w:sz="2" w:color="auto" w:val="single"/>
              <w:left w:space="0" w:sz="6" w:color="auto" w:val="single"/>
              <w:bottom w:val="nil"/>
              <w:right w:space="0" w:sz="2" w:color="auto" w:val="single"/>
            </w:tcBorders>
          </w:tcPr>
          <w:p w:rsidRDefault="004C108A" w:rsidP="00DC21FE" w:rsidR="004C108A">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13</w:t>
            </w:r>
          </w:p>
        </w:tc>
        <w:tc>
          <w:tcPr>
            <w:tcW w:type="dxa" w:w="2133"/>
            <w:tcBorders>
              <w:top w:space="0" w:sz="2" w:color="auto" w:val="single"/>
              <w:left w:space="0" w:sz="2" w:color="auto" w:val="single"/>
              <w:bottom w:val="nil"/>
              <w:right w:space="0" w:sz="2" w:color="auto" w:val="single"/>
            </w:tcBorders>
          </w:tcPr>
          <w:p w:rsidRDefault="004C108A" w:rsidP="00DC21FE" w:rsidR="004C108A">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87939104217</w:t>
            </w:r>
          </w:p>
        </w:tc>
        <w:tc>
          <w:tcPr>
            <w:tcW w:type="dxa" w:w="4210"/>
            <w:tcBorders>
              <w:top w:space="0" w:sz="2" w:color="auto" w:val="single"/>
              <w:left w:space="0" w:sz="2" w:color="auto" w:val="single"/>
              <w:bottom w:val="nil"/>
              <w:right w:space="0" w:sz="2" w:color="auto" w:val="single"/>
            </w:tcBorders>
          </w:tcPr>
          <w:p w:rsidRDefault="004C108A" w:rsidP="00DC21FE" w:rsidR="004C108A">
            <w:pPr>
              <w:autoSpaceDE w:val="false"/>
              <w:autoSpaceDN w:val="false"/>
              <w:adjustRightInd w:val="false"/>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HRVATSKA POŠTANSKA BANKA d.d. Zagreb, Jurišićeva 4</w:t>
            </w:r>
          </w:p>
        </w:tc>
        <w:tc>
          <w:tcPr>
            <w:tcW w:type="dxa" w:w="1582"/>
            <w:tcBorders>
              <w:top w:space="0" w:sz="2" w:color="auto" w:val="single"/>
              <w:left w:space="0" w:sz="2" w:color="auto" w:val="single"/>
              <w:bottom w:val="nil"/>
              <w:right w:space="0" w:sz="2" w:color="auto" w:val="single"/>
            </w:tcBorders>
          </w:tcPr>
          <w:p w:rsidRDefault="004C108A" w:rsidP="00DC21FE" w:rsidR="004C108A">
            <w:pPr>
              <w:autoSpaceDE w:val="false"/>
              <w:autoSpaceDN w:val="false"/>
              <w:adjustRightInd w:val="false"/>
              <w:jc w:val="right"/>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19.423.308,46 kn</w:t>
            </w:r>
          </w:p>
        </w:tc>
        <w:tc>
          <w:tcPr>
            <w:tcW w:type="dxa" w:w="928"/>
            <w:tcBorders>
              <w:top w:space="0" w:sz="2" w:color="auto" w:val="single"/>
              <w:left w:space="0" w:sz="2" w:color="auto" w:val="single"/>
              <w:bottom w:val="nil"/>
              <w:right w:space="0" w:sz="6" w:color="auto" w:val="single"/>
            </w:tcBorders>
          </w:tcPr>
          <w:p w:rsidRDefault="004C108A" w:rsidP="00DC21FE" w:rsidR="004C108A">
            <w:pPr>
              <w:autoSpaceDE w:val="false"/>
              <w:autoSpaceDN w:val="false"/>
              <w:adjustRightInd w:val="false"/>
              <w:jc w:val="center"/>
              <w:rPr>
                <w:rFonts w:eastAsiaTheme="minorHAnsi" w:cs="Arial" w:hAnsi="Arial" w:ascii="Arial"/>
                <w:color w:val="000000"/>
                <w:sz w:val="16"/>
                <w:szCs w:val="16"/>
                <w:lang w:eastAsia="en-US"/>
              </w:rPr>
            </w:pPr>
            <w:r>
              <w:rPr>
                <w:rFonts w:eastAsiaTheme="minorHAnsi" w:cs="Arial" w:hAnsi="Arial" w:ascii="Arial"/>
                <w:color w:val="000000"/>
                <w:sz w:val="16"/>
                <w:szCs w:val="16"/>
                <w:lang w:eastAsia="en-US"/>
              </w:rPr>
              <w:t>ZA</w:t>
            </w:r>
          </w:p>
        </w:tc>
      </w:tr>
      <w:tr w:rsidTr="004C108A" w:rsidR="004C108A">
        <w:trPr>
          <w:trHeight w:val="360"/>
        </w:trPr>
        <w:tc>
          <w:tcPr>
            <w:tcW w:type="dxa" w:w="3062"/>
            <w:gridSpan w:val="2"/>
            <w:tcBorders>
              <w:top w:space="0" w:sz="12" w:color="auto" w:val="single"/>
              <w:left w:space="0" w:sz="12" w:color="auto" w:val="single"/>
              <w:bottom w:space="0" w:sz="12" w:color="auto" w:val="single"/>
              <w:right w:val="nil"/>
            </w:tcBorders>
          </w:tcPr>
          <w:p w:rsidRDefault="004C108A" w:rsidP="00DC21FE" w:rsidR="004C108A">
            <w:pPr>
              <w:autoSpaceDE w:val="false"/>
              <w:autoSpaceDN w:val="false"/>
              <w:adjustRightInd w:val="false"/>
              <w:rPr>
                <w:rFonts w:eastAsiaTheme="minorHAnsi" w:cs="Arial" w:hAnsi="Arial" w:ascii="Arial"/>
                <w:b/>
                <w:bCs/>
                <w:color w:val="000000"/>
                <w:sz w:val="20"/>
                <w:szCs w:val="20"/>
                <w:lang w:eastAsia="en-US"/>
              </w:rPr>
            </w:pPr>
            <w:r>
              <w:rPr>
                <w:rFonts w:eastAsiaTheme="minorHAnsi" w:cs="Arial" w:hAnsi="Arial" w:ascii="Arial"/>
                <w:b/>
                <w:bCs/>
                <w:color w:val="000000"/>
                <w:sz w:val="20"/>
                <w:szCs w:val="20"/>
                <w:lang w:eastAsia="en-US"/>
              </w:rPr>
              <w:t>UKUPNO RAZLUČNI VJEROVNICI</w:t>
            </w:r>
          </w:p>
        </w:tc>
        <w:tc>
          <w:tcPr>
            <w:tcW w:type="dxa" w:w="4210"/>
            <w:tcBorders>
              <w:top w:space="0" w:sz="12" w:color="auto" w:val="single"/>
              <w:left w:val="nil"/>
              <w:bottom w:space="0" w:sz="12" w:color="auto" w:val="single"/>
              <w:right w:val="nil"/>
            </w:tcBorders>
          </w:tcPr>
          <w:p w:rsidRDefault="004C108A" w:rsidP="00DC21FE" w:rsidR="004C108A">
            <w:pPr>
              <w:autoSpaceDE w:val="false"/>
              <w:autoSpaceDN w:val="false"/>
              <w:adjustRightInd w:val="false"/>
              <w:jc w:val="right"/>
              <w:rPr>
                <w:rFonts w:eastAsiaTheme="minorHAnsi"/>
                <w:b/>
                <w:bCs/>
                <w:color w:val="000000"/>
                <w:sz w:val="18"/>
                <w:szCs w:val="18"/>
                <w:lang w:eastAsia="en-US"/>
              </w:rPr>
            </w:pPr>
          </w:p>
        </w:tc>
        <w:tc>
          <w:tcPr>
            <w:tcW w:type="dxa" w:w="1582"/>
            <w:tcBorders>
              <w:top w:space="0" w:sz="12" w:color="auto" w:val="single"/>
              <w:left w:val="nil"/>
              <w:bottom w:space="0" w:sz="12" w:color="auto" w:val="single"/>
              <w:right w:val="nil"/>
            </w:tcBorders>
          </w:tcPr>
          <w:p w:rsidRDefault="004C108A" w:rsidP="00DC21FE" w:rsidR="004C108A">
            <w:pPr>
              <w:autoSpaceDE w:val="false"/>
              <w:autoSpaceDN w:val="false"/>
              <w:adjustRightInd w:val="false"/>
              <w:jc w:val="right"/>
              <w:rPr>
                <w:rFonts w:eastAsiaTheme="minorHAnsi" w:cs="Arial" w:hAnsi="Arial" w:ascii="Arial"/>
                <w:b/>
                <w:bCs/>
                <w:color w:val="000000"/>
                <w:sz w:val="18"/>
                <w:szCs w:val="18"/>
                <w:lang w:eastAsia="en-US"/>
              </w:rPr>
            </w:pPr>
            <w:r>
              <w:rPr>
                <w:rFonts w:eastAsiaTheme="minorHAnsi" w:cs="Arial" w:hAnsi="Arial" w:ascii="Arial"/>
                <w:b/>
                <w:bCs/>
                <w:color w:val="000000"/>
                <w:sz w:val="18"/>
                <w:szCs w:val="18"/>
                <w:lang w:eastAsia="en-US"/>
              </w:rPr>
              <w:t>19.423.308,46 kn</w:t>
            </w:r>
          </w:p>
        </w:tc>
        <w:tc>
          <w:tcPr>
            <w:tcW w:type="dxa" w:w="928"/>
            <w:tcBorders>
              <w:top w:space="0" w:sz="12" w:color="auto" w:val="single"/>
              <w:left w:val="nil"/>
              <w:bottom w:space="0" w:sz="12" w:color="auto" w:val="single"/>
              <w:right w:space="0" w:sz="12" w:color="auto" w:val="single"/>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r>
      <w:tr w:rsidTr="004C108A" w:rsidR="004C108A">
        <w:trPr>
          <w:trHeight w:val="240"/>
        </w:trPr>
        <w:tc>
          <w:tcPr>
            <w:tcW w:type="dxa" w:w="929"/>
            <w:tcBorders>
              <w:top w:val="nil"/>
              <w:left w:val="nil"/>
              <w:bottom w:val="nil"/>
              <w:right w:val="nil"/>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c>
          <w:tcPr>
            <w:tcW w:type="dxa" w:w="2133"/>
            <w:tcBorders>
              <w:top w:val="nil"/>
              <w:left w:val="nil"/>
              <w:bottom w:val="nil"/>
              <w:right w:val="nil"/>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c>
          <w:tcPr>
            <w:tcW w:type="dxa" w:w="4210"/>
            <w:tcBorders>
              <w:top w:val="nil"/>
              <w:left w:val="nil"/>
              <w:bottom w:val="nil"/>
              <w:right w:val="nil"/>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c>
          <w:tcPr>
            <w:tcW w:type="dxa" w:w="1582"/>
            <w:tcBorders>
              <w:top w:val="nil"/>
              <w:left w:val="nil"/>
              <w:bottom w:val="nil"/>
              <w:right w:val="nil"/>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c>
          <w:tcPr>
            <w:tcW w:type="dxa" w:w="928"/>
            <w:tcBorders>
              <w:top w:val="nil"/>
              <w:left w:val="nil"/>
              <w:bottom w:val="nil"/>
              <w:right w:val="nil"/>
            </w:tcBorders>
          </w:tcPr>
          <w:p w:rsidRDefault="004C108A" w:rsidP="00DC21FE" w:rsidR="004C108A">
            <w:pPr>
              <w:autoSpaceDE w:val="false"/>
              <w:autoSpaceDN w:val="false"/>
              <w:adjustRightInd w:val="false"/>
              <w:jc w:val="right"/>
              <w:rPr>
                <w:rFonts w:eastAsiaTheme="minorHAnsi" w:cs="Arial" w:hAnsi="Arial" w:ascii="Arial"/>
                <w:color w:val="000000"/>
                <w:sz w:val="20"/>
                <w:szCs w:val="20"/>
                <w:lang w:eastAsia="en-US"/>
              </w:rPr>
            </w:pPr>
          </w:p>
        </w:tc>
      </w:tr>
    </w:tbl>
    <w:p w:rsidRDefault="0067279C" w:rsidP="0067279C" w:rsidR="0067279C">
      <w:pPr>
        <w:jc w:val="both"/>
      </w:pPr>
    </w:p>
    <w:p w:rsidRDefault="004C108A" w:rsidP="0067279C" w:rsidR="004C108A">
      <w:pPr>
        <w:jc w:val="both"/>
      </w:pPr>
    </w:p>
    <w:p w:rsidRDefault="004C108A" w:rsidP="0067279C" w:rsidR="004C108A">
      <w:pPr>
        <w:jc w:val="both"/>
      </w:pPr>
    </w:p>
    <w:p w:rsidRDefault="0067279C" w:rsidP="00C80B05" w:rsidR="0067279C">
      <w:pPr>
        <w:ind w:firstLine="708"/>
        <w:jc w:val="both"/>
      </w:pPr>
      <w:r>
        <w:t xml:space="preserve">Nakon utvrđivanja ovih podataka prelazi se na utvrđivanje potrebnih većina za prihvaćanje plana restrukturiranja prema čl. 59. Stečajnog zakona, te sud utvrđuje da je za plan restrukturiranja glasala većina svih vjerovnika jer ih je glasalo 8 od ukupno 13, a u pogledu toga da je u svakoj skupini zbroj tražbina vjerovnika koji su glasovali za plan dvostruko prešao zbroj tražbina vjerovnika koji su glasovali protiv prihvaćanja plana, sud </w:t>
      </w:r>
      <w:r>
        <w:lastRenderedPageBreak/>
        <w:t>utvrđuje da je za plan restrukturiranja glasovalo</w:t>
      </w:r>
      <w:r w:rsidR="00EA159E">
        <w:t xml:space="preserve"> vjerovnika koji ukupno raspolažu sa</w:t>
      </w:r>
      <w:r>
        <w:t xml:space="preserve"> </w:t>
      </w:r>
      <w:r w:rsidR="004C108A">
        <w:t>99,71</w:t>
      </w:r>
      <w:r>
        <w:t xml:space="preserve"> % </w:t>
      </w:r>
      <w:r w:rsidR="00EA159E">
        <w:t xml:space="preserve">zbroja tražbina vjerovnika, što ukupno iznosi </w:t>
      </w:r>
      <w:r w:rsidR="007D2965">
        <w:t>28.</w:t>
      </w:r>
      <w:r w:rsidR="004C108A">
        <w:t>302.746,10</w:t>
      </w:r>
      <w:r w:rsidR="007D2965">
        <w:t xml:space="preserve"> kn,</w:t>
      </w:r>
      <w:r w:rsidR="00EA159E">
        <w:t xml:space="preserve"> a protiv plana glasalo je 5,28 % onih vjerovnika čiji zbroj tražbina iznosi 82.665,57 kn u grupi vjerovnici koji nemaju pravo na odvojeno namirenje.</w:t>
      </w:r>
    </w:p>
    <w:p w:rsidRDefault="007D2965" w:rsidP="00C80B05" w:rsidR="007D2965">
      <w:pPr>
        <w:ind w:firstLine="708"/>
        <w:jc w:val="both"/>
      </w:pPr>
    </w:p>
    <w:p w:rsidRDefault="007D2965" w:rsidP="00C80B05" w:rsidR="007D2965">
      <w:pPr>
        <w:ind w:firstLine="708"/>
        <w:jc w:val="both"/>
      </w:pPr>
      <w:r>
        <w:t>Nadalje, što se tiče druge skupine vjerovnika sa razlučnim pravom Hrvatska poštanska banka d.d. glasovala je u cijelosti za plan restrukturiranja i u toj skupini nema glasova protiv.</w:t>
      </w:r>
    </w:p>
    <w:p w:rsidRDefault="007D2965" w:rsidP="00C80B05" w:rsidR="007D2965">
      <w:pPr>
        <w:ind w:firstLine="708"/>
        <w:jc w:val="both"/>
      </w:pPr>
    </w:p>
    <w:p w:rsidRDefault="007D2965" w:rsidP="00C80B05" w:rsidR="007D2965">
      <w:pPr>
        <w:ind w:firstLine="708"/>
        <w:jc w:val="both"/>
      </w:pPr>
      <w:r>
        <w:t>Stoga se utvrđuje da zbroj tražbina vjerovnika koji su glasovali protiv prihvaćanja plana iznosi 82.665,57 kn.</w:t>
      </w:r>
    </w:p>
    <w:p w:rsidRDefault="007D2965" w:rsidP="00C80B05" w:rsidR="007D2965">
      <w:pPr>
        <w:ind w:firstLine="708"/>
        <w:jc w:val="both"/>
      </w:pPr>
    </w:p>
    <w:p w:rsidRDefault="00DC2C89" w:rsidP="00C80B05" w:rsidR="007D2965">
      <w:pPr>
        <w:ind w:firstLine="708"/>
        <w:jc w:val="both"/>
      </w:pPr>
      <w:r>
        <w:t xml:space="preserve">Nakon toga sud utvrđuje da su vjerovnici prihvatili plan restrukturiranja </w:t>
      </w:r>
      <w:r w:rsidR="004C108A">
        <w:t xml:space="preserve">pa sud donosi </w:t>
      </w:r>
    </w:p>
    <w:p w:rsidRDefault="004C108A" w:rsidP="00C80B05" w:rsidR="004C108A">
      <w:pPr>
        <w:ind w:firstLine="708"/>
        <w:jc w:val="both"/>
      </w:pPr>
    </w:p>
    <w:p w:rsidRDefault="004C108A" w:rsidP="00C80B05" w:rsidR="004C108A">
      <w:pPr>
        <w:ind w:firstLine="708"/>
        <w:jc w:val="both"/>
      </w:pPr>
    </w:p>
    <w:p w:rsidRDefault="004C108A" w:rsidP="004C108A" w:rsidR="004B418B">
      <w:pPr>
        <w:ind w:firstLine="708"/>
        <w:jc w:val="center"/>
      </w:pPr>
      <w:r>
        <w:t>r j e š e n j e</w:t>
      </w:r>
    </w:p>
    <w:p w:rsidRDefault="004C108A" w:rsidP="004C108A" w:rsidR="004C108A">
      <w:pPr>
        <w:ind w:firstLine="708"/>
      </w:pPr>
    </w:p>
    <w:p w:rsidRDefault="004B418B" w:rsidP="00C80B05" w:rsidR="004B418B">
      <w:pPr>
        <w:ind w:firstLine="708"/>
        <w:jc w:val="both"/>
      </w:pPr>
    </w:p>
    <w:p w:rsidRDefault="00222D9A" w:rsidP="00C80B05" w:rsidR="00222D9A">
      <w:pPr>
        <w:ind w:firstLine="708"/>
        <w:jc w:val="both"/>
      </w:pPr>
    </w:p>
    <w:p w:rsidRDefault="004C108A" w:rsidP="00C80B05" w:rsidR="00222D9A">
      <w:pPr>
        <w:ind w:firstLine="708"/>
        <w:jc w:val="both"/>
      </w:pPr>
      <w:r>
        <w:t>Odluka će se donijeti pisanim putem.</w:t>
      </w:r>
    </w:p>
    <w:p w:rsidRDefault="00222D9A" w:rsidP="00C80B05" w:rsidR="00222D9A">
      <w:pPr>
        <w:ind w:firstLine="708"/>
        <w:jc w:val="both"/>
      </w:pPr>
    </w:p>
    <w:p w:rsidRDefault="00B3706A" w:rsidP="001C478D" w:rsidR="00B3706A">
      <w:pPr>
        <w:jc w:val="both"/>
      </w:pPr>
    </w:p>
    <w:p w:rsidRDefault="00B3706A" w:rsidP="001C478D" w:rsidR="00B3706A">
      <w:pPr>
        <w:jc w:val="both"/>
      </w:pPr>
    </w:p>
    <w:p w:rsidRDefault="001C478D" w:rsidP="001C478D" w:rsidR="00B3706A">
      <w:pPr>
        <w:jc w:val="center"/>
      </w:pPr>
      <w:r>
        <w:t xml:space="preserve">Dovršeno u </w:t>
      </w:r>
      <w:r w:rsidR="004C108A">
        <w:t>13,05</w:t>
      </w:r>
      <w:r>
        <w:t xml:space="preserve"> sati.</w:t>
      </w:r>
    </w:p>
    <w:p w:rsidRDefault="00AA12C3" w:rsidP="00AA12C3" w:rsidR="00AA12C3">
      <w:pPr>
        <w:spacing w:after="200"/>
        <w:ind w:firstLine="708"/>
        <w:jc w:val="both"/>
      </w:pPr>
    </w:p>
    <w:p w:rsidRDefault="00063095" w:rsidP="00063095" w:rsidR="00063095"/>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08" w:rsidP="00063095" w:rsidR="00D76208">
      <w:r>
        <w:separator/>
      </w:r>
    </w:p>
  </w:endnote>
  <w:endnote w:id="0" w:type="continuationSeparator">
    <w:p w:rsidRDefault="00D76208" w:rsidP="00063095" w:rsidR="00D762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08" w:rsidP="00063095" w:rsidR="00D76208">
      <w:r>
        <w:separator/>
      </w:r>
    </w:p>
  </w:footnote>
  <w:footnote w:id="0" w:type="continuationSeparator">
    <w:p w:rsidRDefault="00D76208" w:rsidP="00063095" w:rsidR="00D762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7B30AD">
          <w:rPr>
            <w:noProof/>
          </w:rPr>
          <w:t>3</w:t>
        </w:r>
        <w:r>
          <w:fldChar w:fldCharType="end"/>
        </w:r>
      </w:p>
    </w:sdtContent>
  </w:sdt>
  <w:p w:rsidRDefault="00505F77" w:rsidR="00505F77">
    <w:pPr>
      <w:pStyle w:val="Zaglavlje"/>
    </w:pPr>
    <w:r>
      <w:tab/>
    </w:r>
    <w:r>
      <w:tab/>
      <w:t>Poslovni broj: 5 St-</w:t>
    </w:r>
    <w:r w:rsidR="00DA28FA">
      <w:t>82/17-23</w:t>
    </w:r>
  </w:p>
  <w:p w:rsidRDefault="00505F77" w:rsidR="00505F77">
    <w:pPr>
      <w:pStyle w:val="Zaglavlje"/>
    </w:pP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w:t>
    </w:r>
    <w:r w:rsidR="00222D9A">
      <w:t>82/17-</w:t>
    </w:r>
    <w:r w:rsidR="00DA28FA">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63095"/>
    <w:rsid w:val="000F0776"/>
    <w:rsid w:val="00106AAF"/>
    <w:rsid w:val="001C478D"/>
    <w:rsid w:val="001C6ECD"/>
    <w:rsid w:val="00222D17"/>
    <w:rsid w:val="00222D9A"/>
    <w:rsid w:val="00247D30"/>
    <w:rsid w:val="0026246B"/>
    <w:rsid w:val="00290DE5"/>
    <w:rsid w:val="002976B5"/>
    <w:rsid w:val="002B5920"/>
    <w:rsid w:val="002D5974"/>
    <w:rsid w:val="00346135"/>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B418B"/>
    <w:rsid w:val="004C108A"/>
    <w:rsid w:val="004E1D9A"/>
    <w:rsid w:val="00505F77"/>
    <w:rsid w:val="00516A20"/>
    <w:rsid w:val="005230DA"/>
    <w:rsid w:val="005276BA"/>
    <w:rsid w:val="005600C6"/>
    <w:rsid w:val="005802E8"/>
    <w:rsid w:val="00586DC0"/>
    <w:rsid w:val="005A4C24"/>
    <w:rsid w:val="005A6F73"/>
    <w:rsid w:val="005D2253"/>
    <w:rsid w:val="005F1246"/>
    <w:rsid w:val="00601A4D"/>
    <w:rsid w:val="00643E51"/>
    <w:rsid w:val="0067279C"/>
    <w:rsid w:val="006B0DAE"/>
    <w:rsid w:val="006B6396"/>
    <w:rsid w:val="006E059E"/>
    <w:rsid w:val="00722D2A"/>
    <w:rsid w:val="00760556"/>
    <w:rsid w:val="00772C64"/>
    <w:rsid w:val="007812F5"/>
    <w:rsid w:val="007837B4"/>
    <w:rsid w:val="007B30AD"/>
    <w:rsid w:val="007C6257"/>
    <w:rsid w:val="007D2965"/>
    <w:rsid w:val="007E3598"/>
    <w:rsid w:val="00823F73"/>
    <w:rsid w:val="00826138"/>
    <w:rsid w:val="00836AC5"/>
    <w:rsid w:val="008A4576"/>
    <w:rsid w:val="008D272F"/>
    <w:rsid w:val="008E179B"/>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94C5B"/>
    <w:rsid w:val="00AA12C3"/>
    <w:rsid w:val="00AD523A"/>
    <w:rsid w:val="00AF13F7"/>
    <w:rsid w:val="00B3706A"/>
    <w:rsid w:val="00B540F7"/>
    <w:rsid w:val="00B7101E"/>
    <w:rsid w:val="00BC0DCD"/>
    <w:rsid w:val="00BE4AB3"/>
    <w:rsid w:val="00BE7D10"/>
    <w:rsid w:val="00BF3A2C"/>
    <w:rsid w:val="00BF4F90"/>
    <w:rsid w:val="00C10D04"/>
    <w:rsid w:val="00C80B05"/>
    <w:rsid w:val="00CB441E"/>
    <w:rsid w:val="00CC2735"/>
    <w:rsid w:val="00CC75B9"/>
    <w:rsid w:val="00CD21DC"/>
    <w:rsid w:val="00CD5F7F"/>
    <w:rsid w:val="00CE1490"/>
    <w:rsid w:val="00CE3CAD"/>
    <w:rsid w:val="00D32554"/>
    <w:rsid w:val="00D34120"/>
    <w:rsid w:val="00D72892"/>
    <w:rsid w:val="00D76208"/>
    <w:rsid w:val="00D90E75"/>
    <w:rsid w:val="00DA28FA"/>
    <w:rsid w:val="00DB0FF1"/>
    <w:rsid w:val="00DC2C89"/>
    <w:rsid w:val="00E56FAD"/>
    <w:rsid w:val="00EA159E"/>
    <w:rsid w:val="00EB2F81"/>
    <w:rsid w:val="00ED0FCB"/>
    <w:rsid w:val="00ED148D"/>
    <w:rsid w:val="00ED45CA"/>
    <w:rsid w:val="00ED555E"/>
    <w:rsid w:val="00EE4C64"/>
    <w:rsid w:val="00F41B07"/>
    <w:rsid w:val="00F57700"/>
    <w:rsid w:val="00F63A71"/>
    <w:rsid w:val="00F65FDD"/>
    <w:rsid w:val="00F92C1E"/>
    <w:rsid w:val="00FA1E9C"/>
    <w:rsid w:val="00FA21C2"/>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7B30AD"/>
    <w:rPr>
      <w:color w:val="808080"/>
      <w:bdr w:space="0" w:sz="0" w:color="auto" w:val="none"/>
      <w:shd w:fill="auto" w:color="auto" w:val="clear"/>
    </w:rPr>
  </w:style>
  <w:style w:customStyle="true" w:styleId="eSPISCCParagraphDefaultFont" w:type="character">
    <w:name w:val="eSPIS_CC_Paragraph Default Font"/>
    <w:basedOn w:val="Zadanifontodlomka"/>
    <w:rsid w:val="007B30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0AD"/>
    <w:rPr>
      <w:bdr w:space="0" w:sz="0" w:color="auto" w:val="none"/>
      <w:shd w:fill="FFFFCC" w:color="auto" w:val="clear"/>
      <w:lang w:val="hr-HR"/>
    </w:rPr>
  </w:style>
  <w:style w:customStyle="true" w:styleId="PozadinaSvijetloCrvena" w:type="character">
    <w:name w:val="Pozadina_SvijetloCrvena"/>
    <w:basedOn w:val="eSPISCCParagraphDefaultFont"/>
    <w:rsid w:val="007B30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0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7B30AD"/>
    <w:rPr>
      <w:color w:val="808080"/>
      <w:bdr w:color="auto" w:space="0" w:sz="0" w:val="none"/>
      <w:shd w:color="auto" w:fill="auto" w:val="clear"/>
    </w:rPr>
  </w:style>
  <w:style w:customStyle="1" w:styleId="eSPISCCParagraphDefaultFont" w:type="character">
    <w:name w:val="eSPIS_CC_Paragraph Default Font"/>
    <w:basedOn w:val="Zadanifontodlomka"/>
    <w:rsid w:val="007B30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0AD"/>
    <w:rPr>
      <w:bdr w:color="auto" w:space="0" w:sz="0" w:val="none"/>
      <w:shd w:color="auto" w:fill="FFFFCC" w:val="clear"/>
      <w:lang w:val="hr-HR"/>
    </w:rPr>
  </w:style>
  <w:style w:customStyle="1" w:styleId="PozadinaSvijetloCrvena" w:type="character">
    <w:name w:val="Pozadina_SvijetloCrvena"/>
    <w:basedOn w:val="eSPISCCParagraphDefaultFont"/>
    <w:rsid w:val="007B30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0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30. studenog 2017.</izvorni_sadrzaj>
    <derivirana_varijabla naziv="DomainObject.StvarniPocetakDatum_1">30. studenog 2017.</derivirana_varijabla>
  </DomainObject.StvarniPocetakDatum>
  <DomainObject.StvarniZavrsetakDatum>
    <izvorni_sadrzaj>30. studenog 2017.</izvorni_sadrzaj>
    <derivirana_varijabla naziv="DomainObject.StvarniZavrsetakDatum_1">30. studenog 2017.</derivirana_varijabla>
  </DomainObject.StvarniZavrsetakDatum>
  <DomainObject.PlaniraniZavrsetakDatum>
    <izvorni_sadrzaj>30. studenog 2017.</izvorni_sadrzaj>
    <derivirana_varijabla naziv="DomainObject.PlaniraniZavrsetakDatum_1">30. studenog 2017.</derivirana_varijabla>
  </DomainObject.PlaniraniZavrsetakDatum>
  <DomainObject.PlaniraniPocetakDatum>
    <izvorni_sadrzaj>30. studenog 2017.</izvorni_sadrzaj>
    <derivirana_varijabla naziv="DomainObject.PlaniraniPocetakDatum_1">30. studenog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2017.</izvorni_sadrzaj>
    <derivirana_varijabla naziv="DomainObject.Zapisnik.DatumKreiranja_1">30. studenog 2017.</derivirana_varijabla>
  </DomainObject.Zapisnik.DatumKreiranja>
  <DomainObject.Zapisnik.ImovinskaKorist>
    <izvorni_sadrzaj/>
    <derivirana_varijabla naziv="DomainObject.Zapisnik.ImovinskaKorist_1"/>
  </DomainObject.Zapisnik.ImovinskaKorist>
  <DomainObject.Zapisnik.Oznaka>
    <izvorni_sadrzaj>St-82/2017-23</izvorni_sadrzaj>
    <derivirana_varijabla naziv="DomainObject.Zapisnik.Oznaka_1">St-82/2017-23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FLOORING društvo s ograničenom odgovornošću za otkup, proizvodnju, maloprodaju i veleprodaju drveta</izvorni_sadrzaj>
    <derivirana_varijabla naziv="DomainObject.Predmet.StrankaFormated_1">  POŽGAJ FLOORING društvo s ograničenom odgovornošću za otkup, proizvodnju, maloprodaju i veleprodaju drveta</derivirana_varijabla>
  </DomainObject.Predmet.StrankaFormated>
  <DomainObject.Predmet.StrankaFormatedOIB>
    <izvorni_sadrzaj>  POŽGAJ FLOORING društvo s ograničenom odgovornošću za otkup, proizvodnju, maloprodaju i veleprodaju drveta, OIB 35779288855</izvorni_sadrzaj>
    <derivirana_varijabla naziv="DomainObject.Predmet.StrankaFormatedOIB_1">  POŽGAJ FLOORING društvo s ograničenom odgovornošću za otkup, proizvodnju, maloprodaju i veleprodaju drveta, OIB 35779288855</derivirana_varijabla>
  </DomainObject.Predmet.StrankaFormatedOIB>
  <DomainObject.Predmet.StrankaFormatedWithAdress>
    <izvorni_sadrzaj> POŽGAJ FLOORING društvo s ograničenom odgovornošću za otkup, proizvodnju, maloprodaju i veleprodaju drveta, Dravska ulica 40, 42230 Veliki Bukovec</izvorni_sadrzaj>
    <derivirana_varijabla naziv="DomainObject.Predmet.StrankaFormatedWithAdress_1"> POŽGAJ FLOORING društvo s ograničenom odgovornošću za otkup, proizvodnju, maloprodaju i veleprodaju drveta, Dravska ulica 40, 42230 Veliki Bukovec</derivirana_varijabla>
  </DomainObject.Predmet.StrankaFormatedWithAdress>
  <DomainObject.Predmet.StrankaFormatedWithAdressOIB>
    <izvorni_sadrzaj> POŽGAJ FLOORING društvo s ograničenom odgovornošću za otkup, proizvodnju, maloprodaju i veleprodaju drveta, OIB 35779288855, Dravska ulica 40, 42230 Veliki Bukovec</izvorni_sadrzaj>
    <derivirana_varijabla naziv="DomainObject.Predmet.StrankaFormatedWithAdressOIB_1"> POŽGAJ FLOORING društvo s ograničenom odgovornošću za otkup, proizvodnju, maloprodaju i veleprodaju drveta, OIB 35779288855, Dravska ulica 40, 42230 Veliki Bukovec</derivirana_varijabla>
  </DomainObject.Predmet.StrankaFormatedWithAdressOIB>
  <DomainObject.Predmet.StrankaWithAdress>
    <izvorni_sadrzaj>POŽGAJ FLOORING društvo s ograničenom odgovornošću za otkup, proizvodnju, maloprodaju i veleprodaju drveta Dravska ulica 40,42230 Veliki Bukovec</izvorni_sadrzaj>
    <derivirana_varijabla naziv="DomainObject.Predmet.StrankaWithAdress_1">POŽGAJ FLOORING društvo s ograničenom odgovornošću za otkup, proizvodnju, maloprodaju i veleprodaju drveta Dravska ulica 40,42230 Veliki Bukovec</derivirana_varijabla>
  </DomainObject.Predmet.StrankaWithAdress>
  <DomainObject.Predmet.StrankaWithAdressOIB>
    <izvorni_sadrzaj>POŽGAJ FLOORING društvo s ograničenom odgovornošću za otkup, proizvodnju, maloprodaju i veleprodaju drveta, OIB 35779288855, Dravska ulica 40,42230 Veliki Bukovec</izvorni_sadrzaj>
    <derivirana_varijabla naziv="DomainObject.Predmet.StrankaWithAdressOIB_1">POŽGAJ FLOORING društvo s ograničenom odgovornošću za otkup, proizvodnju, maloprodaju i veleprodaju drveta, OIB 35779288855, Dravska ulica 40,42230 Veliki Bukovec</derivirana_varijabla>
  </DomainObject.Predmet.StrankaWithAdressOIB>
  <DomainObject.Predmet.StrankaNazivFormated>
    <izvorni_sadrzaj>POŽGAJ FLOORING društvo s ograničenom odgovornošću za otkup, proizvodnju, maloprodaju i veleprodaju drveta</izvorni_sadrzaj>
    <derivirana_varijabla naziv="DomainObject.Predmet.StrankaNazivFormated_1">POŽGAJ FLOORING društvo s ograničenom odgovornošću za otkup, proizvodnju, maloprodaju i veleprodaju drveta</derivirana_varijabla>
  </DomainObject.Predmet.StrankaNazivFormated>
  <DomainObject.Predmet.StrankaNazivFormatedOIB>
    <izvorni_sadrzaj>POŽGAJ FLOORING društvo s ograničenom odgovornošću za otkup, proizvodnju, maloprodaju i veleprodaju drveta, OIB 35779288855</izvorni_sadrzaj>
    <derivirana_varijabla naziv="DomainObject.Predmet.StrankaNazivFormatedOIB_1">POŽGAJ FLOORING društvo s ograničenom odgovornošću za otkup, proizvodnju, maloprodaju i veleprodaju drveta, OIB 35779288855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16474000.00</izvorni_sadrzaj>
    <derivirana_varijabla naziv="DomainObject.Predmet.TrenutnaVrijednost_1">16474000.00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POŽGAJ FLOORING društvo s ograničenom odgovornošću za otkup, proizvodnju, maloprodaju i veleprodaju drveta</item>
    </izvorni_sadrzaj>
    <derivirana_varijabla naziv="DomainObject.Predmet.StrankaListFormated_1">
      <item>POŽGAJ FLOORING društvo s ograničenom odgovornošću za otkup, proizvodnju, maloprodaju i veleprodaju drveta</item>
    </derivirana_varijabla>
  </DomainObject.Predmet.StrankaListFormated>
  <DomainObject.Predmet.StrankaListFormatedOIB>
    <izvorni_sadrzaj>
      <item>POŽGAJ FLOORING društvo s ograničenom odgovornošću za otkup, proizvodnju, maloprodaju i veleprodaju drveta, OIB 35779288855</item>
    </izvorni_sadrzaj>
    <derivirana_varijabla naziv="DomainObject.Predmet.StrankaListFormatedOIB_1">
      <item>POŽGAJ FLOORING društvo s ograničenom odgovornošću za otkup, proizvodnju, maloprodaju i veleprodaju drveta, OIB 35779288855</item>
    </derivirana_varijabla>
  </DomainObject.Predmet.StrankaListFormatedOIB>
  <DomainObject.Predmet.StrankaListFormatedWithAdress>
    <izvorni_sadrzaj>
      <item>POŽGAJ FLOORING društvo s ograničenom odgovornošću za otkup, proizvodnju, maloprodaju i veleprodaju drveta, Dravska ulica 40, 42230 Veliki Bukovec</item>
    </izvorni_sadrzaj>
    <derivirana_varijabla naziv="DomainObject.Predmet.StrankaListFormatedWithAdress_1">
      <item>POŽGAJ FLOORING društvo s ograničenom odgovornošću za otkup, proizvodnju, maloprodaju i veleprodaju drveta, Dravska ulica 40, 42230 Veliki Bukovec</item>
    </derivirana_varijabla>
  </DomainObject.Predmet.StrankaListFormatedWithAdress>
  <DomainObject.Predmet.StrankaListFormatedWithAdressOIB>
    <izvorni_sadrzaj>
      <item>POŽGAJ FLOORING društvo s ograničenom odgovornošću za otkup, proizvodnju, maloprodaju i veleprodaju drveta, OIB 35779288855, Dravska ulica 40, 42230 Veliki Bukovec</item>
    </izvorni_sadrzaj>
    <derivirana_varijabla naziv="DomainObject.Predmet.StrankaListFormatedWithAdressOIB_1">
      <item>POŽGAJ FLOORING društvo s ograničenom odgovornošću za otkup, proizvodnju, maloprodaju i veleprodaju drveta, OIB 35779288855, Dravska ulica 40, 42230 Veliki Bukovec</item>
    </derivirana_varijabla>
  </DomainObject.Predmet.StrankaListFormatedWithAdressOIB>
  <DomainObject.Predmet.StrankaListNazivFormated>
    <izvorni_sadrzaj>
      <item>POŽGAJ FLOORING društvo s ograničenom odgovornošću za otkup, proizvodnju, maloprodaju i veleprodaju drveta</item>
    </izvorni_sadrzaj>
    <derivirana_varijabla naziv="DomainObject.Predmet.StrankaListNazivFormated_1">
      <item>POŽGAJ FLOORING društvo s ograničenom odgovornošću za otkup, proizvodnju, maloprodaju i veleprodaju drveta</item>
    </derivirana_varijabla>
  </DomainObject.Predmet.StrankaListNazivFormated>
  <DomainObject.Predmet.StrankaListNazivFormatedOIB>
    <izvorni_sadrzaj>
      <item>POŽGAJ FLOORING društvo s ograničenom odgovornošću za otkup, proizvodnju, maloprodaju i veleprodaju drveta, OIB 35779288855</item>
    </izvorni_sadrzaj>
    <derivirana_varijabla naziv="DomainObject.Predmet.StrankaListNazivFormatedOIB_1">
      <item>POŽGAJ FLOORING društvo s ograničenom odgovornošću za otkup, proizvodnju, maloprodaju i veleprodaju drveta, OIB 35779288855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Financijska agencija</item>
      <item>Sudski registar</item>
      <item>HRVATSKA POŠTANSKA BANKA, dioničko društvo</item>
    </izvorni_sadrzaj>
    <derivirana_varijabla naziv="DomainObject.Predmet.OstaliListFormated_1">
      <item>e-Oglasna</item>
      <item>Financijska agencija</item>
      <item>Sudski registar</item>
      <item>HRVATSKA POŠTANSKA BANKA, dioničko društvo</item>
    </derivirana_varijabla>
  </DomainObject.Predmet.OstaliListFormated>
  <DomainObject.Predmet.OstaliListFormatedOIB>
    <izvorni_sadrzaj>
      <item>e-Oglasna</item>
      <item>Financijska agencija, OIB 85821130368</item>
      <item>Sudski registar</item>
      <item>HRVATSKA POŠTANSKA BANKA, dioničko društvo, OIB 87939104217</item>
    </izvorni_sadrzaj>
    <derivirana_varijabla naziv="DomainObject.Predmet.OstaliListFormatedOIB_1">
      <item>e-Oglasna</item>
      <item>Financijska agencija, OIB 85821130368</item>
      <item>Sudski registar</item>
      <item>HRVATSKA POŠTANSKA BANKA, dioničko društvo, OIB 87939104217</item>
    </derivirana_varijabla>
  </DomainObject.Predmet.OstaliListFormatedOIB>
  <DomainObject.Predmet.OstaliListFormatedWithAdress>
    <izvorni_sadrzaj>
      <item>e-Oglasna</item>
      <item>Financijska agencija, Ulica grada Vukovara 70, 10000 Zagreb</item>
      <item>Sudski registar</item>
      <item>HRVATSKA POŠTANSKA BANKA, dioničko društvo, Jurišićeva 4, 10000 Zagreb</item>
    </izvorni_sadrzaj>
    <derivirana_varijabla naziv="DomainObject.Predmet.OstaliListFormatedWithAdress_1">
      <item>e-Oglasna</item>
      <item>Financijska agencija, Ulica grada Vukovara 70, 10000 Zagreb</item>
      <item>Sudski registar</item>
      <item>HRVATSKA POŠTANSKA BANKA, dioničko društvo, Jurišićeva 4, 10000 Zagreb</item>
    </derivirana_varijabla>
  </DomainObject.Predmet.OstaliListFormatedWithAdress>
  <DomainObject.Predmet.OstaliListFormatedWithAdressOIB>
    <izvorni_sadrzaj>
      <item>e-Oglasna</item>
      <item>Financijska agencija, OIB 85821130368, Ulica grada Vukovara 70, 10000 Zagreb</item>
      <item>Sudski registar</item>
      <item>HRVATSKA POŠTANSKA BANKA, dioničko društvo, OIB 87939104217, Jurišićeva 4, 10000 Zagreb</item>
    </izvorni_sadrzaj>
    <derivirana_varijabla naziv="DomainObject.Predmet.OstaliListFormatedWithAdressOIB_1">
      <item>e-Oglasna</item>
      <item>Financijska agencija, OIB 85821130368, Ulica grada Vukovara 70, 10000 Zagreb</item>
      <item>Sudski registar</item>
      <item>HRVATSKA POŠTANSKA BANKA, dioničko društvo, OIB 87939104217, Jurišićeva 4, 10000 Zagreb</item>
    </derivirana_varijabla>
  </DomainObject.Predmet.OstaliListFormatedWithAdressOIB>
  <DomainObject.Predmet.OstaliListNazivFormated>
    <izvorni_sadrzaj>
      <item>e-Oglasna</item>
      <item>Financijska agencija</item>
      <item>Sudski registar</item>
      <item>HRVATSKA POŠTANSKA BANKA, dioničko društvo</item>
    </izvorni_sadrzaj>
    <derivirana_varijabla naziv="DomainObject.Predmet.OstaliListNazivFormated_1">
      <item>e-Oglasna</item>
      <item>Financijska agencija</item>
      <item>Sudski registar</item>
      <item>HRVATSKA POŠTANSKA BANKA, dioničko društvo</item>
    </derivirana_varijabla>
  </DomainObject.Predmet.OstaliListNazivFormated>
  <DomainObject.Predmet.OstaliListNazivFormatedOIB>
    <izvorni_sadrzaj>
      <item>e-Oglasna</item>
      <item>Financijska agencija, OIB 85821130368</item>
      <item>Sudski registar</item>
      <item>HRVATSKA POŠTANSKA BANKA, dioničko društvo, OIB 87939104217</item>
    </izvorni_sadrzaj>
    <derivirana_varijabla naziv="DomainObject.Predmet.OstaliListNazivFormatedOIB_1">
      <item>e-Oglasna</item>
      <item>Financijska agencija, OIB 85821130368</item>
      <item>Sudski registar</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St-82/2017-23</izvorni_sadrzaj>
    <derivirana_varijabla naziv="DomainObject.PoslovniBrojDokumenta_1">St-82/2017-23</derivirana_varijabla>
  </DomainObject.PoslovniBrojDokumenta>
  <DomainObject.Predmet.StrankaIDrugi>
    <izvorni_sadrzaj>POŽGAJ FLOORING društvo s ograničenom odgovornošću za otkup, proizvodnju, maloprodaju i veleprodaju drveta</izvorni_sadrzaj>
    <derivirana_varijabla naziv="DomainObject.Predmet.StrankaIDrugi_1">POŽGAJ FLOORING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FLOORING društvo s ograničenom odgovornošću za otkup, proizvodnju, maloprodaju i veleprodaju drveta, OIB 35779288855, Dravska ulica 40, 42230 Veliki Bukovec</izvorni_sadrzaj>
    <derivirana_varijabla naziv="DomainObject.Predmet.StrankaIDrugiAdressOIB_1">POŽGAJ FLOORING društvo s ograničenom odgovornošću za otkup, proizvodnju, maloprodaju i veleprodaju drveta, OIB 35779288855,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FLOORING društvo s ograničenom odgovornošću za otkup, proizvodnju, maloprodaju i veleprodaju drveta</item>
      <item>e-Oglasna</item>
      <item>Financijska agencija</item>
      <item>Sudski registar</item>
      <item>HRVATSKA POŠTANSKA BANKA, dioničko društvo</item>
    </izvorni_sadrzaj>
    <derivirana_varijabla naziv="DomainObject.Predmet.SudioniciListNaziv_1">
      <item>POŽGAJ FLOORING društvo s ograničenom odgovornošću za otkup, proizvodnju, maloprodaju i veleprodaju drveta</item>
      <item>e-Oglasna</item>
      <item>Financijska agencija</item>
      <item>Sudski registar</item>
      <item>HRVATSKA POŠTANSKA BANKA, dioničko društvo</item>
    </derivirana_varijabla>
  </DomainObject.Predmet.SudioniciListNaziv>
  <DomainObject.Predmet.SudioniciListAdressOIB>
    <izvorni_sadrzaj>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izvorni_sadrzaj>
    <derivirana_varijabla naziv="DomainObject.Predmet.SudioniciListAdressOIB_1">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35779288855</item>
      <item>, OIB null</item>
      <item>, OIB 85821130368</item>
      <item>, OIB null</item>
      <item>, OIB 87939104217</item>
    </izvorni_sadrzaj>
    <derivirana_varijabla naziv="DomainObject.Predmet.SudioniciListNazivOIB_1">
      <item>, OIB 35779288855</item>
      <item>, OIB null</item>
      <item>, OIB 85821130368</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0878D7-02FC-4DB0-A666-9CDCE6129B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4501</properties:Characters>
  <properties:Lines>200</properties:Lines>
  <properties:Paragraphs>116</properties:Paragraphs>
  <properties:TotalTime>349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2017-11-30T12:04:00Z</cp:lastPrinted>
  <dcterms:modified xmlns:xsi="http://www.w3.org/2001/XMLSchema-instance" xsi:type="dcterms:W3CDTF">2017-11-30T12:31:00Z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St-82/2017-23 / Zapisnik - Ročište za glasovanje o planu restrukturiranja</vt:lpwstr>
  </prop:property>
  <prop:property name="CC_coloring" pid="4" fmtid="{D5CDD505-2E9C-101B-9397-08002B2CF9AE}">
    <vt:bool>false</vt:bool>
  </prop:property>
  <prop:property name="BrojStranica" pid="5" fmtid="{D5CDD505-2E9C-101B-9397-08002B2CF9AE}">
    <vt:i4>3</vt:i4>
  </prop:property>
</prop:Properties>
</file>