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3043e" w14:paraId="a13043e" w:rsidRDefault="00AE649C" w:rsidP="00FA5B5E" w:rsidR="00AE649C" w:rsidRPr="00B76F3C">
      <w:pPr>
        <w:pStyle w:val="Naslov3"/>
        <w15:collapsed w:val="false"/>
      </w:pPr>
    </w:p>
    <w:p w:rsidRDefault="00B27716" w:rsidP="00B27716" w:rsidR="00B27716" w:rsidRPr="00B27716">
      <w:pPr>
        <w:spacing w:after="0"/>
        <w:ind w:left="5664"/>
        <w:rPr>
          <w:rFonts w:cs="Times New Roman" w:eastAsia="Times New Roman"/>
          <w:lang w:eastAsia="hr-HR"/>
        </w:rPr>
      </w:pPr>
      <w:r w:rsidRPr="00B27716">
        <w:rPr>
          <w:rFonts w:cs="Times New Roman" w:eastAsia="Times New Roman"/>
          <w:lang w:eastAsia="hr-HR"/>
        </w:rPr>
        <w:t xml:space="preserve">        Poslovni broj 3 St-243/2015-5</w:t>
      </w:r>
    </w:p>
    <w:p w:rsidRDefault="00B27716" w:rsidP="00B27716" w:rsidR="00B27716" w:rsidRPr="00B27716">
      <w:pPr>
        <w:spacing w:after="0"/>
        <w:rPr>
          <w:rFonts w:cs="Times New Roman" w:eastAsia="Times New Roman"/>
          <w:lang w:eastAsia="hr-HR"/>
        </w:rPr>
      </w:pPr>
    </w:p>
    <w:p w:rsidRDefault="00B27716" w:rsidP="00B27716" w:rsidR="00B27716" w:rsidRPr="00B27716">
      <w:pPr>
        <w:spacing w:after="0"/>
        <w:rPr>
          <w:rFonts w:cs="Times New Roman" w:eastAsia="Times New Roman"/>
          <w:lang w:eastAsia="hr-HR"/>
        </w:rPr>
      </w:pPr>
    </w:p>
    <w:p w:rsidRDefault="00B27716" w:rsidP="00B27716" w:rsidR="00B27716" w:rsidRPr="00B27716">
      <w:pPr>
        <w:spacing w:after="0"/>
        <w:rPr>
          <w:rFonts w:cs="Times New Roman" w:eastAsia="Times New Roman"/>
          <w:lang w:eastAsia="hr-HR"/>
        </w:rPr>
      </w:pPr>
    </w:p>
    <w:p w:rsidRDefault="00B27716" w:rsidP="00B27716" w:rsidR="00B27716" w:rsidRPr="00B27716">
      <w:pPr>
        <w:spacing w:after="0"/>
        <w:rPr>
          <w:rFonts w:cs="Times New Roman" w:eastAsia="Times New Roman"/>
          <w:lang w:eastAsia="hr-HR"/>
        </w:rPr>
      </w:pPr>
    </w:p>
    <w:p w:rsidRDefault="00B27716" w:rsidP="00B27716" w:rsidR="00B27716" w:rsidRPr="00B27716">
      <w:pPr>
        <w:spacing w:after="0"/>
        <w:ind w:firstLine="708"/>
        <w:rPr>
          <w:rFonts w:cs="Times New Roman" w:eastAsia="Times New Roman"/>
          <w:lang w:eastAsia="hr-HR"/>
        </w:rPr>
      </w:pPr>
      <w:r w:rsidRPr="00B27716">
        <w:rPr>
          <w:rFonts w:cs="Times New Roman" w:eastAsia="Times New Roman"/>
          <w:lang w:eastAsia="hr-HR"/>
        </w:rPr>
        <w:t>REPUBLIKA HRVATSKA</w:t>
      </w:r>
    </w:p>
    <w:p w:rsidRDefault="00B27716" w:rsidP="00B27716" w:rsidR="00B27716" w:rsidRPr="00B27716">
      <w:pPr>
        <w:spacing w:after="0"/>
        <w:ind w:firstLine="708"/>
        <w:rPr>
          <w:rFonts w:cs="Times New Roman" w:eastAsia="Times New Roman"/>
          <w:lang w:eastAsia="hr-HR"/>
        </w:rPr>
      </w:pPr>
      <w:r w:rsidRPr="00B27716">
        <w:rPr>
          <w:rFonts w:cs="Times New Roman" w:eastAsia="Times New Roman"/>
          <w:lang w:eastAsia="hr-HR"/>
        </w:rPr>
        <w:t>TRGOVAČKI SUD U ZADRU</w:t>
      </w:r>
    </w:p>
    <w:p w:rsidRDefault="00B27716" w:rsidP="00B27716" w:rsidR="00B27716" w:rsidRPr="00B27716">
      <w:pPr>
        <w:spacing w:after="0"/>
        <w:ind w:firstLine="708"/>
        <w:rPr>
          <w:rFonts w:cs="Times New Roman" w:eastAsia="Times New Roman"/>
          <w:lang w:eastAsia="hr-HR"/>
        </w:rPr>
      </w:pPr>
      <w:r w:rsidRPr="00B27716">
        <w:rPr>
          <w:rFonts w:cs="Times New Roman" w:eastAsia="Times New Roman"/>
          <w:lang w:eastAsia="hr-HR"/>
        </w:rPr>
        <w:t>Zadar, Dr. Franje Tuđmana 35</w:t>
      </w:r>
      <w:r w:rsidRPr="00B27716">
        <w:rPr>
          <w:rFonts w:cs="Times New Roman" w:eastAsia="Times New Roman"/>
          <w:lang w:eastAsia="hr-HR"/>
        </w:rPr>
        <w:tab/>
      </w:r>
      <w:r w:rsidRPr="00B27716">
        <w:rPr>
          <w:rFonts w:cs="Times New Roman" w:eastAsia="Times New Roman"/>
          <w:lang w:eastAsia="hr-HR"/>
        </w:rPr>
        <w:tab/>
      </w:r>
      <w:r w:rsidRPr="00B27716">
        <w:rPr>
          <w:rFonts w:cs="Times New Roman" w:eastAsia="Times New Roman"/>
          <w:lang w:eastAsia="hr-HR"/>
        </w:rPr>
        <w:tab/>
      </w:r>
      <w:r w:rsidRPr="00B27716">
        <w:rPr>
          <w:rFonts w:cs="Times New Roman" w:eastAsia="Times New Roman"/>
          <w:lang w:eastAsia="hr-HR"/>
        </w:rPr>
        <w:tab/>
      </w:r>
      <w:r w:rsidRPr="00B27716">
        <w:rPr>
          <w:rFonts w:cs="Times New Roman" w:eastAsia="Times New Roman"/>
          <w:lang w:eastAsia="hr-HR"/>
        </w:rPr>
        <w:tab/>
      </w:r>
      <w:r w:rsidRPr="00B27716">
        <w:rPr>
          <w:rFonts w:cs="Times New Roman" w:eastAsia="Times New Roman"/>
          <w:lang w:eastAsia="hr-HR"/>
        </w:rPr>
        <w:tab/>
      </w:r>
    </w:p>
    <w:p w:rsidRDefault="00B27716" w:rsidP="00B27716" w:rsidR="00B27716" w:rsidRPr="00B27716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B27716" w:rsidP="00B27716" w:rsidR="00B27716" w:rsidRPr="00B27716">
      <w:pPr>
        <w:spacing w:after="0"/>
        <w:rPr>
          <w:rFonts w:cs="Times New Roman" w:eastAsia="Times New Roman"/>
          <w:lang w:eastAsia="hr-HR"/>
        </w:rPr>
      </w:pPr>
    </w:p>
    <w:p w:rsidRDefault="00B27716" w:rsidP="00B27716" w:rsidR="00B27716" w:rsidRPr="00B27716">
      <w:pPr>
        <w:spacing w:after="0"/>
        <w:jc w:val="center"/>
        <w:rPr>
          <w:rFonts w:cs="Times New Roman" w:eastAsia="Times New Roman"/>
          <w:lang w:eastAsia="hr-HR"/>
        </w:rPr>
      </w:pPr>
      <w:r w:rsidRPr="00B27716">
        <w:rPr>
          <w:rFonts w:cs="Times New Roman" w:eastAsia="Times New Roman"/>
          <w:lang w:eastAsia="hr-HR"/>
        </w:rPr>
        <w:t>U  I M E  R E P U B L I K E  H R V A T S K E</w:t>
      </w:r>
    </w:p>
    <w:p w:rsidRDefault="00B27716" w:rsidP="00B27716" w:rsidR="00B27716" w:rsidRPr="00B2771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27716" w:rsidP="00B27716" w:rsidR="00B27716" w:rsidRPr="00B27716">
      <w:pPr>
        <w:spacing w:after="0"/>
        <w:jc w:val="center"/>
        <w:rPr>
          <w:rFonts w:cs="Times New Roman" w:eastAsia="Times New Roman"/>
          <w:lang w:eastAsia="hr-HR"/>
        </w:rPr>
      </w:pPr>
      <w:r w:rsidRPr="00B27716">
        <w:rPr>
          <w:rFonts w:cs="Times New Roman" w:eastAsia="Times New Roman"/>
          <w:lang w:eastAsia="hr-HR"/>
        </w:rPr>
        <w:t>R J E Š E NJ E</w:t>
      </w:r>
    </w:p>
    <w:p w:rsidRDefault="00B27716" w:rsidP="00B27716" w:rsidR="00B27716" w:rsidRPr="00B2771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27716" w:rsidP="00B27716" w:rsidR="00B27716" w:rsidRPr="00B27716">
      <w:pPr>
        <w:spacing w:after="0"/>
        <w:jc w:val="both"/>
        <w:rPr>
          <w:rFonts w:cs="Times New Roman" w:eastAsia="Times New Roman"/>
          <w:lang w:eastAsia="hr-HR"/>
        </w:rPr>
      </w:pPr>
      <w:r w:rsidRPr="00B27716">
        <w:rPr>
          <w:rFonts w:cs="Times New Roman" w:eastAsia="Times New Roman"/>
          <w:lang w:eastAsia="hr-HR"/>
        </w:rPr>
        <w:tab/>
        <w:t xml:space="preserve">Trgovački sud u Zadru, OIB 39670464653, po sutkinji Ani Markač, na temelju prijedloga više sudske savjetnice Tine Grgas, u pravnoj stvari podnositeljice zahtjeva Financijske agencije, Regionalnog centra Split, Podružnice Zadar, Zadar, Ivana Danila 4, OIB: 85821130368, zastupane po Milki Čulina, za provedbu skraćenoga stečajnog postupka nad dužnikom DOM ZA STARIJE I NEMOĆNE OSOBE LAVITA, Zadar, Crno 32, Zadar, OIB: 06651695514, zastupanim po ravnateljici Ini Vuković, odlučujući o zahtjevu podnositelja od </w:t>
      </w:r>
      <w:r w:rsidRPr="00B27716">
        <w:rPr>
          <w:rFonts w:cs="Times New Roman" w:eastAsia="Times New Roman"/>
          <w:szCs w:val="20"/>
          <w:lang w:eastAsia="hr-HR"/>
        </w:rPr>
        <w:t xml:space="preserve">30. listopada </w:t>
      </w:r>
      <w:r w:rsidRPr="00B27716">
        <w:rPr>
          <w:rFonts w:cs="Times New Roman" w:eastAsia="Times New Roman"/>
          <w:lang w:eastAsia="hr-HR"/>
        </w:rPr>
        <w:t xml:space="preserve">2015., 8. prosinca 2015.    </w:t>
      </w:r>
    </w:p>
    <w:p w:rsidRDefault="00B27716" w:rsidP="00B27716" w:rsidR="00B27716" w:rsidRPr="00B277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7716" w:rsidP="00B27716" w:rsidR="00B27716" w:rsidRPr="00B27716">
      <w:pPr>
        <w:spacing w:after="0"/>
        <w:jc w:val="center"/>
        <w:rPr>
          <w:rFonts w:cs="Times New Roman" w:eastAsia="Times New Roman"/>
          <w:lang w:eastAsia="hr-HR"/>
        </w:rPr>
      </w:pPr>
      <w:r w:rsidRPr="00B27716">
        <w:rPr>
          <w:rFonts w:cs="Times New Roman" w:eastAsia="Times New Roman"/>
          <w:lang w:eastAsia="hr-HR"/>
        </w:rPr>
        <w:t>r i j e š i o   j e</w:t>
      </w:r>
    </w:p>
    <w:p w:rsidRDefault="00B27716" w:rsidP="00B27716" w:rsidR="00B27716" w:rsidRPr="00B27716">
      <w:pPr>
        <w:tabs>
          <w:tab w:pos="96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B27716" w:rsidP="00B27716" w:rsidR="00B27716" w:rsidRPr="00B2771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27716">
        <w:rPr>
          <w:rFonts w:cs="Times New Roman" w:eastAsia="Times New Roman"/>
          <w:szCs w:val="20"/>
          <w:lang w:eastAsia="hr-HR"/>
        </w:rPr>
        <w:tab/>
        <w:t xml:space="preserve">Odbacuje se zahtjev podnositeljice u ovoj pravnoj stvari kao nedopušten. </w:t>
      </w:r>
    </w:p>
    <w:p w:rsidRDefault="00B27716" w:rsidP="00B27716" w:rsidR="00B27716" w:rsidRPr="00B27716">
      <w:pPr>
        <w:spacing w:after="0"/>
        <w:rPr>
          <w:rFonts w:cs="Times New Roman" w:eastAsia="Times New Roman"/>
          <w:lang w:eastAsia="hr-HR"/>
        </w:rPr>
      </w:pPr>
    </w:p>
    <w:p w:rsidRDefault="00B27716" w:rsidP="00B27716" w:rsidR="00B27716" w:rsidRPr="00B27716">
      <w:pPr>
        <w:spacing w:after="0"/>
        <w:jc w:val="center"/>
        <w:rPr>
          <w:rFonts w:cs="Times New Roman" w:eastAsia="Times New Roman"/>
          <w:lang w:eastAsia="hr-HR"/>
        </w:rPr>
      </w:pPr>
      <w:r w:rsidRPr="00B27716">
        <w:rPr>
          <w:rFonts w:cs="Times New Roman" w:eastAsia="Times New Roman"/>
          <w:lang w:eastAsia="hr-HR"/>
        </w:rPr>
        <w:t>Obrazloženje</w:t>
      </w:r>
    </w:p>
    <w:p w:rsidRDefault="00B27716" w:rsidP="00B27716" w:rsidR="00B27716" w:rsidRPr="00B277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7716" w:rsidP="00B27716" w:rsidR="00B27716" w:rsidRPr="00B27716">
      <w:pPr>
        <w:spacing w:after="0"/>
        <w:jc w:val="both"/>
        <w:rPr>
          <w:rFonts w:cs="Times New Roman" w:eastAsia="Times New Roman"/>
          <w:lang w:eastAsia="hr-HR"/>
        </w:rPr>
      </w:pPr>
      <w:r w:rsidRPr="00B27716">
        <w:rPr>
          <w:rFonts w:cs="Times New Roman" w:eastAsia="Times New Roman"/>
          <w:lang w:eastAsia="hr-HR"/>
        </w:rPr>
        <w:tab/>
        <w:t>Financijska agencija je 30. listopada 2015. podnijela ovom sudu zahtjev za provedbu skraćenoga stečajnog postupka, Klasa: 110-07/15-01/04, Ur.broj: 04-06-15-3465 nad dužnikom DOM ZA STARIJE I NEMOĆNE OSOBE LAVITA, Zadar.</w:t>
      </w:r>
    </w:p>
    <w:p w:rsidRDefault="00B27716" w:rsidP="00B27716" w:rsidR="00B27716" w:rsidRPr="00B277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7716" w:rsidP="00B27716" w:rsidR="00B27716" w:rsidRPr="00B27716">
      <w:pPr>
        <w:spacing w:after="0"/>
        <w:jc w:val="both"/>
        <w:rPr>
          <w:rFonts w:cs="Times New Roman" w:eastAsia="Times New Roman"/>
          <w:lang w:eastAsia="hr-HR"/>
        </w:rPr>
      </w:pPr>
      <w:r w:rsidRPr="00B27716">
        <w:rPr>
          <w:rFonts w:cs="Times New Roman" w:eastAsia="Times New Roman"/>
          <w:lang w:eastAsia="hr-HR"/>
        </w:rPr>
        <w:tab/>
        <w:t>U zahtjevu u bitnom navodi da dužnik na dan 1.09.2015. u Očevidniku redoslijeda osnova za plaćanje ima evidentirane neizvršene osnove za plaćanje u neprekinutom razdoblju od 1863 dana u ukupnom iznosu od 2.579.051,50  kuna te da nema zaposlenih.</w:t>
      </w:r>
    </w:p>
    <w:p w:rsidRDefault="00B27716" w:rsidP="00B27716" w:rsidR="00B27716" w:rsidRPr="00B277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7716" w:rsidP="00B27716" w:rsidR="00B27716" w:rsidRPr="00B27716">
      <w:pPr>
        <w:spacing w:after="0"/>
        <w:jc w:val="both"/>
        <w:rPr>
          <w:rFonts w:cs="Times New Roman" w:eastAsia="Times New Roman"/>
          <w:lang w:eastAsia="hr-HR"/>
        </w:rPr>
      </w:pPr>
      <w:r w:rsidRPr="00B27716">
        <w:rPr>
          <w:rFonts w:cs="Times New Roman" w:eastAsia="Times New Roman"/>
          <w:lang w:eastAsia="hr-HR"/>
        </w:rPr>
        <w:tab/>
        <w:t xml:space="preserve">Zahtjev podnositeljice je nedopušten. </w:t>
      </w:r>
    </w:p>
    <w:p w:rsidRDefault="00B27716" w:rsidP="00B27716" w:rsidR="00B27716" w:rsidRPr="00B277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7716" w:rsidP="00B27716" w:rsidR="00B27716" w:rsidRPr="00B2771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27716">
        <w:rPr>
          <w:rFonts w:cs="Times New Roman" w:eastAsia="Times New Roman"/>
          <w:lang w:eastAsia="hr-HR"/>
        </w:rPr>
        <w:t>Naime, odredbom čl. 32. st. 1. toč. 1. Stečajnog zakona (Narodne novine broj 71/15, dalje: SZ) propisano je da će sud odbaciti prijedlog za otvaranje predstečajnog postupka ako se vodi predstečajni postupak na temelju prije podnesenoga prijedloga, dok je odredbom čl. 10. istog propisano da se u predstečajnom i stečajnom postupku na odgovarajući način primjenjuju pravila parničnog postupka u postupku pred trgovačkim sudovima.</w:t>
      </w:r>
    </w:p>
    <w:p w:rsidRDefault="00B27716" w:rsidP="00B27716" w:rsidR="00B27716" w:rsidRPr="00B2771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27716" w:rsidP="00B27716" w:rsidR="00B27716" w:rsidRPr="00B2771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27716">
        <w:rPr>
          <w:rFonts w:cs="Times New Roman" w:eastAsia="Times New Roman"/>
          <w:lang w:eastAsia="hr-HR"/>
        </w:rPr>
        <w:t xml:space="preserve">Nadalje, odredbom čl. 194. st. 3. i st. 4. Zakona o parničnom postupku (Narodne novine broj: 53/91, 91/92, 112/99, 88/01, 117/03, 88/05, 2/07, 84/08, 123/08, 57/11, 148/11 i </w:t>
      </w:r>
      <w:r w:rsidRPr="00B27716">
        <w:rPr>
          <w:rFonts w:cs="Times New Roman" w:eastAsia="Times New Roman"/>
          <w:lang w:eastAsia="hr-HR"/>
        </w:rPr>
        <w:lastRenderedPageBreak/>
        <w:t xml:space="preserve">25/13-dalje: ZPP) propisano je da se dok parnica teče, ne može u pogledu istog zahtjeva pokrenuti nova parnica među istim strankama, a ako takva parnica bude pokrenuta, da će sud tužbu odbaciti te da će sud u tijeku cijelog postupka po službenoj dužnosti paziti teče li već druga parnica o istom zahtjevu među istim strankama. </w:t>
      </w:r>
    </w:p>
    <w:p w:rsidRDefault="00B27716" w:rsidP="00B27716" w:rsidR="00B27716" w:rsidRPr="00B2771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27716" w:rsidP="00B27716" w:rsidR="00B27716" w:rsidRPr="00B2771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27716">
        <w:rPr>
          <w:rFonts w:cs="Times New Roman" w:eastAsia="Times New Roman"/>
          <w:lang w:eastAsia="hr-HR"/>
        </w:rPr>
        <w:t xml:space="preserve">Postupajući u skladu s naprijed citiranim zakonskim odredbama, ovaj sud je po službenoj dužnosti pribavio spis predmeta istog pod poslovnim brojem 5 St-115/15 te je uvidom u potonji utvrđeno da je na temelju prije podnesenog zahtjeva iste podnositeljice od 17. rujna 2015. i sadržaja istovjetnog predmetnom, već u tijeku skraćeni stečajni postupak nad istim dužnikom kao i u ovoj pravnoj stvari, a zbog čega je predmetni zahtjev nedopušten. </w:t>
      </w:r>
    </w:p>
    <w:p w:rsidRDefault="00B27716" w:rsidP="00B27716" w:rsidR="00B27716" w:rsidRPr="00B2771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27716" w:rsidP="00B27716" w:rsidR="00B27716" w:rsidRPr="00B2771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27716">
        <w:rPr>
          <w:rFonts w:cs="Times New Roman" w:eastAsia="Times New Roman"/>
          <w:lang w:eastAsia="hr-HR"/>
        </w:rPr>
        <w:t>S obzirom da u konkretnom slučaju nisu ispunjene pretpostavke za provođenje skraćenoga stečajnog postupka, to je temeljem naprijed citiranih zakonskih odredbi te odredbe čl. 435. st. 1. i 3. SZ-a, trebalo donijeti odluku kao u izreci rješenja.</w:t>
      </w:r>
    </w:p>
    <w:p w:rsidRDefault="00B27716" w:rsidP="00B27716" w:rsidR="00B27716" w:rsidRPr="00B277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7716" w:rsidP="00B27716" w:rsidR="00B27716" w:rsidRPr="00B27716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B27716" w:rsidP="00B27716" w:rsidR="00B27716" w:rsidRPr="00B27716">
      <w:pPr>
        <w:spacing w:after="0"/>
        <w:ind w:left="705"/>
        <w:jc w:val="center"/>
        <w:rPr>
          <w:rFonts w:cs="Times New Roman" w:eastAsia="Times New Roman"/>
          <w:lang w:eastAsia="hr-HR"/>
        </w:rPr>
      </w:pPr>
      <w:r w:rsidRPr="00B27716">
        <w:rPr>
          <w:rFonts w:cs="Times New Roman" w:eastAsia="Times New Roman"/>
          <w:lang w:eastAsia="hr-HR"/>
        </w:rPr>
        <w:t>U Zadru 8. prosinca 2015.</w:t>
      </w:r>
    </w:p>
    <w:p w:rsidRDefault="00B27716" w:rsidP="00B27716" w:rsidR="00B27716" w:rsidRPr="00B27716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B27716" w:rsidP="00B27716" w:rsidR="00B27716" w:rsidRPr="00B27716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B27716" w:rsidP="00B27716" w:rsidR="00B27716" w:rsidRPr="00B27716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B27716">
        <w:rPr>
          <w:rFonts w:cs="Times New Roman" w:eastAsia="Times New Roman"/>
          <w:lang w:eastAsia="hr-HR"/>
        </w:rPr>
        <w:tab/>
        <w:t xml:space="preserve">Viša sudska savjetnica: </w:t>
      </w:r>
      <w:r w:rsidRPr="00B27716">
        <w:rPr>
          <w:rFonts w:cs="Times New Roman" w:eastAsia="Times New Roman"/>
          <w:lang w:eastAsia="hr-HR"/>
        </w:rPr>
        <w:tab/>
      </w:r>
      <w:r w:rsidRPr="00B27716">
        <w:rPr>
          <w:rFonts w:cs="Times New Roman" w:eastAsia="Times New Roman"/>
          <w:lang w:eastAsia="hr-HR"/>
        </w:rPr>
        <w:tab/>
      </w:r>
      <w:r w:rsidRPr="00B27716">
        <w:rPr>
          <w:rFonts w:cs="Times New Roman" w:eastAsia="Times New Roman"/>
          <w:lang w:eastAsia="hr-HR"/>
        </w:rPr>
        <w:tab/>
      </w:r>
      <w:r w:rsidRPr="00B27716">
        <w:rPr>
          <w:rFonts w:cs="Times New Roman" w:eastAsia="Times New Roman"/>
          <w:lang w:eastAsia="hr-HR"/>
        </w:rPr>
        <w:tab/>
      </w:r>
      <w:r w:rsidRPr="00B27716">
        <w:rPr>
          <w:rFonts w:cs="Times New Roman" w:eastAsia="Times New Roman"/>
          <w:lang w:eastAsia="hr-HR"/>
        </w:rPr>
        <w:tab/>
      </w:r>
      <w:r w:rsidRPr="00B27716">
        <w:rPr>
          <w:rFonts w:cs="Times New Roman" w:eastAsia="Times New Roman"/>
          <w:lang w:eastAsia="hr-HR"/>
        </w:rPr>
        <w:tab/>
        <w:t>Sutkinja:</w:t>
      </w:r>
    </w:p>
    <w:p w:rsidRDefault="00B27716" w:rsidP="00B27716" w:rsidR="00B27716" w:rsidRPr="00B27716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B27716">
        <w:rPr>
          <w:rFonts w:cs="Times New Roman" w:eastAsia="Times New Roman"/>
          <w:lang w:eastAsia="hr-HR"/>
        </w:rPr>
        <w:tab/>
        <w:t>Tina Grgas, v.r.</w:t>
      </w:r>
      <w:r w:rsidRPr="00B27716">
        <w:rPr>
          <w:rFonts w:cs="Times New Roman" w:eastAsia="Times New Roman"/>
          <w:lang w:eastAsia="hr-HR"/>
        </w:rPr>
        <w:tab/>
      </w:r>
      <w:r w:rsidRPr="00B27716">
        <w:rPr>
          <w:rFonts w:cs="Times New Roman" w:eastAsia="Times New Roman"/>
          <w:lang w:eastAsia="hr-HR"/>
        </w:rPr>
        <w:tab/>
      </w:r>
      <w:r w:rsidRPr="00B27716">
        <w:rPr>
          <w:rFonts w:cs="Times New Roman" w:eastAsia="Times New Roman"/>
          <w:lang w:eastAsia="hr-HR"/>
        </w:rPr>
        <w:tab/>
      </w:r>
      <w:r w:rsidRPr="00B27716">
        <w:rPr>
          <w:rFonts w:cs="Times New Roman" w:eastAsia="Times New Roman"/>
          <w:lang w:eastAsia="hr-HR"/>
        </w:rPr>
        <w:tab/>
      </w:r>
      <w:r w:rsidRPr="00B27716">
        <w:rPr>
          <w:rFonts w:cs="Times New Roman" w:eastAsia="Times New Roman"/>
          <w:lang w:eastAsia="hr-HR"/>
        </w:rPr>
        <w:tab/>
      </w:r>
      <w:r w:rsidRPr="00B27716">
        <w:rPr>
          <w:rFonts w:cs="Times New Roman" w:eastAsia="Times New Roman"/>
          <w:lang w:eastAsia="hr-HR"/>
        </w:rPr>
        <w:tab/>
      </w:r>
      <w:r w:rsidRPr="00B27716">
        <w:rPr>
          <w:rFonts w:cs="Times New Roman" w:eastAsia="Times New Roman"/>
          <w:lang w:eastAsia="hr-HR"/>
        </w:rPr>
        <w:tab/>
        <w:t>Ana Markač, v.r.</w:t>
      </w:r>
    </w:p>
    <w:p w:rsidRDefault="00B27716" w:rsidP="00B27716" w:rsidR="00B27716" w:rsidRPr="00B27716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</w:p>
    <w:p w:rsidRDefault="00B27716" w:rsidP="00B27716" w:rsidR="00B27716" w:rsidRPr="00B27716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</w:p>
    <w:p w:rsidRDefault="00B27716" w:rsidP="00B27716" w:rsidR="00B27716" w:rsidRPr="00B27716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B27716">
        <w:rPr>
          <w:rFonts w:cs="Times New Roman" w:eastAsia="Times New Roman"/>
          <w:lang w:eastAsia="hr-HR"/>
        </w:rPr>
        <w:tab/>
        <w:t>Za točnost otpravka-ovlaštena službenica:</w:t>
      </w:r>
    </w:p>
    <w:p w:rsidRDefault="00B27716" w:rsidP="00B27716" w:rsidR="00B27716" w:rsidRPr="00B27716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B27716">
        <w:rPr>
          <w:rFonts w:cs="Times New Roman" w:eastAsia="Times New Roman"/>
          <w:lang w:eastAsia="hr-HR"/>
        </w:rPr>
        <w:tab/>
        <w:t>Nena Mužanović</w:t>
      </w:r>
    </w:p>
    <w:p w:rsidRDefault="00B27716" w:rsidP="00B27716" w:rsidR="00B27716" w:rsidRPr="00B27716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</w:p>
    <w:p w:rsidRDefault="00B27716" w:rsidP="00B27716" w:rsidR="00B27716" w:rsidRPr="00B27716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</w:p>
    <w:p w:rsidRDefault="00B27716" w:rsidP="00B27716" w:rsidR="00B27716" w:rsidRPr="00B27716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B27716">
        <w:rPr>
          <w:rFonts w:cs="Times New Roman" w:eastAsia="Times New Roman"/>
          <w:lang w:eastAsia="hr-HR"/>
        </w:rPr>
        <w:tab/>
        <w:t xml:space="preserve">UPUTA O PRAVNOM LIJEKU: </w:t>
      </w:r>
    </w:p>
    <w:p w:rsidRDefault="00B27716" w:rsidP="00B27716" w:rsidR="00B27716" w:rsidRPr="00B27716">
      <w:pPr>
        <w:spacing w:after="0"/>
        <w:jc w:val="both"/>
        <w:rPr>
          <w:rFonts w:cs="Times New Roman" w:eastAsia="Times New Roman"/>
          <w:lang w:eastAsia="hr-HR"/>
        </w:rPr>
      </w:pPr>
      <w:r w:rsidRPr="00B27716">
        <w:rPr>
          <w:rFonts w:cs="Times New Roman" w:eastAsia="Times New Roman"/>
          <w:lang w:eastAsia="hr-HR"/>
        </w:rPr>
        <w:t xml:space="preserve">Protiv ovog rješenja dopuštena je žalba u roku od 8 dana od dana dostave istog, putem ovog suda, u dva istovjetna primjerka. O žalbi odlučuje sudac pojedinac ovog suda. (čl. 436. st. 1. i 2. SZ-a). </w:t>
      </w:r>
    </w:p>
    <w:p w:rsidRDefault="00B27716" w:rsidP="00B27716" w:rsidR="00B27716" w:rsidRPr="00B27716">
      <w:pPr>
        <w:spacing w:after="0"/>
        <w:rPr>
          <w:rFonts w:cs="Times New Roman" w:eastAsia="Times New Roman"/>
          <w:lang w:eastAsia="hr-HR"/>
        </w:rPr>
      </w:pPr>
    </w:p>
    <w:p w:rsidRDefault="00B27716" w:rsidP="00B27716" w:rsidR="00B27716" w:rsidRPr="00B27716">
      <w:pPr>
        <w:spacing w:after="0"/>
        <w:ind w:firstLine="360"/>
        <w:rPr>
          <w:rFonts w:cs="Times New Roman" w:eastAsia="Times New Roman"/>
          <w:lang w:eastAsia="hr-HR"/>
        </w:rPr>
      </w:pPr>
      <w:r w:rsidRPr="00B27716">
        <w:rPr>
          <w:rFonts w:cs="Times New Roman" w:eastAsia="Times New Roman"/>
          <w:lang w:eastAsia="hr-HR"/>
        </w:rPr>
        <w:t xml:space="preserve">      Dostaviti: </w:t>
      </w:r>
    </w:p>
    <w:p w:rsidRDefault="00B27716" w:rsidP="00B27716" w:rsidR="00B27716" w:rsidRPr="00B27716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B27716">
        <w:rPr>
          <w:rFonts w:cs="Times New Roman" w:eastAsia="Times New Roman"/>
          <w:lang w:eastAsia="hr-HR"/>
        </w:rPr>
        <w:t>podnositeljici zahtjeva elektroničkim putem</w:t>
      </w:r>
    </w:p>
    <w:p w:rsidRDefault="00B27716" w:rsidP="00B27716" w:rsidR="00B27716" w:rsidRPr="00B27716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B27716">
        <w:rPr>
          <w:rFonts w:cs="Times New Roman" w:eastAsia="Times New Roman"/>
          <w:lang w:eastAsia="hr-HR"/>
        </w:rPr>
        <w:t>e-oglasna ploča</w:t>
      </w:r>
    </w:p>
    <w:p w:rsidRDefault="00B27716" w:rsidP="00B27716" w:rsidR="00B27716" w:rsidRPr="00B27716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B27716">
        <w:rPr>
          <w:rFonts w:cs="Times New Roman" w:eastAsia="Times New Roman"/>
          <w:lang w:eastAsia="hr-HR"/>
        </w:rPr>
        <w:t>u spis</w:t>
      </w:r>
    </w:p>
    <w:p w:rsidRDefault="00B27716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27716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714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St-243/2015-2</izvorni_sadrzaj>
    <derivirana_varijabla naziv="DomainObject.Oznaka_1">St-243/2015-2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St-243/2015</izvorni_sadrzaj>
    <derivirana_varijabla naziv="DomainObject.Predmet.OznakaBroj_1">St-243/2015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za starije i nemoćne osobe LAVITA</izvorni_sadrzaj>
    <derivirana_varijabla naziv="DomainObject.Predmet.ProtustrankaFormated_1">  Dom za starije i nemoćne osobe LAVITA</derivirana_varijabla>
  </DomainObject.Predmet.ProtustrankaFormated>
  <DomainObject.Predmet.ProtustrankaFormatedOIB>
    <izvorni_sadrzaj>  Dom za starije i nemoćne osobe LAVITA, OIB 06651695514</izvorni_sadrzaj>
    <derivirana_varijabla naziv="DomainObject.Predmet.ProtustrankaFormatedOIB_1">  Dom za starije i nemoćne osobe LAVITA, OIB 06651695514</derivirana_varijabla>
  </DomainObject.Predmet.ProtustrankaFormatedOIB>
  <DomainObject.Predmet.ProtustrankaFormatedWithAdress>
    <izvorni_sadrzaj> Dom za starije i nemoćne osobe LAVITA, Crno 32, 23000 Zadar</izvorni_sadrzaj>
    <derivirana_varijabla naziv="DomainObject.Predmet.ProtustrankaFormatedWithAdress_1"> Dom za starije i nemoćne osobe LAVITA, Crno 32, 23000 Zadar</derivirana_varijabla>
  </DomainObject.Predmet.ProtustrankaFormatedWithAdress>
  <DomainObject.Predmet.ProtustrankaFormatedWithAdressOIB>
    <izvorni_sadrzaj> Dom za starije i nemoćne osobe LAVITA, OIB 06651695514, Crno 32, 23000 Zadar</izvorni_sadrzaj>
    <derivirana_varijabla naziv="DomainObject.Predmet.ProtustrankaFormatedWithAdressOIB_1"> Dom za starije i nemoćne osobe LAVITA, OIB 06651695514, Crno 32, 23000 Zadar</derivirana_varijabla>
  </DomainObject.Predmet.ProtustrankaFormatedWithAdressOIB>
  <DomainObject.Predmet.ProtustrankaWithAdress>
    <izvorni_sadrzaj>Dom za starije i nemoćne osobe LAVITA Crno 32, 23000 Zadar</izvorni_sadrzaj>
    <derivirana_varijabla naziv="DomainObject.Predmet.ProtustrankaWithAdress_1">Dom za starije i nemoćne osobe LAVITA Crno 32, 23000 Zadar</derivirana_varijabla>
  </DomainObject.Predmet.ProtustrankaWithAdress>
  <DomainObject.Predmet.ProtustrankaWithAdressOIB>
    <izvorni_sadrzaj>Dom za starije i nemoćne osobe LAVITA, OIB 06651695514, Crno 32, 23000 Zadar</izvorni_sadrzaj>
    <derivirana_varijabla naziv="DomainObject.Predmet.ProtustrankaWithAdressOIB_1">Dom za starije i nemoćne osobe LAVITA, OIB 06651695514, Crno 32, 23000 Zadar</derivirana_varijabla>
  </DomainObject.Predmet.ProtustrankaWithAdressOIB>
  <DomainObject.Predmet.ProtustrankaNazivFormated>
    <izvorni_sadrzaj>Dom za starije i nemoćne osobe LAVITA</izvorni_sadrzaj>
    <derivirana_varijabla naziv="DomainObject.Predmet.ProtustrankaNazivFormated_1">Dom za starije i nemoćne osobe LAVITA</derivirana_varijabla>
  </DomainObject.Predmet.ProtustrankaNazivFormated>
  <DomainObject.Predmet.ProtustrankaNazivFormatedOIB>
    <izvorni_sadrzaj>Dom za starije i nemoćne osobe LAVITA, OIB 06651695514</izvorni_sadrzaj>
    <derivirana_varijabla naziv="DomainObject.Predmet.ProtustrankaNazivFormatedOIB_1">Dom za starije i nemoćne osobe LAVITA, OIB 06651695514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Dom za starije i nemoćne osobe LAVITA</item>
    </izvorni_sadrzaj>
    <derivirana_varijabla naziv="DomainObject.Predmet.ProtuStrankaListFormated_1">
      <item>Dom za starije i nemoćne osobe LAVITA</item>
    </derivirana_varijabla>
  </DomainObject.Predmet.ProtuStrankaListFormated>
  <DomainObject.Predmet.ProtuStrankaListFormatedOIB>
    <izvorni_sadrzaj>
      <item>Dom za starije i nemoćne osobe LAVITA, OIB 06651695514</item>
    </izvorni_sadrzaj>
    <derivirana_varijabla naziv="DomainObject.Predmet.ProtuStrankaListFormatedOIB_1">
      <item>Dom za starije i nemoćne osobe LAVITA, OIB 06651695514</item>
    </derivirana_varijabla>
  </DomainObject.Predmet.ProtuStrankaListFormatedOIB>
  <DomainObject.Predmet.ProtuStrankaListFormatedWithAdress>
    <izvorni_sadrzaj>
      <item>Dom za starije i nemoćne osobe LAVITA, Crno 32, 23000 Zadar</item>
    </izvorni_sadrzaj>
    <derivirana_varijabla naziv="DomainObject.Predmet.ProtuStrankaListFormatedWithAdress_1">
      <item>Dom za starije i nemoćne osobe LAVITA, Crno 32, 23000 Zadar</item>
    </derivirana_varijabla>
  </DomainObject.Predmet.ProtuStrankaListFormatedWithAdress>
  <DomainObject.Predmet.ProtuStrankaListFormatedWithAdressOIB>
    <izvorni_sadrzaj>
      <item>Dom za starije i nemoćne osobe LAVITA, OIB 06651695514, Crno 32, 23000 Zadar</item>
    </izvorni_sadrzaj>
    <derivirana_varijabla naziv="DomainObject.Predmet.ProtuStrankaListFormatedWithAdressOIB_1">
      <item>Dom za starije i nemoćne osobe LAVITA, OIB 06651695514, Crno 32, 23000 Zadar</item>
    </derivirana_varijabla>
  </DomainObject.Predmet.ProtuStrankaListFormatedWithAdressOIB>
  <DomainObject.Predmet.ProtuStrankaListNazivFormated>
    <izvorni_sadrzaj>
      <item>Dom za starije i nemoćne osobe LAVITA</item>
    </izvorni_sadrzaj>
    <derivirana_varijabla naziv="DomainObject.Predmet.ProtuStrankaListNazivFormated_1">
      <item>Dom za starije i nemoćne osobe LAVITA</item>
    </derivirana_varijabla>
  </DomainObject.Predmet.ProtuStrankaListNazivFormated>
  <DomainObject.Predmet.ProtuStrankaListNazivFormatedOIB>
    <izvorni_sadrzaj>
      <item>Dom za starije i nemoćne osobe LAVITA, OIB 06651695514</item>
    </izvorni_sadrzaj>
    <derivirana_varijabla naziv="DomainObject.Predmet.ProtuStrankaListNazivFormatedOIB_1">
      <item>Dom za starije i nemoćne osobe LAVITA, OIB 06651695514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>St-243/2015-2</izvorni_sadrzaj>
    <derivirana_varijabla naziv="DomainObject.PoslovniBrojDokumenta_1">St-243/2015-2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Dom za starije i nemoćne osobe LAVITA</izvorni_sadrzaj>
    <derivirana_varijabla naziv="DomainObject.Predmet.ProtustrankaIDrugi_1">Dom za starije i nemoćne osobe LAVITA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Dom za starije i nemoćne osobe LAVITA, OIB 06651695514, Crno 32, 23000 Zadar</izvorni_sadrzaj>
    <derivirana_varijabla naziv="DomainObject.Predmet.ProtustrankaIDrugiAdressOIB_1">Dom za starije i nemoćne osobe LAVITA, OIB 06651695514, Crno 32,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Dom za starije i nemoćne osobe LAVITA</item>
    </izvorni_sadrzaj>
    <derivirana_varijabla naziv="DomainObject.Predmet.SudioniciListNaziv_1">
      <item>FINA</item>
      <item>Dom za starije i nemoćne osobe LAVITA</item>
    </derivirana_varijabla>
  </DomainObject.Predmet.SudioniciListNaziv>
  <DomainObject.Predmet.SudioniciListAdressOIB>
    <izvorni_sadrzaj>
      <item>FINA, OIB 85821130368</item>
      <item>Dom za starije i nemoćne osobe LAVITA, OIB 06651695514, Crno 32,23000 Zadar</item>
    </izvorni_sadrzaj>
    <derivirana_varijabla naziv="DomainObject.Predmet.SudioniciListAdressOIB_1">
      <item>FINA, OIB 85821130368</item>
      <item>Dom za starije i nemoćne osobe LAVITA, OIB 06651695514, Crno 32,23000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AC6BD4-1A86-4D51-85AD-C4A1484303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535</properties:Words>
  <properties:Characters>2854</properties:Characters>
  <properties:Lines>88</properties:Lines>
  <properties:Paragraphs>29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2016-01-12T10:42:00Z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St-243/2015-2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