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f1ea4e" w14:paraId="4f1ea4e" w:rsidRDefault="00F54550" w:rsidP="0020721B" w:rsidR="0020721B" w:rsidRPr="0020721B">
      <w:pPr>
        <w15:collapsed w:val="false"/>
        <w:rPr>
          <w:sz w:val="24"/>
          <w:lang w:val="en-GB"/>
        </w:rPr>
      </w:pPr>
      <w:bookmarkStart w:name="_GoBack" w:id="0"/>
      <w:bookmarkEnd w:id="0"/>
      <w:r w:rsidRPr="00CA4BCF">
        <w:rPr>
          <w:color w:val="FF0000"/>
          <w:sz w:val="24"/>
          <w:szCs w:val="24"/>
        </w:rPr>
        <w:t xml:space="preserve">  </w:t>
      </w:r>
      <w:r w:rsidR="0020721B" w:rsidRPr="0020721B">
        <w:rPr>
          <w:noProof/>
          <w:sz w:val="24"/>
        </w:rPr>
        <w:drawing>
          <wp:inline distR="0" distL="0" distB="0" distT="0">
            <wp:extent cy="723900" cx="577850"/>
            <wp:effectExtent b="0" r="0" t="0" l="0"/>
            <wp:docPr descr="cid:image001.jpg@01C5F68A.E0453980" name="Slika 2" id="2"/>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77850"/>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AE2B42" w:rsidR="0020721B" w:rsidRPr="0020721B">
        <w:tc>
          <w:tcPr>
            <w:tcW w:type="dxa" w:w="3060"/>
          </w:tcPr>
          <w:p w:rsidRDefault="0020721B" w:rsidP="0020721B" w:rsidR="0020721B" w:rsidRPr="0020721B">
            <w:pPr>
              <w:keepNext/>
              <w:tabs>
                <w:tab w:pos="2520" w:val="center"/>
                <w:tab w:pos="6840" w:val="left"/>
              </w:tabs>
              <w:overflowPunct/>
              <w:autoSpaceDE/>
              <w:autoSpaceDN/>
              <w:adjustRightInd/>
              <w:outlineLvl w:val="1"/>
              <w:rPr>
                <w:sz w:val="24"/>
                <w:szCs w:val="24"/>
              </w:rPr>
            </w:pPr>
            <w:r w:rsidRPr="0020721B">
              <w:rPr>
                <w:sz w:val="24"/>
                <w:szCs w:val="24"/>
              </w:rPr>
              <w:t>REPUBLIKA HRVATSKA</w:t>
            </w:r>
          </w:p>
          <w:p w:rsidRDefault="0020721B" w:rsidP="0020721B" w:rsidR="0020721B" w:rsidRPr="0020721B">
            <w:pPr>
              <w:overflowPunct/>
              <w:autoSpaceDE/>
              <w:autoSpaceDN/>
              <w:adjustRightInd/>
              <w:rPr>
                <w:sz w:val="24"/>
                <w:szCs w:val="24"/>
                <w:lang w:val="en-GB"/>
              </w:rPr>
            </w:pPr>
            <w:r w:rsidRPr="0020721B">
              <w:rPr>
                <w:sz w:val="24"/>
                <w:szCs w:val="24"/>
                <w:lang w:val="en-GB"/>
              </w:rPr>
              <w:t>Trgovački sud u Zagrebu</w:t>
            </w:r>
          </w:p>
          <w:p w:rsidRDefault="0020721B" w:rsidP="0020721B" w:rsidR="0020721B" w:rsidRPr="0020721B">
            <w:pPr>
              <w:overflowPunct/>
              <w:autoSpaceDE/>
              <w:autoSpaceDN/>
              <w:adjustRightInd/>
              <w:rPr>
                <w:sz w:val="24"/>
                <w:szCs w:val="24"/>
                <w:lang w:val="en-GB"/>
              </w:rPr>
            </w:pPr>
            <w:r w:rsidRPr="0020721B">
              <w:rPr>
                <w:sz w:val="24"/>
                <w:szCs w:val="24"/>
                <w:lang w:val="en-GB"/>
              </w:rPr>
              <w:t>Zagreb, Amruševa 2/II</w:t>
            </w:r>
          </w:p>
        </w:tc>
      </w:tr>
    </w:tbl>
    <w:p w:rsidRDefault="0020721B" w:rsidP="0020721B" w:rsidR="0020721B" w:rsidRPr="0020721B">
      <w:pPr>
        <w:overflowPunct/>
        <w:autoSpaceDE/>
        <w:autoSpaceDN/>
        <w:adjustRightInd/>
        <w:rPr>
          <w:sz w:val="24"/>
          <w:lang w:val="en-GB"/>
        </w:rPr>
      </w:pPr>
      <w:r w:rsidRPr="0020721B">
        <w:rPr>
          <w:b/>
          <w:sz w:val="24"/>
          <w:lang w:val="en-GB"/>
        </w:rPr>
        <w:tab/>
      </w:r>
      <w:r w:rsidRPr="0020721B">
        <w:rPr>
          <w:b/>
          <w:sz w:val="24"/>
          <w:lang w:val="en-GB"/>
        </w:rPr>
        <w:tab/>
      </w:r>
      <w:r w:rsidRPr="0020721B">
        <w:rPr>
          <w:b/>
          <w:sz w:val="24"/>
          <w:lang w:val="en-GB"/>
        </w:rPr>
        <w:tab/>
      </w:r>
      <w:r w:rsidRPr="0020721B">
        <w:rPr>
          <w:b/>
          <w:sz w:val="24"/>
          <w:lang w:val="en-GB"/>
        </w:rPr>
        <w:tab/>
      </w:r>
      <w:r w:rsidRPr="0020721B">
        <w:rPr>
          <w:b/>
          <w:sz w:val="24"/>
          <w:lang w:val="en-GB"/>
        </w:rPr>
        <w:tab/>
      </w:r>
      <w:r w:rsidRPr="0020721B">
        <w:rPr>
          <w:b/>
          <w:sz w:val="24"/>
          <w:lang w:val="en-GB"/>
        </w:rPr>
        <w:tab/>
      </w:r>
      <w:r w:rsidRPr="0020721B">
        <w:rPr>
          <w:b/>
          <w:sz w:val="24"/>
          <w:lang w:val="en-GB"/>
        </w:rPr>
        <w:tab/>
      </w:r>
      <w:r w:rsidRPr="0020721B">
        <w:rPr>
          <w:b/>
          <w:sz w:val="24"/>
          <w:lang w:val="en-GB"/>
        </w:rPr>
        <w:tab/>
      </w:r>
      <w:r w:rsidRPr="0020721B">
        <w:rPr>
          <w:b/>
          <w:sz w:val="24"/>
          <w:lang w:val="en-GB"/>
        </w:rPr>
        <w:tab/>
        <w:t xml:space="preserve">  </w:t>
      </w:r>
      <w:r w:rsidR="0049500C">
        <w:rPr>
          <w:b/>
          <w:sz w:val="24"/>
          <w:lang w:val="en-GB"/>
        </w:rPr>
        <w:t xml:space="preserve">     </w:t>
      </w:r>
      <w:r w:rsidR="00147F72">
        <w:rPr>
          <w:b/>
          <w:sz w:val="24"/>
          <w:lang w:val="en-GB"/>
        </w:rPr>
        <w:t xml:space="preserve">   </w:t>
      </w:r>
      <w:r w:rsidR="0049500C">
        <w:rPr>
          <w:b/>
          <w:sz w:val="24"/>
          <w:lang w:val="en-GB"/>
        </w:rPr>
        <w:t xml:space="preserve"> </w:t>
      </w:r>
      <w:r w:rsidRPr="0020721B">
        <w:rPr>
          <w:sz w:val="24"/>
          <w:lang w:val="en-GB"/>
        </w:rPr>
        <w:t>72.</w:t>
      </w:r>
      <w:r w:rsidRPr="0020721B">
        <w:rPr>
          <w:b/>
          <w:sz w:val="24"/>
          <w:lang w:val="en-GB"/>
        </w:rPr>
        <w:t xml:space="preserve"> </w:t>
      </w:r>
      <w:r w:rsidRPr="0020721B">
        <w:rPr>
          <w:sz w:val="24"/>
          <w:lang w:val="en-GB"/>
        </w:rPr>
        <w:t>St-</w:t>
      </w:r>
      <w:r w:rsidR="00A73D3C">
        <w:rPr>
          <w:sz w:val="24"/>
          <w:lang w:val="en-GB"/>
        </w:rPr>
        <w:t>570</w:t>
      </w:r>
      <w:r w:rsidR="003A60E6">
        <w:rPr>
          <w:sz w:val="24"/>
          <w:lang w:val="en-GB"/>
        </w:rPr>
        <w:t>/2016</w:t>
      </w:r>
      <w:r w:rsidR="001E63D9">
        <w:rPr>
          <w:sz w:val="24"/>
          <w:lang w:val="en-GB"/>
        </w:rPr>
        <w:t>-6</w:t>
      </w:r>
    </w:p>
    <w:p w:rsidRDefault="0020721B" w:rsidP="0020721B" w:rsidR="0020721B" w:rsidRPr="0020721B">
      <w:pPr>
        <w:overflowPunct/>
        <w:autoSpaceDE/>
        <w:autoSpaceDN/>
        <w:adjustRightInd/>
        <w:jc w:val="center"/>
        <w:rPr>
          <w:sz w:val="24"/>
          <w:szCs w:val="24"/>
        </w:rPr>
      </w:pPr>
    </w:p>
    <w:p w:rsidRDefault="0020721B" w:rsidP="0020721B" w:rsidR="0020721B" w:rsidRPr="0020721B">
      <w:pPr>
        <w:overflowPunct/>
        <w:autoSpaceDE/>
        <w:autoSpaceDN/>
        <w:adjustRightInd/>
        <w:jc w:val="center"/>
        <w:rPr>
          <w:sz w:val="24"/>
          <w:szCs w:val="24"/>
        </w:rPr>
      </w:pPr>
      <w:r w:rsidRPr="0020721B">
        <w:rPr>
          <w:sz w:val="24"/>
          <w:szCs w:val="24"/>
        </w:rPr>
        <w:t>R E P U B L I K A    H R V A T S K A</w:t>
      </w:r>
    </w:p>
    <w:p w:rsidRDefault="0049500C" w:rsidP="00A73D3C" w:rsidR="00B32D8D" w:rsidRPr="00B32D8D">
      <w:pPr>
        <w:overflowPunct/>
        <w:autoSpaceDE/>
        <w:autoSpaceDN/>
        <w:adjustRightInd/>
        <w:jc w:val="center"/>
        <w:rPr>
          <w:sz w:val="24"/>
          <w:szCs w:val="24"/>
        </w:rPr>
      </w:pPr>
      <w:r>
        <w:rPr>
          <w:sz w:val="24"/>
          <w:szCs w:val="24"/>
        </w:rPr>
        <w:t>Z A K L J U Č A K</w:t>
      </w:r>
    </w:p>
    <w:p w:rsidRDefault="00A73D3C" w:rsidP="00A73D3C" w:rsidR="00A73D3C" w:rsidRPr="00A73D3C">
      <w:pPr>
        <w:jc w:val="both"/>
        <w:rPr>
          <w:sz w:val="24"/>
          <w:szCs w:val="24"/>
        </w:rPr>
      </w:pPr>
    </w:p>
    <w:p w:rsidRDefault="00A73D3C" w:rsidP="00B32D8D" w:rsidR="00FF5C38" w:rsidRPr="00B32D8D">
      <w:pPr>
        <w:jc w:val="both"/>
        <w:rPr>
          <w:sz w:val="24"/>
          <w:szCs w:val="24"/>
        </w:rPr>
      </w:pPr>
      <w:r w:rsidRPr="00A73D3C">
        <w:rPr>
          <w:sz w:val="24"/>
          <w:szCs w:val="24"/>
        </w:rPr>
        <w:t>Trgovački sud u Zagrebu, po sucu Nikoli Ribariću, u stečajnom predmetu u povodu zahtjeva FINANCIJSKE AGENCIJE, za provedbu skraćenog stečajnog postupka nad dužnikom MERKUR-ART d.o.o., Zagreb (Grad Zagreb), Kudekov put 5/4, OIB: 24991871865, dana 17. ožujka 2016.,</w:t>
      </w:r>
      <w:r w:rsidRPr="00B32D8D">
        <w:rPr>
          <w:sz w:val="24"/>
          <w:szCs w:val="24"/>
          <w:lang w:val="en-GB"/>
        </w:rPr>
        <w:t xml:space="preserve"> </w:t>
      </w:r>
      <w:r w:rsidR="003A60E6" w:rsidRPr="00B32D8D">
        <w:rPr>
          <w:sz w:val="24"/>
          <w:szCs w:val="24"/>
          <w:lang w:val="en-GB"/>
        </w:rPr>
        <w:t>dana 21. travnja 2016.,</w:t>
      </w:r>
    </w:p>
    <w:p w:rsidRDefault="0019676B" w:rsidP="00B4748A" w:rsidR="0019676B" w:rsidRPr="00CA4BCF">
      <w:pPr>
        <w:jc w:val="both"/>
        <w:rPr>
          <w:sz w:val="24"/>
          <w:szCs w:val="24"/>
        </w:rPr>
      </w:pPr>
    </w:p>
    <w:p w:rsidRDefault="00F54550" w:rsidP="00603F5E" w:rsidR="00F54550">
      <w:pPr>
        <w:jc w:val="center"/>
        <w:rPr>
          <w:sz w:val="24"/>
          <w:szCs w:val="24"/>
        </w:rPr>
      </w:pPr>
      <w:r>
        <w:rPr>
          <w:sz w:val="24"/>
          <w:szCs w:val="24"/>
        </w:rPr>
        <w:t>z a k l j u č i o   j e</w:t>
      </w:r>
    </w:p>
    <w:p w:rsidRDefault="00F54550" w:rsidP="00F54550" w:rsidR="00F54550">
      <w:pPr>
        <w:jc w:val="center"/>
        <w:rPr>
          <w:b/>
          <w:sz w:val="24"/>
          <w:szCs w:val="24"/>
        </w:rPr>
      </w:pPr>
    </w:p>
    <w:p w:rsidRDefault="00F54550" w:rsidP="00FE7435" w:rsidR="00FE7435" w:rsidRPr="00FE7435">
      <w:pPr>
        <w:pStyle w:val="Odlomakpopisa"/>
        <w:numPr>
          <w:ilvl w:val="0"/>
          <w:numId w:val="1"/>
        </w:numPr>
        <w:jc w:val="both"/>
      </w:pPr>
      <w:r w:rsidRPr="00FE7435">
        <w:t xml:space="preserve">Pozivaju  se osobe ovlaštene za zastupanje dužnika po zakonu </w:t>
      </w:r>
    </w:p>
    <w:p w:rsidRDefault="00FE7435" w:rsidP="00FE7435" w:rsidR="00FE7435" w:rsidRPr="00FE7435">
      <w:pPr>
        <w:jc w:val="both"/>
        <w:rPr>
          <w:sz w:val="24"/>
          <w:szCs w:val="24"/>
        </w:rPr>
      </w:pPr>
    </w:p>
    <w:p w:rsidRDefault="00A73D3C" w:rsidP="00A73D3C" w:rsidR="00A73D3C" w:rsidRPr="00A73D3C">
      <w:pPr>
        <w:jc w:val="both"/>
        <w:rPr>
          <w:sz w:val="24"/>
          <w:szCs w:val="24"/>
        </w:rPr>
      </w:pPr>
      <w:r w:rsidRPr="00A73D3C">
        <w:rPr>
          <w:sz w:val="24"/>
          <w:szCs w:val="24"/>
        </w:rPr>
        <w:t>Z</w:t>
      </w:r>
      <w:r>
        <w:rPr>
          <w:sz w:val="24"/>
          <w:szCs w:val="24"/>
        </w:rPr>
        <w:t>oran Mitrović, OIB: 60401659592</w:t>
      </w:r>
    </w:p>
    <w:p w:rsidRDefault="00A73D3C" w:rsidP="00A73D3C" w:rsidR="00B32D8D">
      <w:pPr>
        <w:jc w:val="both"/>
        <w:rPr>
          <w:sz w:val="24"/>
          <w:szCs w:val="24"/>
        </w:rPr>
      </w:pPr>
      <w:r w:rsidRPr="00A73D3C">
        <w:rPr>
          <w:sz w:val="24"/>
          <w:szCs w:val="24"/>
        </w:rPr>
        <w:t>Bol, Murvica bb</w:t>
      </w:r>
    </w:p>
    <w:p w:rsidRDefault="00A73D3C" w:rsidP="00A73D3C" w:rsidR="00A73D3C" w:rsidRPr="00B4748A">
      <w:pPr>
        <w:jc w:val="both"/>
        <w:rPr>
          <w:sz w:val="24"/>
          <w:szCs w:val="24"/>
        </w:rPr>
      </w:pPr>
    </w:p>
    <w:p w:rsidRDefault="00B4748A" w:rsidP="00B4748A" w:rsidR="00F54550" w:rsidRPr="00FE7435">
      <w:pPr>
        <w:jc w:val="both"/>
        <w:rPr>
          <w:sz w:val="24"/>
          <w:szCs w:val="24"/>
        </w:rPr>
      </w:pPr>
      <w:r w:rsidRPr="00B4748A">
        <w:rPr>
          <w:sz w:val="24"/>
          <w:szCs w:val="24"/>
        </w:rPr>
        <w:t xml:space="preserve"> </w:t>
      </w:r>
      <w:r w:rsidR="00F54550" w:rsidRPr="00FE7435">
        <w:rPr>
          <w:sz w:val="24"/>
          <w:szCs w:val="24"/>
        </w:rPr>
        <w:t xml:space="preserve">u roku od 15 dana,  dostaviti sudu javnobilježnički ovjerovljen popis imovine i obveza na propisanom obrascu. </w:t>
      </w:r>
    </w:p>
    <w:p w:rsidRDefault="00F54550" w:rsidP="00F54550" w:rsidR="00F54550" w:rsidRPr="00FE7435">
      <w:pPr>
        <w:rPr>
          <w:sz w:val="24"/>
          <w:szCs w:val="24"/>
        </w:rPr>
      </w:pPr>
    </w:p>
    <w:p w:rsidRDefault="00F54550" w:rsidP="00F54550" w:rsidR="00F54550" w:rsidRPr="00FE7435">
      <w:pPr>
        <w:jc w:val="both"/>
        <w:rPr>
          <w:sz w:val="24"/>
          <w:szCs w:val="24"/>
          <w:lang w:val="de-DE"/>
        </w:rPr>
      </w:pPr>
      <w:r w:rsidRPr="00FE7435">
        <w:rPr>
          <w:sz w:val="24"/>
          <w:szCs w:val="24"/>
        </w:rPr>
        <w:tab/>
        <w:t>II.</w:t>
      </w:r>
      <w:r w:rsidRPr="00FE7435">
        <w:rPr>
          <w:sz w:val="24"/>
          <w:szCs w:val="24"/>
          <w:lang w:val="de-DE"/>
        </w:rPr>
        <w:t xml:space="preserve"> Isti se upozoravaju da se davanjem netočnih i nepotpunih podataka izlažu odgovornosti kao za lažan iskaz pred sudom. </w:t>
      </w:r>
    </w:p>
    <w:p w:rsidRDefault="00F54550" w:rsidP="00F54550" w:rsidR="00F54550">
      <w:pPr>
        <w:rPr>
          <w:sz w:val="24"/>
          <w:szCs w:val="24"/>
        </w:rPr>
      </w:pPr>
    </w:p>
    <w:p w:rsidRDefault="00F54550" w:rsidP="00F54550" w:rsidR="00F54550">
      <w:pPr>
        <w:jc w:val="center"/>
        <w:rPr>
          <w:sz w:val="24"/>
          <w:szCs w:val="24"/>
        </w:rPr>
      </w:pPr>
      <w:r>
        <w:rPr>
          <w:sz w:val="24"/>
          <w:szCs w:val="24"/>
        </w:rPr>
        <w:t>Obrazloženje</w:t>
      </w:r>
    </w:p>
    <w:p w:rsidRDefault="00F54550" w:rsidP="00F54550" w:rsidR="00F54550">
      <w:pPr>
        <w:jc w:val="center"/>
        <w:rPr>
          <w:sz w:val="24"/>
          <w:szCs w:val="24"/>
        </w:rPr>
      </w:pPr>
    </w:p>
    <w:p w:rsidRDefault="00F54550" w:rsidP="00F54550" w:rsidR="00F54550">
      <w:pPr>
        <w:jc w:val="both"/>
        <w:rPr>
          <w:sz w:val="24"/>
          <w:szCs w:val="24"/>
          <w:lang w:val="en-GB"/>
        </w:rPr>
      </w:pPr>
      <w:r>
        <w:rPr>
          <w:color w:val="FF0000"/>
          <w:sz w:val="24"/>
          <w:szCs w:val="24"/>
        </w:rPr>
        <w:tab/>
      </w:r>
      <w:r>
        <w:rPr>
          <w:sz w:val="24"/>
          <w:szCs w:val="24"/>
          <w:lang w:val="en-GB"/>
        </w:rPr>
        <w:t>Financijska agencija podnijela je, na temelju odredbe čl. 444. st. 1. Stečajnog zakona (“Narodne novine” broj 71/15, dalje: SZ), zahtjev za provedbu skraćenog stečajnog postupka nad dužnikom</w:t>
      </w:r>
      <w:r w:rsidR="00603F5E">
        <w:rPr>
          <w:sz w:val="24"/>
          <w:szCs w:val="24"/>
          <w:lang w:val="en-GB"/>
        </w:rPr>
        <w:t>.</w:t>
      </w:r>
      <w:r>
        <w:rPr>
          <w:sz w:val="24"/>
          <w:szCs w:val="24"/>
          <w:lang w:val="en-GB"/>
        </w:rPr>
        <w:t xml:space="preserve"> </w:t>
      </w:r>
    </w:p>
    <w:p w:rsidRDefault="00F54550" w:rsidP="00F54550" w:rsidR="00F54550">
      <w:pPr>
        <w:jc w:val="both"/>
        <w:rPr>
          <w:sz w:val="24"/>
          <w:szCs w:val="24"/>
        </w:rPr>
      </w:pPr>
    </w:p>
    <w:p w:rsidRDefault="00F54550" w:rsidP="00F54550" w:rsidR="00F54550">
      <w:pPr>
        <w:jc w:val="both"/>
        <w:rPr>
          <w:sz w:val="24"/>
          <w:szCs w:val="24"/>
        </w:rPr>
      </w:pPr>
      <w:r>
        <w:rPr>
          <w:sz w:val="24"/>
          <w:szCs w:val="24"/>
        </w:rPr>
        <w:tab/>
        <w:t xml:space="preserve">Sud je rješenjem od </w:t>
      </w:r>
      <w:r w:rsidR="00B32D8D">
        <w:rPr>
          <w:sz w:val="24"/>
          <w:szCs w:val="24"/>
        </w:rPr>
        <w:t>17</w:t>
      </w:r>
      <w:r>
        <w:rPr>
          <w:sz w:val="24"/>
          <w:szCs w:val="24"/>
        </w:rPr>
        <w:t>.</w:t>
      </w:r>
      <w:r w:rsidR="001022A9">
        <w:rPr>
          <w:sz w:val="24"/>
          <w:szCs w:val="24"/>
        </w:rPr>
        <w:t xml:space="preserve"> ožujka</w:t>
      </w:r>
      <w:r>
        <w:rPr>
          <w:sz w:val="24"/>
          <w:szCs w:val="24"/>
        </w:rPr>
        <w:t xml:space="preserve"> 201</w:t>
      </w:r>
      <w:r w:rsidR="00FE7435">
        <w:rPr>
          <w:sz w:val="24"/>
          <w:szCs w:val="24"/>
        </w:rPr>
        <w:t>6</w:t>
      </w:r>
      <w:r>
        <w:rPr>
          <w:sz w:val="24"/>
          <w:szCs w:val="24"/>
        </w:rPr>
        <w:t xml:space="preserve">. pokrenuo nad dužnikom skraćeni stečajni postupak te je, potom, na temelju odredbe čl. 430. SZ-a na mrežnoj stranici e-oglasna ploča Trgovačkog suda u Zagrebu objavio oglas, koji sadržava: </w:t>
      </w:r>
    </w:p>
    <w:p w:rsidRDefault="00F54550" w:rsidP="00F54550" w:rsidR="00F54550">
      <w:pPr>
        <w:jc w:val="both"/>
        <w:rPr>
          <w:sz w:val="24"/>
          <w:szCs w:val="24"/>
        </w:rPr>
      </w:pPr>
    </w:p>
    <w:p w:rsidRDefault="00F54550" w:rsidP="00F54550" w:rsidR="00F54550">
      <w:pPr>
        <w:ind w:firstLine="708"/>
        <w:jc w:val="both"/>
        <w:rPr>
          <w:sz w:val="24"/>
          <w:szCs w:val="24"/>
        </w:rPr>
      </w:pPr>
      <w:r>
        <w:rPr>
          <w:sz w:val="24"/>
          <w:szCs w:val="24"/>
        </w:rPr>
        <w:t xml:space="preserve">-poziv osobama ovlaštenim za zastupanje dužnika po zakonu, u roku 15 dana od dana objave oglasa, pozivom na gornji broj spisa, podnijeti sudu javnobilježnički ovjerovljen popis imovine i obveza na propisanom obrascu, te </w:t>
      </w:r>
    </w:p>
    <w:p w:rsidRDefault="00F54550" w:rsidP="00F54550" w:rsidR="00F54550">
      <w:pPr>
        <w:pStyle w:val="Odlomakpopisa"/>
        <w:ind w:firstLine="708" w:left="0"/>
        <w:jc w:val="both"/>
      </w:pPr>
      <w:r>
        <w:t xml:space="preserve">-upozorenje: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F54550" w:rsidP="00F54550" w:rsidR="00F54550">
      <w:pPr>
        <w:pStyle w:val="Odlomakpopisa"/>
        <w:ind w:firstLine="708" w:left="0"/>
        <w:jc w:val="both"/>
      </w:pPr>
      <w:r>
        <w:t>-sud po službenoj dužnosti donijeti rješenje o otvaranju i zaključenju skraćenog stečajnog postupka.</w:t>
      </w:r>
    </w:p>
    <w:p w:rsidRDefault="00F54550" w:rsidP="00F54550" w:rsidR="00F54550">
      <w:pPr>
        <w:pStyle w:val="Odlomakpopisa"/>
        <w:ind w:firstLine="708" w:left="0"/>
        <w:jc w:val="both"/>
      </w:pPr>
    </w:p>
    <w:p w:rsidRDefault="00F54550" w:rsidP="00F54550" w:rsidR="00F54550">
      <w:pPr>
        <w:jc w:val="both"/>
        <w:rPr>
          <w:sz w:val="24"/>
          <w:szCs w:val="24"/>
        </w:rPr>
      </w:pPr>
      <w:r>
        <w:rPr>
          <w:sz w:val="24"/>
          <w:szCs w:val="24"/>
        </w:rPr>
        <w:lastRenderedPageBreak/>
        <w:tab/>
        <w:t>Odredbom čl. 11. st. 3. SZ-a propisano je da sud po službenoj dužnosti utvrđuje sve činjenice koje su važne za stečajni postupak, te radi toga može izvoditi sve potrebne dokaze.</w:t>
      </w:r>
    </w:p>
    <w:p w:rsidRDefault="00F54550" w:rsidP="00F54550" w:rsidR="00F54550">
      <w:pPr>
        <w:jc w:val="both"/>
        <w:rPr>
          <w:sz w:val="24"/>
          <w:szCs w:val="24"/>
        </w:rPr>
      </w:pPr>
    </w:p>
    <w:p w:rsidRDefault="00F54550" w:rsidP="00FE7435" w:rsidR="00F54550">
      <w:pPr>
        <w:jc w:val="both"/>
        <w:rPr>
          <w:sz w:val="24"/>
          <w:szCs w:val="24"/>
        </w:rPr>
      </w:pPr>
      <w:r>
        <w:rPr>
          <w:sz w:val="24"/>
          <w:szCs w:val="24"/>
        </w:rPr>
        <w:tab/>
        <w:t>S obzirom na to da o podacima o imovini dužnika ovisi daljnji tijek ovog postupka, sud je odlučio kao u izreci zaključka.</w:t>
      </w:r>
    </w:p>
    <w:p w:rsidRDefault="00F54550" w:rsidP="00F54550" w:rsidR="00F54550">
      <w:pPr>
        <w:jc w:val="both"/>
        <w:rPr>
          <w:sz w:val="24"/>
          <w:szCs w:val="24"/>
        </w:rPr>
      </w:pPr>
    </w:p>
    <w:p w:rsidRDefault="00DD37AC" w:rsidP="00F54550" w:rsidR="00F54550">
      <w:pPr>
        <w:jc w:val="center"/>
        <w:rPr>
          <w:sz w:val="24"/>
          <w:szCs w:val="24"/>
        </w:rPr>
      </w:pPr>
      <w:r>
        <w:rPr>
          <w:sz w:val="24"/>
          <w:szCs w:val="24"/>
        </w:rPr>
        <w:t xml:space="preserve">U Zagrebu </w:t>
      </w:r>
      <w:r w:rsidR="001022A9">
        <w:rPr>
          <w:sz w:val="24"/>
          <w:szCs w:val="24"/>
        </w:rPr>
        <w:t>2</w:t>
      </w:r>
      <w:r w:rsidR="003A60E6">
        <w:rPr>
          <w:sz w:val="24"/>
          <w:szCs w:val="24"/>
        </w:rPr>
        <w:t>1</w:t>
      </w:r>
      <w:r w:rsidR="00F54550">
        <w:rPr>
          <w:sz w:val="24"/>
          <w:szCs w:val="24"/>
        </w:rPr>
        <w:t>.</w:t>
      </w:r>
      <w:r w:rsidR="00603F5E">
        <w:rPr>
          <w:sz w:val="24"/>
          <w:szCs w:val="24"/>
        </w:rPr>
        <w:t xml:space="preserve"> </w:t>
      </w:r>
      <w:r w:rsidR="001022A9">
        <w:rPr>
          <w:sz w:val="24"/>
          <w:szCs w:val="24"/>
        </w:rPr>
        <w:t>travnja</w:t>
      </w:r>
      <w:r w:rsidR="00F54550">
        <w:rPr>
          <w:sz w:val="24"/>
          <w:szCs w:val="24"/>
        </w:rPr>
        <w:t xml:space="preserve"> 2016.</w:t>
      </w:r>
    </w:p>
    <w:p w:rsidRDefault="00F54550" w:rsidP="00F54550" w:rsidR="00F54550">
      <w:pPr>
        <w:jc w:val="center"/>
        <w:rPr>
          <w:color w:val="FF0000"/>
          <w:sz w:val="24"/>
          <w:szCs w:val="24"/>
        </w:rPr>
      </w:pPr>
    </w:p>
    <w:p w:rsidRDefault="001E63D9" w:rsidP="00E91121" w:rsidR="001E63D9">
      <w:pPr>
        <w:pStyle w:val="Podnaslov"/>
        <w:ind w:firstLine="708" w:left="4956"/>
        <w:rPr>
          <w:rFonts w:hAnsi="Times New Roman" w:ascii="Times New Roman"/>
          <w:b w:val="false"/>
          <w:color w:val="auto"/>
          <w:szCs w:val="24"/>
        </w:rPr>
      </w:pPr>
      <w:r>
        <w:rPr>
          <w:rFonts w:hAnsi="Times New Roman" w:ascii="Times New Roman"/>
          <w:b w:val="false"/>
          <w:color w:val="auto"/>
          <w:szCs w:val="24"/>
        </w:rPr>
        <w:t>Stečajni sudac:</w:t>
      </w:r>
    </w:p>
    <w:p w:rsidRDefault="001E63D9" w:rsidP="00E91121" w:rsidR="001E63D9">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1E63D9" w:rsidP="00E91121" w:rsidR="001E63D9">
      <w:pPr>
        <w:pStyle w:val="Podnaslov"/>
        <w:ind w:firstLine="720" w:left="4320"/>
        <w:rPr>
          <w:rFonts w:hAnsi="Times New Roman" w:ascii="Times New Roman"/>
          <w:b w:val="false"/>
          <w:color w:val="auto"/>
          <w:szCs w:val="24"/>
        </w:rPr>
      </w:pPr>
    </w:p>
    <w:p w:rsidRDefault="001E63D9" w:rsidP="00E91121" w:rsidR="001E63D9">
      <w:pPr>
        <w:pStyle w:val="Podnaslov"/>
        <w:ind w:left="4320"/>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1E63D9" w:rsidP="00E91121" w:rsidR="001E63D9"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147F72" w:rsidP="001E63D9" w:rsidR="00147F72" w:rsidRPr="00FC1355">
      <w:pPr>
        <w:pStyle w:val="Podnaslov"/>
        <w:ind w:firstLine="708" w:left="4956"/>
        <w:rPr>
          <w:rFonts w:hAnsi="Times New Roman" w:ascii="Times New Roman"/>
          <w:b w:val="false"/>
          <w:color w:val="auto"/>
          <w:szCs w:val="24"/>
        </w:rPr>
      </w:pPr>
      <w:r>
        <w:rPr>
          <w:rFonts w:hAnsi="Times New Roman" w:ascii="Times New Roman"/>
          <w:b w:val="false"/>
          <w:color w:val="auto"/>
          <w:szCs w:val="24"/>
        </w:rPr>
        <w:t xml:space="preserve"> </w:t>
      </w:r>
    </w:p>
    <w:p w:rsidRDefault="0049500C" w:rsidP="001022A9" w:rsidR="0049500C" w:rsidRPr="00FC1355">
      <w:pPr>
        <w:pStyle w:val="Podnaslov"/>
        <w:ind w:firstLine="708" w:left="4956"/>
        <w:rPr>
          <w:rFonts w:hAnsi="Times New Roman" w:ascii="Times New Roman"/>
          <w:b w:val="false"/>
          <w:color w:val="auto"/>
          <w:szCs w:val="24"/>
        </w:rPr>
      </w:pPr>
    </w:p>
    <w:p w:rsidRDefault="00F54550" w:rsidP="00CA4BCF" w:rsidR="00F54550">
      <w:pPr>
        <w:pStyle w:val="Podnaslov"/>
        <w:ind w:firstLine="708" w:left="4956"/>
        <w:rPr>
          <w:szCs w:val="24"/>
        </w:rPr>
      </w:pPr>
    </w:p>
    <w:p w:rsidRDefault="000F3603" w:rsidP="00F54550" w:rsidR="000F3603">
      <w:pPr>
        <w:jc w:val="both"/>
        <w:rPr>
          <w:sz w:val="24"/>
          <w:szCs w:val="24"/>
        </w:rPr>
      </w:pPr>
    </w:p>
    <w:p w:rsidRDefault="00F54550" w:rsidP="00F54550" w:rsidR="00F54550">
      <w:pPr>
        <w:jc w:val="both"/>
        <w:rPr>
          <w:sz w:val="24"/>
          <w:szCs w:val="24"/>
        </w:rPr>
      </w:pPr>
      <w:r>
        <w:rPr>
          <w:sz w:val="24"/>
          <w:szCs w:val="24"/>
        </w:rPr>
        <w:t>Uputa o pravnom lijeku:</w:t>
      </w:r>
    </w:p>
    <w:p w:rsidRDefault="00F54550" w:rsidP="00F54550" w:rsidR="00F54550">
      <w:pPr>
        <w:jc w:val="both"/>
        <w:rPr>
          <w:sz w:val="24"/>
          <w:szCs w:val="24"/>
        </w:rPr>
      </w:pPr>
      <w:r>
        <w:rPr>
          <w:sz w:val="24"/>
          <w:szCs w:val="24"/>
        </w:rPr>
        <w:t xml:space="preserve">Protiv ovog zaključka  žalba nije dopuštena (čl. 19.stavak 7. SZ-a). </w:t>
      </w:r>
    </w:p>
    <w:p w:rsidRDefault="00AA3F7B" w:rsidP="00F54550" w:rsidR="00AA3F7B">
      <w:pPr>
        <w:jc w:val="both"/>
        <w:rPr>
          <w:sz w:val="24"/>
          <w:szCs w:val="24"/>
        </w:rPr>
      </w:pPr>
    </w:p>
    <w:p w:rsidRDefault="007D64A4" w:rsidP="00F54550" w:rsidR="007D64A4">
      <w:pPr>
        <w:jc w:val="both"/>
        <w:rPr>
          <w:sz w:val="24"/>
          <w:szCs w:val="24"/>
        </w:rPr>
      </w:pPr>
    </w:p>
    <w:p w:rsidRDefault="00147F72" w:rsidP="00F54550" w:rsidR="00147F72">
      <w:pPr>
        <w:jc w:val="both"/>
        <w:rPr>
          <w:sz w:val="24"/>
          <w:szCs w:val="24"/>
        </w:rPr>
      </w:pPr>
    </w:p>
    <w:p w:rsidRDefault="00147F72" w:rsidP="00F54550" w:rsidR="00147F72">
      <w:pPr>
        <w:jc w:val="both"/>
        <w:rPr>
          <w:sz w:val="24"/>
          <w:szCs w:val="24"/>
        </w:rPr>
      </w:pPr>
    </w:p>
    <w:p w:rsidRDefault="00147F72" w:rsidP="00F54550" w:rsidR="00147F72">
      <w:pPr>
        <w:jc w:val="both"/>
        <w:rPr>
          <w:sz w:val="24"/>
          <w:szCs w:val="24"/>
        </w:rPr>
      </w:pPr>
    </w:p>
    <w:p w:rsidRDefault="00147F72" w:rsidP="00F54550" w:rsidR="00147F72">
      <w:pPr>
        <w:jc w:val="both"/>
        <w:rPr>
          <w:sz w:val="24"/>
          <w:szCs w:val="24"/>
        </w:rPr>
      </w:pPr>
    </w:p>
    <w:p w:rsidRDefault="001E63D9" w:rsidP="00F54550" w:rsidR="001E63D9">
      <w:pPr>
        <w:jc w:val="both"/>
        <w:rPr>
          <w:sz w:val="24"/>
          <w:szCs w:val="24"/>
        </w:rPr>
      </w:pPr>
    </w:p>
    <w:p w:rsidRDefault="001E63D9" w:rsidP="00F54550" w:rsidR="001E63D9">
      <w:pPr>
        <w:jc w:val="both"/>
        <w:rPr>
          <w:sz w:val="24"/>
          <w:szCs w:val="24"/>
        </w:rPr>
      </w:pPr>
    </w:p>
    <w:p w:rsidRDefault="001E63D9" w:rsidP="00F54550" w:rsidR="001E63D9">
      <w:pPr>
        <w:jc w:val="both"/>
        <w:rPr>
          <w:sz w:val="24"/>
          <w:szCs w:val="24"/>
        </w:rPr>
      </w:pPr>
    </w:p>
    <w:p w:rsidRDefault="001E63D9" w:rsidP="00F54550" w:rsidR="001E63D9">
      <w:pPr>
        <w:jc w:val="both"/>
        <w:rPr>
          <w:sz w:val="24"/>
          <w:szCs w:val="24"/>
        </w:rPr>
      </w:pPr>
    </w:p>
    <w:p w:rsidRDefault="001E63D9" w:rsidP="00F54550" w:rsidR="001E63D9">
      <w:pPr>
        <w:jc w:val="both"/>
        <w:rPr>
          <w:sz w:val="24"/>
          <w:szCs w:val="24"/>
        </w:rPr>
      </w:pPr>
    </w:p>
    <w:p w:rsidRDefault="001E63D9" w:rsidP="00F54550" w:rsidR="001E63D9">
      <w:pPr>
        <w:jc w:val="both"/>
        <w:rPr>
          <w:sz w:val="24"/>
          <w:szCs w:val="24"/>
        </w:rPr>
      </w:pPr>
    </w:p>
    <w:p w:rsidRDefault="001E63D9" w:rsidP="00F54550" w:rsidR="001E63D9">
      <w:pPr>
        <w:jc w:val="both"/>
        <w:rPr>
          <w:sz w:val="24"/>
          <w:szCs w:val="24"/>
        </w:rPr>
      </w:pPr>
    </w:p>
    <w:p w:rsidRDefault="001E63D9" w:rsidP="00F54550" w:rsidR="001E63D9">
      <w:pPr>
        <w:jc w:val="both"/>
        <w:rPr>
          <w:sz w:val="24"/>
          <w:szCs w:val="24"/>
        </w:rPr>
      </w:pPr>
    </w:p>
    <w:p w:rsidRDefault="001E63D9" w:rsidP="00F54550" w:rsidR="001E63D9">
      <w:pPr>
        <w:jc w:val="both"/>
        <w:rPr>
          <w:sz w:val="24"/>
          <w:szCs w:val="24"/>
        </w:rPr>
      </w:pPr>
    </w:p>
    <w:p w:rsidRDefault="001E63D9" w:rsidP="00F54550" w:rsidR="001E63D9">
      <w:pPr>
        <w:jc w:val="both"/>
        <w:rPr>
          <w:sz w:val="24"/>
          <w:szCs w:val="24"/>
        </w:rPr>
      </w:pPr>
    </w:p>
    <w:p w:rsidRDefault="001E63D9" w:rsidP="00F54550" w:rsidR="001E63D9">
      <w:pPr>
        <w:jc w:val="both"/>
        <w:rPr>
          <w:sz w:val="24"/>
          <w:szCs w:val="24"/>
        </w:rPr>
      </w:pPr>
    </w:p>
    <w:p w:rsidRDefault="001E63D9" w:rsidP="00F54550" w:rsidR="001E63D9">
      <w:pPr>
        <w:jc w:val="both"/>
        <w:rPr>
          <w:sz w:val="24"/>
          <w:szCs w:val="24"/>
        </w:rPr>
      </w:pPr>
    </w:p>
    <w:p w:rsidRDefault="001E63D9" w:rsidP="00F54550" w:rsidR="001E63D9">
      <w:pPr>
        <w:jc w:val="both"/>
        <w:rPr>
          <w:sz w:val="24"/>
          <w:szCs w:val="24"/>
        </w:rPr>
      </w:pPr>
    </w:p>
    <w:p w:rsidRDefault="001E63D9" w:rsidP="00F54550" w:rsidR="001E63D9">
      <w:pPr>
        <w:jc w:val="both"/>
        <w:rPr>
          <w:sz w:val="24"/>
          <w:szCs w:val="24"/>
        </w:rPr>
      </w:pPr>
    </w:p>
    <w:p w:rsidRDefault="001E63D9" w:rsidP="00F54550" w:rsidR="001E63D9">
      <w:pPr>
        <w:jc w:val="both"/>
        <w:rPr>
          <w:sz w:val="24"/>
          <w:szCs w:val="24"/>
        </w:rPr>
      </w:pPr>
    </w:p>
    <w:p w:rsidRDefault="001E63D9" w:rsidP="00F54550" w:rsidR="001E63D9">
      <w:pPr>
        <w:jc w:val="both"/>
        <w:rPr>
          <w:sz w:val="24"/>
          <w:szCs w:val="24"/>
        </w:rPr>
      </w:pPr>
    </w:p>
    <w:p w:rsidRDefault="001E63D9" w:rsidP="00F54550" w:rsidR="001E63D9">
      <w:pPr>
        <w:jc w:val="both"/>
        <w:rPr>
          <w:sz w:val="24"/>
          <w:szCs w:val="24"/>
        </w:rPr>
      </w:pPr>
    </w:p>
    <w:p w:rsidRDefault="001E63D9" w:rsidP="00F54550" w:rsidR="001E63D9">
      <w:pPr>
        <w:jc w:val="both"/>
        <w:rPr>
          <w:sz w:val="24"/>
          <w:szCs w:val="24"/>
        </w:rPr>
      </w:pPr>
    </w:p>
    <w:p w:rsidRDefault="001E63D9" w:rsidP="00F54550" w:rsidR="001E63D9">
      <w:pPr>
        <w:jc w:val="both"/>
        <w:rPr>
          <w:sz w:val="24"/>
          <w:szCs w:val="24"/>
        </w:rPr>
      </w:pPr>
    </w:p>
    <w:p w:rsidRDefault="001E63D9" w:rsidP="00F54550" w:rsidR="001E63D9">
      <w:pPr>
        <w:jc w:val="both"/>
        <w:rPr>
          <w:sz w:val="24"/>
          <w:szCs w:val="24"/>
        </w:rPr>
      </w:pPr>
    </w:p>
    <w:p w:rsidRDefault="001E63D9" w:rsidP="00F54550" w:rsidR="001E63D9">
      <w:pPr>
        <w:jc w:val="both"/>
        <w:rPr>
          <w:sz w:val="24"/>
          <w:szCs w:val="24"/>
        </w:rPr>
      </w:pPr>
    </w:p>
    <w:p w:rsidRDefault="001E63D9" w:rsidP="00F54550" w:rsidR="001E63D9">
      <w:pPr>
        <w:jc w:val="both"/>
        <w:rPr>
          <w:sz w:val="24"/>
          <w:szCs w:val="24"/>
        </w:rPr>
      </w:pPr>
    </w:p>
    <w:p w:rsidRDefault="001E63D9" w:rsidP="00F54550" w:rsidR="001E63D9">
      <w:pPr>
        <w:jc w:val="both"/>
        <w:rPr>
          <w:sz w:val="24"/>
          <w:szCs w:val="24"/>
        </w:rPr>
      </w:pPr>
    </w:p>
    <w:p w:rsidRDefault="001E63D9" w:rsidP="00F54550" w:rsidR="001E63D9">
      <w:pPr>
        <w:jc w:val="both"/>
        <w:rPr>
          <w:sz w:val="24"/>
          <w:szCs w:val="24"/>
        </w:rPr>
      </w:pPr>
    </w:p>
    <w:p w:rsidRDefault="001E63D9" w:rsidP="00F54550" w:rsidR="001E63D9">
      <w:pPr>
        <w:jc w:val="both"/>
        <w:rPr>
          <w:sz w:val="24"/>
          <w:szCs w:val="24"/>
        </w:rPr>
      </w:pPr>
    </w:p>
    <w:p w:rsidRDefault="001E63D9" w:rsidP="00F54550" w:rsidR="001E63D9">
      <w:pPr>
        <w:jc w:val="both"/>
        <w:rPr>
          <w:sz w:val="24"/>
          <w:szCs w:val="24"/>
        </w:rPr>
      </w:pPr>
    </w:p>
    <w:sectPr w:rsidSect="00CA4BCF" w:rsidR="001E63D9">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F3603" w:rsidP="000F3603" w:rsidR="000F3603">
      <w:r>
        <w:separator/>
      </w:r>
    </w:p>
  </w:endnote>
  <w:endnote w:id="0" w:type="continuationSeparator">
    <w:p w:rsidRDefault="000F3603" w:rsidP="000F3603" w:rsidR="000F360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F3603" w:rsidP="000F3603" w:rsidR="000F3603">
      <w:r>
        <w:separator/>
      </w:r>
    </w:p>
  </w:footnote>
  <w:footnote w:id="0" w:type="continuationSeparator">
    <w:p w:rsidRDefault="000F3603" w:rsidP="000F3603" w:rsidR="000F360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535881406"/>
      <w:docPartObj>
        <w:docPartGallery w:val="Page Numbers (Top of Page)"/>
        <w:docPartUnique/>
      </w:docPartObj>
    </w:sdtPr>
    <w:sdtEndPr/>
    <w:sdtContent>
      <w:p w:rsidRDefault="000F3603" w:rsidR="000F3603">
        <w:pPr>
          <w:pStyle w:val="Zaglavlje"/>
        </w:pPr>
        <w:r>
          <w:fldChar w:fldCharType="begin"/>
        </w:r>
        <w:r>
          <w:instrText>PAGE   \* MERGEFORMAT</w:instrText>
        </w:r>
        <w:r>
          <w:fldChar w:fldCharType="separate"/>
        </w:r>
        <w:r w:rsidR="009864B9">
          <w:rPr>
            <w:noProof/>
          </w:rPr>
          <w:t>3</w:t>
        </w:r>
        <w:r>
          <w:fldChar w:fldCharType="end"/>
        </w:r>
        <w:r>
          <w:tab/>
        </w:r>
        <w:r>
          <w:tab/>
        </w:r>
        <w:r w:rsidRPr="00FE7435">
          <w:rPr>
            <w:sz w:val="24"/>
            <w:szCs w:val="24"/>
          </w:rPr>
          <w:t>72. St-</w:t>
        </w:r>
        <w:r w:rsidR="00A73D3C">
          <w:rPr>
            <w:sz w:val="24"/>
            <w:szCs w:val="24"/>
          </w:rPr>
          <w:t>570</w:t>
        </w:r>
        <w:r w:rsidR="003A60E6">
          <w:rPr>
            <w:sz w:val="24"/>
            <w:szCs w:val="24"/>
          </w:rPr>
          <w:t>/2016</w:t>
        </w:r>
      </w:p>
    </w:sdtContent>
  </w:sdt>
  <w:p w:rsidRDefault="000F3603" w:rsidR="000F360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DD56F38"/>
    <w:multiLevelType w:val="hybridMultilevel"/>
    <w:tmpl w:val="A78A0930"/>
    <w:lvl w:tplc="1374D046"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54550"/>
    <w:rsid w:val="000F3603"/>
    <w:rsid w:val="001022A9"/>
    <w:rsid w:val="00147F72"/>
    <w:rsid w:val="0019676B"/>
    <w:rsid w:val="001E63D9"/>
    <w:rsid w:val="0020721B"/>
    <w:rsid w:val="0022770A"/>
    <w:rsid w:val="003A60E6"/>
    <w:rsid w:val="0049500C"/>
    <w:rsid w:val="00603F5E"/>
    <w:rsid w:val="006654C4"/>
    <w:rsid w:val="007D64A4"/>
    <w:rsid w:val="008379E9"/>
    <w:rsid w:val="009864B9"/>
    <w:rsid w:val="00A1360E"/>
    <w:rsid w:val="00A73D3C"/>
    <w:rsid w:val="00AA3F7B"/>
    <w:rsid w:val="00B32D8D"/>
    <w:rsid w:val="00B4748A"/>
    <w:rsid w:val="00C251E5"/>
    <w:rsid w:val="00C753CA"/>
    <w:rsid w:val="00CA06D1"/>
    <w:rsid w:val="00CA4BCF"/>
    <w:rsid w:val="00DD37AC"/>
    <w:rsid w:val="00E20779"/>
    <w:rsid w:val="00F54550"/>
    <w:rsid w:val="00FE387F"/>
    <w:rsid w:val="00FE7435"/>
    <w:rsid w:val="00FF5C3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0"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54550"/>
    <w:pPr>
      <w:overflowPunct w:val="false"/>
      <w:autoSpaceDE w:val="false"/>
      <w:autoSpaceDN w:val="false"/>
      <w:adjustRightInd w:val="false"/>
      <w:spacing w:lineRule="auto" w:line="240" w:after="0"/>
    </w:pPr>
    <w:rPr>
      <w:rFonts w:cs="Times New Roman" w:eastAsia="Times New Roman"/>
      <w:sz w:val="20"/>
      <w:szCs w:val="20"/>
      <w:lang w:eastAsia="hr-HR"/>
    </w:rPr>
  </w:style>
  <w:style w:styleId="Naslov2" w:type="paragraph">
    <w:name w:val="heading 2"/>
    <w:basedOn w:val="Normal"/>
    <w:next w:val="Normal"/>
    <w:link w:val="Naslov2Char"/>
    <w:qFormat/>
    <w:rsid w:val="00CA4BCF"/>
    <w:pPr>
      <w:keepNext/>
      <w:tabs>
        <w:tab w:pos="2520" w:val="center"/>
        <w:tab w:pos="6840" w:val="left"/>
      </w:tabs>
      <w:overflowPunct/>
      <w:autoSpaceDE/>
      <w:autoSpaceDN/>
      <w:adjustRightInd/>
      <w:jc w:val="center"/>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F54550"/>
    <w:pPr>
      <w:overflowPunct/>
      <w:autoSpaceDE/>
      <w:autoSpaceDN/>
      <w:adjustRightInd/>
      <w:ind w:left="720"/>
      <w:contextualSpacing/>
    </w:pPr>
    <w:rPr>
      <w:sz w:val="24"/>
      <w:szCs w:val="24"/>
    </w:rPr>
  </w:style>
  <w:style w:styleId="Tekstbalonia" w:type="paragraph">
    <w:name w:val="Balloon Text"/>
    <w:basedOn w:val="Normal"/>
    <w:link w:val="TekstbaloniaChar"/>
    <w:uiPriority w:val="99"/>
    <w:semiHidden/>
    <w:unhideWhenUsed/>
    <w:rsid w:val="00F5455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54550"/>
    <w:rPr>
      <w:rFonts w:cs="Tahoma" w:eastAsia="Times New Roman" w:hAnsi="Tahoma" w:ascii="Tahoma"/>
      <w:sz w:val="16"/>
      <w:szCs w:val="16"/>
      <w:lang w:eastAsia="hr-HR"/>
    </w:rPr>
  </w:style>
  <w:style w:styleId="Podnaslov" w:type="paragraph">
    <w:name w:val="Subtitle"/>
    <w:basedOn w:val="Normal"/>
    <w:link w:val="PodnaslovChar"/>
    <w:qFormat/>
    <w:rsid w:val="000F3603"/>
    <w:pPr>
      <w:overflowPunct/>
      <w:autoSpaceDE/>
      <w:autoSpaceDN/>
      <w:adjustRightInd/>
      <w:jc w:val="both"/>
    </w:pPr>
    <w:rPr>
      <w:rFonts w:hAnsi="Tahoma" w:ascii="Tahoma"/>
      <w:b/>
      <w:color w:val="0000FF"/>
      <w:sz w:val="24"/>
    </w:rPr>
  </w:style>
  <w:style w:customStyle="true" w:styleId="PodnaslovChar" w:type="character">
    <w:name w:val="Podnaslov Char"/>
    <w:basedOn w:val="Zadanifontodlomka"/>
    <w:link w:val="Podnaslov"/>
    <w:rsid w:val="000F3603"/>
    <w:rPr>
      <w:rFonts w:cs="Times New Roman" w:eastAsia="Times New Roman" w:hAnsi="Tahoma" w:ascii="Tahoma"/>
      <w:b/>
      <w:color w:val="0000FF"/>
      <w:szCs w:val="20"/>
      <w:lang w:eastAsia="hr-HR"/>
    </w:rPr>
  </w:style>
  <w:style w:styleId="Zaglavlje" w:type="paragraph">
    <w:name w:val="header"/>
    <w:basedOn w:val="Normal"/>
    <w:link w:val="ZaglavljeChar"/>
    <w:uiPriority w:val="99"/>
    <w:unhideWhenUsed/>
    <w:rsid w:val="000F3603"/>
    <w:pPr>
      <w:tabs>
        <w:tab w:pos="4536" w:val="center"/>
        <w:tab w:pos="9072" w:val="right"/>
      </w:tabs>
    </w:pPr>
  </w:style>
  <w:style w:customStyle="true" w:styleId="ZaglavljeChar" w:type="character">
    <w:name w:val="Zaglavlje Char"/>
    <w:basedOn w:val="Zadanifontodlomka"/>
    <w:link w:val="Zaglavlje"/>
    <w:uiPriority w:val="99"/>
    <w:rsid w:val="000F3603"/>
    <w:rPr>
      <w:rFonts w:cs="Times New Roman" w:eastAsia="Times New Roman"/>
      <w:sz w:val="20"/>
      <w:szCs w:val="20"/>
      <w:lang w:eastAsia="hr-HR"/>
    </w:rPr>
  </w:style>
  <w:style w:styleId="Podnoje" w:type="paragraph">
    <w:name w:val="footer"/>
    <w:basedOn w:val="Normal"/>
    <w:link w:val="PodnojeChar"/>
    <w:uiPriority w:val="99"/>
    <w:unhideWhenUsed/>
    <w:rsid w:val="000F3603"/>
    <w:pPr>
      <w:tabs>
        <w:tab w:pos="4536" w:val="center"/>
        <w:tab w:pos="9072" w:val="right"/>
      </w:tabs>
    </w:pPr>
  </w:style>
  <w:style w:customStyle="true" w:styleId="PodnojeChar" w:type="character">
    <w:name w:val="Podnožje Char"/>
    <w:basedOn w:val="Zadanifontodlomka"/>
    <w:link w:val="Podnoje"/>
    <w:uiPriority w:val="99"/>
    <w:rsid w:val="000F3603"/>
    <w:rPr>
      <w:rFonts w:cs="Times New Roman" w:eastAsia="Times New Roman"/>
      <w:sz w:val="20"/>
      <w:szCs w:val="20"/>
      <w:lang w:eastAsia="hr-HR"/>
    </w:rPr>
  </w:style>
  <w:style w:customStyle="true" w:styleId="Naslov2Char" w:type="character">
    <w:name w:val="Naslov 2 Char"/>
    <w:basedOn w:val="Zadanifontodlomka"/>
    <w:link w:val="Naslov2"/>
    <w:rsid w:val="00CA4BCF"/>
    <w:rPr>
      <w:rFonts w:cs="Times New Roman" w:eastAsia="Times New Roman"/>
      <w:b/>
      <w:bCs/>
      <w:sz w:val="28"/>
      <w:szCs w:val="24"/>
      <w:lang w:eastAsia="hr-HR"/>
    </w:rPr>
  </w:style>
  <w:style w:styleId="Tekstrezerviranogmjesta" w:type="character">
    <w:name w:val="Placeholder Text"/>
    <w:basedOn w:val="Zadanifontodlomka"/>
    <w:uiPriority w:val="99"/>
    <w:semiHidden/>
    <w:rsid w:val="009864B9"/>
    <w:rPr>
      <w:color w:val="808080"/>
      <w:bdr w:space="0" w:sz="0" w:color="auto" w:val="none"/>
      <w:shd w:fill="auto" w:color="auto" w:val="clear"/>
    </w:rPr>
  </w:style>
  <w:style w:customStyle="true" w:styleId="eSPISCCParagraphDefaultFont" w:type="character">
    <w:name w:val="eSPIS_CC_Paragraph Default Font"/>
    <w:basedOn w:val="Zadanifontodlomka"/>
    <w:rsid w:val="009864B9"/>
    <w:rPr>
      <w:rFonts w:cs="Times New Roman" w:hAnsi="Times New Roman" w:ascii="Times New Roman"/>
      <w:color w:val="FF0000"/>
      <w:sz w:val="24"/>
      <w:szCs w:val="24"/>
      <w:bdr w:space="0" w:sz="0" w:color="auto" w:val="none"/>
      <w:shd w:fill="auto" w:color="auto" w:val="clear"/>
      <w:lang w:val="hr-HR"/>
    </w:rPr>
  </w:style>
  <w:style w:customStyle="true" w:styleId="PozadinaSvijetloZuta" w:type="character">
    <w:name w:val="Pozadina_SvijetloZuta"/>
    <w:basedOn w:val="Zadanifontodlomka"/>
    <w:rsid w:val="009864B9"/>
    <w:rPr>
      <w:color w:val="FF0000"/>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9864B9"/>
    <w:rPr>
      <w:rFonts w:cs="Times New Roman" w:hAnsi="Times New Roman" w:ascii="Times New Roman"/>
      <w:color w:val="FF0000"/>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9864B9"/>
    <w:rPr>
      <w:rFonts w:cs="Times New Roman" w:hAnsi="Times New Roman" w:ascii="Times New Roman"/>
      <w:color w:val="FF0000"/>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0"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54550"/>
    <w:pPr>
      <w:overflowPunct w:val="0"/>
      <w:autoSpaceDE w:val="0"/>
      <w:autoSpaceDN w:val="0"/>
      <w:adjustRightInd w:val="0"/>
      <w:spacing w:after="0" w:line="240" w:lineRule="auto"/>
    </w:pPr>
    <w:rPr>
      <w:rFonts w:cs="Times New Roman" w:eastAsia="Times New Roman"/>
      <w:sz w:val="20"/>
      <w:szCs w:val="20"/>
      <w:lang w:eastAsia="hr-HR"/>
    </w:rPr>
  </w:style>
  <w:style w:styleId="Naslov2" w:type="paragraph">
    <w:name w:val="heading 2"/>
    <w:basedOn w:val="Normal"/>
    <w:next w:val="Normal"/>
    <w:link w:val="Naslov2Char"/>
    <w:qFormat/>
    <w:rsid w:val="00CA4BCF"/>
    <w:pPr>
      <w:keepNext/>
      <w:tabs>
        <w:tab w:pos="2520" w:val="center"/>
        <w:tab w:pos="6840" w:val="left"/>
      </w:tabs>
      <w:overflowPunct/>
      <w:autoSpaceDE/>
      <w:autoSpaceDN/>
      <w:adjustRightInd/>
      <w:jc w:val="center"/>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F54550"/>
    <w:pPr>
      <w:overflowPunct/>
      <w:autoSpaceDE/>
      <w:autoSpaceDN/>
      <w:adjustRightInd/>
      <w:ind w:left="720"/>
      <w:contextualSpacing/>
    </w:pPr>
    <w:rPr>
      <w:sz w:val="24"/>
      <w:szCs w:val="24"/>
    </w:rPr>
  </w:style>
  <w:style w:styleId="Tekstbalonia" w:type="paragraph">
    <w:name w:val="Balloon Text"/>
    <w:basedOn w:val="Normal"/>
    <w:link w:val="TekstbaloniaChar"/>
    <w:uiPriority w:val="99"/>
    <w:semiHidden/>
    <w:unhideWhenUsed/>
    <w:rsid w:val="00F54550"/>
    <w:rPr>
      <w:rFonts w:ascii="Tahoma" w:cs="Tahoma" w:hAnsi="Tahoma"/>
      <w:sz w:val="16"/>
      <w:szCs w:val="16"/>
    </w:rPr>
  </w:style>
  <w:style w:customStyle="1" w:styleId="TekstbaloniaChar" w:type="character">
    <w:name w:val="Tekst balončića Char"/>
    <w:basedOn w:val="Zadanifontodlomka"/>
    <w:link w:val="Tekstbalonia"/>
    <w:uiPriority w:val="99"/>
    <w:semiHidden/>
    <w:rsid w:val="00F54550"/>
    <w:rPr>
      <w:rFonts w:ascii="Tahoma" w:cs="Tahoma" w:eastAsia="Times New Roman" w:hAnsi="Tahoma"/>
      <w:sz w:val="16"/>
      <w:szCs w:val="16"/>
      <w:lang w:eastAsia="hr-HR"/>
    </w:rPr>
  </w:style>
  <w:style w:styleId="Podnaslov" w:type="paragraph">
    <w:name w:val="Subtitle"/>
    <w:basedOn w:val="Normal"/>
    <w:link w:val="PodnaslovChar"/>
    <w:qFormat/>
    <w:rsid w:val="000F3603"/>
    <w:pPr>
      <w:overflowPunct/>
      <w:autoSpaceDE/>
      <w:autoSpaceDN/>
      <w:adjustRightInd/>
      <w:jc w:val="both"/>
    </w:pPr>
    <w:rPr>
      <w:rFonts w:ascii="Tahoma" w:hAnsi="Tahoma"/>
      <w:b/>
      <w:color w:val="0000FF"/>
      <w:sz w:val="24"/>
    </w:rPr>
  </w:style>
  <w:style w:customStyle="1" w:styleId="PodnaslovChar" w:type="character">
    <w:name w:val="Podnaslov Char"/>
    <w:basedOn w:val="Zadanifontodlomka"/>
    <w:link w:val="Podnaslov"/>
    <w:rsid w:val="000F3603"/>
    <w:rPr>
      <w:rFonts w:ascii="Tahoma" w:cs="Times New Roman" w:eastAsia="Times New Roman" w:hAnsi="Tahoma"/>
      <w:b/>
      <w:color w:val="0000FF"/>
      <w:szCs w:val="20"/>
      <w:lang w:eastAsia="hr-HR"/>
    </w:rPr>
  </w:style>
  <w:style w:styleId="Zaglavlje" w:type="paragraph">
    <w:name w:val="header"/>
    <w:basedOn w:val="Normal"/>
    <w:link w:val="ZaglavljeChar"/>
    <w:uiPriority w:val="99"/>
    <w:unhideWhenUsed/>
    <w:rsid w:val="000F3603"/>
    <w:pPr>
      <w:tabs>
        <w:tab w:pos="4536" w:val="center"/>
        <w:tab w:pos="9072" w:val="right"/>
      </w:tabs>
    </w:pPr>
  </w:style>
  <w:style w:customStyle="1" w:styleId="ZaglavljeChar" w:type="character">
    <w:name w:val="Zaglavlje Char"/>
    <w:basedOn w:val="Zadanifontodlomka"/>
    <w:link w:val="Zaglavlje"/>
    <w:uiPriority w:val="99"/>
    <w:rsid w:val="000F3603"/>
    <w:rPr>
      <w:rFonts w:cs="Times New Roman" w:eastAsia="Times New Roman"/>
      <w:sz w:val="20"/>
      <w:szCs w:val="20"/>
      <w:lang w:eastAsia="hr-HR"/>
    </w:rPr>
  </w:style>
  <w:style w:styleId="Podnoje" w:type="paragraph">
    <w:name w:val="footer"/>
    <w:basedOn w:val="Normal"/>
    <w:link w:val="PodnojeChar"/>
    <w:uiPriority w:val="99"/>
    <w:unhideWhenUsed/>
    <w:rsid w:val="000F3603"/>
    <w:pPr>
      <w:tabs>
        <w:tab w:pos="4536" w:val="center"/>
        <w:tab w:pos="9072" w:val="right"/>
      </w:tabs>
    </w:pPr>
  </w:style>
  <w:style w:customStyle="1" w:styleId="PodnojeChar" w:type="character">
    <w:name w:val="Podnožje Char"/>
    <w:basedOn w:val="Zadanifontodlomka"/>
    <w:link w:val="Podnoje"/>
    <w:uiPriority w:val="99"/>
    <w:rsid w:val="000F3603"/>
    <w:rPr>
      <w:rFonts w:cs="Times New Roman" w:eastAsia="Times New Roman"/>
      <w:sz w:val="20"/>
      <w:szCs w:val="20"/>
      <w:lang w:eastAsia="hr-HR"/>
    </w:rPr>
  </w:style>
  <w:style w:customStyle="1" w:styleId="Naslov2Char" w:type="character">
    <w:name w:val="Naslov 2 Char"/>
    <w:basedOn w:val="Zadanifontodlomka"/>
    <w:link w:val="Naslov2"/>
    <w:rsid w:val="00CA4BCF"/>
    <w:rPr>
      <w:rFonts w:cs="Times New Roman" w:eastAsia="Times New Roman"/>
      <w:b/>
      <w:bCs/>
      <w:sz w:val="28"/>
      <w:szCs w:val="24"/>
      <w:lang w:eastAsia="hr-HR"/>
    </w:rPr>
  </w:style>
  <w:style w:styleId="Tekstrezerviranogmjesta" w:type="character">
    <w:name w:val="Placeholder Text"/>
    <w:basedOn w:val="Zadanifontodlomka"/>
    <w:uiPriority w:val="99"/>
    <w:semiHidden/>
    <w:rsid w:val="009864B9"/>
    <w:rPr>
      <w:color w:val="808080"/>
      <w:bdr w:color="auto" w:space="0" w:sz="0" w:val="none"/>
      <w:shd w:color="auto" w:fill="auto" w:val="clear"/>
    </w:rPr>
  </w:style>
  <w:style w:customStyle="1" w:styleId="eSPISCCParagraphDefaultFont" w:type="character">
    <w:name w:val="eSPIS_CC_Paragraph Default Font"/>
    <w:basedOn w:val="Zadanifontodlomka"/>
    <w:rsid w:val="009864B9"/>
    <w:rPr>
      <w:rFonts w:ascii="Times New Roman" w:cs="Times New Roman" w:hAnsi="Times New Roman"/>
      <w:color w:val="FF0000"/>
      <w:sz w:val="24"/>
      <w:szCs w:val="24"/>
      <w:bdr w:color="auto" w:space="0" w:sz="0" w:val="none"/>
      <w:shd w:color="auto" w:fill="auto" w:val="clear"/>
      <w:lang w:val="hr-HR"/>
    </w:rPr>
  </w:style>
  <w:style w:customStyle="1" w:styleId="PozadinaSvijetloZuta" w:type="character">
    <w:name w:val="Pozadina_SvijetloZuta"/>
    <w:basedOn w:val="Zadanifontodlomka"/>
    <w:rsid w:val="009864B9"/>
    <w:rPr>
      <w:color w:val="FF0000"/>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9864B9"/>
    <w:rPr>
      <w:rFonts w:ascii="Times New Roman" w:cs="Times New Roman" w:hAnsi="Times New Roman"/>
      <w:color w:val="FF000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9864B9"/>
    <w:rPr>
      <w:rFonts w:ascii="Times New Roman" w:cs="Times New Roman" w:hAnsi="Times New Roman"/>
      <w:color w:val="FF000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1416356">
      <w:bodyDiv w:val="true"/>
      <w:marLeft w:val="0"/>
      <w:marRight w:val="0"/>
      <w:marTop w:val="0"/>
      <w:marBottom w:val="0"/>
      <w:divBdr>
        <w:top w:space="0" w:sz="0" w:color="auto" w:val="none"/>
        <w:left w:space="0" w:sz="0" w:color="auto" w:val="none"/>
        <w:bottom w:space="0" w:sz="0" w:color="auto" w:val="none"/>
        <w:right w:space="0" w:sz="0" w:color="auto" w:val="none"/>
      </w:divBdr>
    </w:div>
    <w:div w:id="202227372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21. travnja 2016.</izvorni_sadrzaj>
    <derivirana_varijabla naziv="DomainObject.DatumDonosenjaOdluke_1">21. travnja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570</izvorni_sadrzaj>
    <derivirana_varijabla naziv="DomainObject.Predmet.Broj_1">570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siječnja 2016.</izvorni_sadrzaj>
    <derivirana_varijabla naziv="DomainObject.Predmet.DatumOsnivanja_1">20.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St-570/2016</izvorni_sadrzaj>
    <derivirana_varijabla naziv="DomainObject.Predmet.OznakaBroj_1">St-570/2016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MERKUR-ART d.o.o.</izvorni_sadrzaj>
    <derivirana_varijabla naziv="DomainObject.Predmet.ProtustrankaFormated_1">  MERKUR-ART d.o.o.</derivirana_varijabla>
  </DomainObject.Predmet.ProtustrankaFormated>
  <DomainObject.Predmet.ProtustrankaFormatedOIB>
    <izvorni_sadrzaj>  MERKUR-ART d.o.o., OIB 24991871865</izvorni_sadrzaj>
    <derivirana_varijabla naziv="DomainObject.Predmet.ProtustrankaFormatedOIB_1">  MERKUR-ART d.o.o., OIB 24991871865</derivirana_varijabla>
  </DomainObject.Predmet.ProtustrankaFormatedOIB>
  <DomainObject.Predmet.ProtustrankaFormatedWithAdress>
    <izvorni_sadrzaj> MERKUR-ART d.o.o., Kudekov put 5/4, 10000 Zagreb</izvorni_sadrzaj>
    <derivirana_varijabla naziv="DomainObject.Predmet.ProtustrankaFormatedWithAdress_1"> MERKUR-ART d.o.o., Kudekov put 5/4, 10000 Zagreb</derivirana_varijabla>
  </DomainObject.Predmet.ProtustrankaFormatedWithAdress>
  <DomainObject.Predmet.ProtustrankaFormatedWithAdressOIB>
    <izvorni_sadrzaj> MERKUR-ART d.o.o., OIB 24991871865, Kudekov put 5/4, 10000 Zagreb</izvorni_sadrzaj>
    <derivirana_varijabla naziv="DomainObject.Predmet.ProtustrankaFormatedWithAdressOIB_1"> MERKUR-ART d.o.o., OIB 24991871865, Kudekov put 5/4, 10000 Zagreb</derivirana_varijabla>
  </DomainObject.Predmet.ProtustrankaFormatedWithAdressOIB>
  <DomainObject.Predmet.ProtustrankaWithAdress>
    <izvorni_sadrzaj>MERKUR-ART d.o.o. Kudekov put 5/4, 10000 Zagreb</izvorni_sadrzaj>
    <derivirana_varijabla naziv="DomainObject.Predmet.ProtustrankaWithAdress_1">MERKUR-ART d.o.o. Kudekov put 5/4, 10000 Zagreb</derivirana_varijabla>
  </DomainObject.Predmet.ProtustrankaWithAdress>
  <DomainObject.Predmet.ProtustrankaWithAdressOIB>
    <izvorni_sadrzaj>MERKUR-ART d.o.o., OIB 24991871865, Kudekov put 5/4, 10000 Zagreb</izvorni_sadrzaj>
    <derivirana_varijabla naziv="DomainObject.Predmet.ProtustrankaWithAdressOIB_1">MERKUR-ART d.o.o., OIB 24991871865, Kudekov put 5/4, 10000 Zagreb</derivirana_varijabla>
  </DomainObject.Predmet.ProtustrankaWithAdressOIB>
  <DomainObject.Predmet.ProtustrankaNazivFormated>
    <izvorni_sadrzaj>MERKUR-ART d.o.o.</izvorni_sadrzaj>
    <derivirana_varijabla naziv="DomainObject.Predmet.ProtustrankaNazivFormated_1">MERKUR-ART d.o.o.</derivirana_varijabla>
  </DomainObject.Predmet.ProtustrankaNazivFormated>
  <DomainObject.Predmet.ProtustrankaNazivFormatedOIB>
    <izvorni_sadrzaj>MERKUR-ART d.o.o., OIB 24991871865</izvorni_sadrzaj>
    <derivirana_varijabla naziv="DomainObject.Predmet.ProtustrankaNazivFormatedOIB_1">MERKUR-ART d.o.o., OIB 24991871865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MERKUR-ART d.o.o.</item>
    </izvorni_sadrzaj>
    <derivirana_varijabla naziv="DomainObject.Predmet.ProtuStrankaListFormated_1">
      <item>MERKUR-ART d.o.o.</item>
    </derivirana_varijabla>
  </DomainObject.Predmet.ProtuStrankaListFormated>
  <DomainObject.Predmet.ProtuStrankaListFormatedOIB>
    <izvorni_sadrzaj>
      <item>MERKUR-ART d.o.o., OIB 24991871865</item>
    </izvorni_sadrzaj>
    <derivirana_varijabla naziv="DomainObject.Predmet.ProtuStrankaListFormatedOIB_1">
      <item>MERKUR-ART d.o.o., OIB 24991871865</item>
    </derivirana_varijabla>
  </DomainObject.Predmet.ProtuStrankaListFormatedOIB>
  <DomainObject.Predmet.ProtuStrankaListFormatedWithAdress>
    <izvorni_sadrzaj>
      <item>MERKUR-ART d.o.o., Kudekov put 5/4, 10000 Zagreb</item>
    </izvorni_sadrzaj>
    <derivirana_varijabla naziv="DomainObject.Predmet.ProtuStrankaListFormatedWithAdress_1">
      <item>MERKUR-ART d.o.o., Kudekov put 5/4, 10000 Zagreb</item>
    </derivirana_varijabla>
  </DomainObject.Predmet.ProtuStrankaListFormatedWithAdress>
  <DomainObject.Predmet.ProtuStrankaListFormatedWithAdressOIB>
    <izvorni_sadrzaj>
      <item>MERKUR-ART d.o.o., OIB 24991871865, Kudekov put 5/4, 10000 Zagreb</item>
    </izvorni_sadrzaj>
    <derivirana_varijabla naziv="DomainObject.Predmet.ProtuStrankaListFormatedWithAdressOIB_1">
      <item>MERKUR-ART d.o.o., OIB 24991871865, Kudekov put 5/4, 10000 Zagreb</item>
    </derivirana_varijabla>
  </DomainObject.Predmet.ProtuStrankaListFormatedWithAdressOIB>
  <DomainObject.Predmet.ProtuStrankaListNazivFormated>
    <izvorni_sadrzaj>
      <item>MERKUR-ART d.o.o.</item>
    </izvorni_sadrzaj>
    <derivirana_varijabla naziv="DomainObject.Predmet.ProtuStrankaListNazivFormated_1">
      <item>MERKUR-ART d.o.o.</item>
    </derivirana_varijabla>
  </DomainObject.Predmet.ProtuStrankaListNazivFormated>
  <DomainObject.Predmet.ProtuStrankaListNazivFormatedOIB>
    <izvorni_sadrzaj>
      <item>MERKUR-ART d.o.o., OIB 24991871865</item>
    </izvorni_sadrzaj>
    <derivirana_varijabla naziv="DomainObject.Predmet.ProtuStrankaListNazivFormatedOIB_1">
      <item>MERKUR-ART d.o.o., OIB 24991871865</item>
    </derivirana_varijabla>
  </DomainObject.Predmet.ProtuStrankaListNazivFormatedOIB>
  <DomainObject.Predmet.OstaliListFormated>
    <izvorni_sadrzaj>
      <item>HRVATSKI ZAVOD ZA MIROVINSKO OSIGURANJE</item>
      <item>Financijska agencija</item>
    </izvorni_sadrzaj>
    <derivirana_varijabla naziv="DomainObject.Predmet.OstaliListFormated_1">
      <item>HRVATSKI ZAVOD ZA MIROVINSKO OSIGURANJE</item>
      <item>Financijska agencija</item>
    </derivirana_varijabla>
  </DomainObject.Predmet.OstaliListFormated>
  <DomainObject.Predmet.OstaliListFormatedOIB>
    <izvorni_sadrzaj>
      <item>HRVATSKI ZAVOD ZA MIROVINSKO OSIGURANJE, OIB 84397956623</item>
      <item>Financijska agencija, OIB 85821130368</item>
    </izvorni_sadrzaj>
    <derivirana_varijabla naziv="DomainObject.Predmet.OstaliListFormatedOIB_1">
      <item>HRVATSKI ZAVOD ZA MIROVINSKO OSIGURANJE, OIB 84397956623</item>
      <item>Financijska agencija, OIB 85821130368</item>
    </derivirana_varijabla>
  </DomainObject.Predmet.OstaliListFormatedOIB>
  <DomainObject.Predmet.OstaliListFormatedWithAdress>
    <izvorni_sadrzaj>
      <item>HRVATSKI ZAVOD ZA MIROVINSKO OSIGURANJE, Trpimirova 4, 10000 Zagreb</item>
      <item>Financijska agencija, Ulica grada Vukovara 70, 10000 Zagreb</item>
    </izvorni_sadrzaj>
    <derivirana_varijabla naziv="DomainObject.Predmet.OstaliListFormatedWithAdress_1">
      <item>HRVATSKI ZAVOD ZA MIROVINSKO OSIGURANJE, Trpimirova 4, 10000 Zagreb</item>
      <item>Financijska agencija, Ulica grada Vukovara 70, 10000 Zagreb</item>
    </derivirana_varijabla>
  </DomainObject.Predmet.OstaliListFormatedWithAdress>
  <DomainObject.Predmet.OstaliListFormatedWithAdressOIB>
    <izvorni_sadrzaj>
      <item>HRVATSKI ZAVOD ZA MIROVINSKO OSIGURANJE, OIB 84397956623, Trpimirova 4, 10000 Zagreb</item>
      <item>Financijska agencija, OIB 85821130368, Ulica grada Vukovara 70, 10000 Zagreb</item>
    </izvorni_sadrzaj>
    <derivirana_varijabla naziv="DomainObject.Predmet.OstaliListFormatedWithAdressOIB_1">
      <item>HRVATSKI ZAVOD ZA MIROVINSKO OSIGURANJE, OIB 84397956623, Trpimirova 4, 10000 Zagreb</item>
      <item>Financijska agencija, OIB 85821130368, Ulica grada Vukovara 70, 10000 Zagreb</item>
    </derivirana_varijabla>
  </DomainObject.Predmet.OstaliListFormatedWithAdressOIB>
  <DomainObject.Predmet.OstaliListNazivFormated>
    <izvorni_sadrzaj>
      <item>HRVATSKI ZAVOD ZA MIROVINSKO OSIGURANJE</item>
      <item>Financijska agencija</item>
    </izvorni_sadrzaj>
    <derivirana_varijabla naziv="DomainObject.Predmet.OstaliListNazivFormated_1">
      <item>HRVATSKI ZAVOD ZA MIROVINSKO OSIGURANJE</item>
      <item>Financijska agencija</item>
    </derivirana_varijabla>
  </DomainObject.Predmet.OstaliListNazivFormated>
  <DomainObject.Predmet.OstaliListNazivFormatedOIB>
    <izvorni_sadrzaj>
      <item>HRVATSKI ZAVOD ZA MIROVINSKO OSIGURANJE, OIB 84397956623</item>
      <item>Financijska agencija, OIB 85821130368</item>
    </izvorni_sadrzaj>
    <derivirana_varijabla naziv="DomainObject.Predmet.OstaliListNazivFormatedOIB_1">
      <item>HRVATSKI ZAVOD ZA MIROVINSKO OSIGURANJE, OIB 84397956623</item>
      <item>Financijska agencija, OIB 85821130368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travnja 2016.</izvorni_sadrzaj>
    <derivirana_varijabla naziv="DomainObject.Datum_1">21. travnja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MERKUR-ART d.o.o.</izvorni_sadrzaj>
    <derivirana_varijabla naziv="DomainObject.Predmet.ProtustrankaIDrugi_1">MERKUR-ART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MERKUR-ART d.o.o., OIB 24991871865, Kudekov put 5/4, 10000 Zagreb</izvorni_sadrzaj>
    <derivirana_varijabla naziv="DomainObject.Predmet.ProtustrankaIDrugiAdressOIB_1">MERKUR-ART d.o.o., OIB 24991871865, Kudekov put 5/4,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MERKUR-ART d.o.o.</item>
      <item>FINA Regionalni centar Zagreb</item>
      <item>HRVATSKI ZAVOD ZA MIROVINSKO OSIGURANJE</item>
      <item>Financijska agencija</item>
    </izvorni_sadrzaj>
    <derivirana_varijabla naziv="DomainObject.Predmet.SudioniciListNaziv_1">
      <item>MERKUR-ART d.o.o.</item>
      <item>FINA Regionalni centar Zagreb</item>
      <item>HRVATSKI ZAVOD ZA MIROVINSKO OSIGURANJE</item>
      <item>Financijska agencija</item>
    </derivirana_varijabla>
  </DomainObject.Predmet.SudioniciListNaziv>
  <DomainObject.Predmet.SudioniciListAdressOIB>
    <izvorni_sadrzaj>
      <item>MERKUR-ART d.o.o., OIB 24991871865, Kudekov put 5/4,10000 Zagreb</item>
      <item>FINA Regionalni centar Zagreb, OIB 85821130368, Trg svibanjskih žrtava 1995. br. 1,10000 Zagreb</item>
      <item>HRVATSKI ZAVOD ZA MIROVINSKO OSIGURANJE, OIB 84397956623, Trpimirova 4,10000 Zagreb</item>
      <item>Financijska agencija, OIB 85821130368, Ulica grada Vukovara 70,10000 Zagreb</item>
    </izvorni_sadrzaj>
    <derivirana_varijabla naziv="DomainObject.Predmet.SudioniciListAdressOIB_1">
      <item>MERKUR-ART d.o.o., OIB 24991871865, Kudekov put 5/4,10000 Zagreb</item>
      <item>FINA Regionalni centar Zagreb, OIB 85821130368, Trg svibanjskih žrtava 1995. br. 1,10000 Zagreb</item>
      <item>HRVATSKI ZAVOD ZA MIROVINSKO OSIGURANJE, OIB 84397956623, Trpimirova 4,10000 Zagreb</item>
      <item>Financijska agencija, OIB 85821130368, Ulica grada Vukovara 70,10000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24991871865</item>
      <item>, OIB 85821130368</item>
      <item>, OIB 84397956623</item>
      <item>, OIB 85821130368</item>
    </izvorni_sadrzaj>
    <derivirana_varijabla naziv="DomainObject.Predmet.SudioniciListNazivOIB_1">
      <item>, OIB 24991871865</item>
      <item>, OIB 85821130368</item>
      <item>, OIB 84397956623</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385</properties:Words>
  <properties:Characters>1983</properties:Characters>
  <properties:Lines>97</properties:Lines>
  <properties:Paragraphs>28</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2397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2016-04-21T11:22:00Z</dcterms:created>
  <dc:creator>Nikola Ribarić</dc:creator>
  <cp:lastModifiedBy>Jadranka Zelić</cp:lastModifiedBy>
  <cp:lastPrinted>2016-04-21T11:22:00Z</cp:lastPrinted>
  <dcterms:modified xmlns:xsi="http://www.w3.org/2001/XMLSchema-instance" xsi:type="dcterms:W3CDTF">2016-04-21T11:24:00Z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