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01059" w14:paraId="e401059" w:rsidRDefault="009B6113" w:rsidP="009B6113" w:rsidR="009B6113">
      <w:pPr>
        <w15:collapsed w:val="false"/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margin">
              <wp:posOffset>-2569845</wp:posOffset>
            </wp:positionH>
            <wp:positionV relativeFrom="margin">
              <wp:posOffset>3059430</wp:posOffset>
            </wp:positionV>
            <wp:extent cy="3418840" cx="9006840"/>
            <wp:effectExtent b="0" r="0" t="635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y="0" x="0"/>
                      <a:ext cy="3418840" cx="9006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113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31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St-337/2016-19</izvorni_sadrzaj>
    <derivirana_varijabla naziv="DomainObject.Oznaka_1">St-337/2016-19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St-337/2016-19</izvorni_sadrzaj>
    <derivirana_varijabla naziv="DomainObject.PoslovniBrojDokumenta_1">St-337/2016-19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81A67-87A7-47B3-B16A-18F82B2AF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3</properties:Lines>
  <properties:Paragraphs>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2017-07-07T07:44:00Z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St-337/2016-19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