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82499" w14:paraId="f582499" w:rsidRDefault="007C77CF" w:rsidP="005D2EB3" w:rsidR="00BD1056">
      <w:pPr>
        <w15:collapsed w:val="false"/>
      </w:pPr>
      <w:bookmarkStart w:name="_GoBack" w:id="0"/>
      <w:bookmarkEnd w:id="0"/>
      <w:r>
        <w:t xml:space="preserve"> </w:t>
      </w:r>
    </w:p>
    <w:p w:rsidRDefault="00BD1056" w:rsidP="005D2EB3" w:rsidR="00BD1056"/>
    <w:p w:rsidRDefault="00BD1056" w:rsidP="005D2EB3" w:rsidR="00BD1056"/>
    <w:p w:rsidRDefault="005D2EB3" w:rsidP="005D2EB3" w:rsidR="005D2EB3" w:rsidRPr="00005E65">
      <w:r w:rsidRPr="00005E65">
        <w:t>REPUBLIKA HRVATSKA</w:t>
      </w:r>
    </w:p>
    <w:p w:rsidRDefault="005D2EB3" w:rsidP="005D2EB3" w:rsidR="005D2EB3" w:rsidRPr="00005E65">
      <w:r w:rsidRPr="00005E65">
        <w:t>Trgovački sud u Zagrebu</w:t>
      </w:r>
    </w:p>
    <w:p w:rsidRDefault="005D2EB3" w:rsidP="005D2EB3" w:rsidR="005D2EB3" w:rsidRPr="00005E65">
      <w:r w:rsidRPr="00005E65">
        <w:t>Zagreb, Amruševa 2/II</w:t>
      </w:r>
    </w:p>
    <w:p w:rsidRDefault="005D2EB3" w:rsidP="005D2EB3" w:rsidR="005D2EB3" w:rsidRPr="00005E65">
      <w:pPr>
        <w:jc w:val="right"/>
      </w:pPr>
      <w:r w:rsidRPr="00005E65">
        <w:t xml:space="preserve">                 40. St</w:t>
      </w:r>
      <w:r>
        <w:t>-</w:t>
      </w:r>
      <w:r w:rsidR="006F7A56">
        <w:t>2025</w:t>
      </w:r>
      <w:r w:rsidR="00AC37F3">
        <w:t>/</w:t>
      </w:r>
      <w:r>
        <w:t>201</w:t>
      </w:r>
      <w:r w:rsidR="006F7A56">
        <w:t>6</w:t>
      </w:r>
    </w:p>
    <w:p w:rsidRDefault="005D2EB3" w:rsidP="005D2EB3" w:rsidR="005D2EB3" w:rsidRPr="00005E65">
      <w:pPr>
        <w:jc w:val="center"/>
        <w:rPr>
          <w:b/>
        </w:rPr>
      </w:pPr>
    </w:p>
    <w:p w:rsidRDefault="005D7892" w:rsidP="005D2EB3" w:rsidR="005D7892">
      <w:pPr>
        <w:jc w:val="center"/>
        <w:rPr>
          <w:b/>
        </w:rPr>
      </w:pPr>
    </w:p>
    <w:p w:rsidRDefault="005D2EB3" w:rsidP="005D2EB3" w:rsidR="005D2EB3" w:rsidRPr="00005E65">
      <w:pPr>
        <w:jc w:val="center"/>
        <w:rPr>
          <w:b/>
        </w:rPr>
      </w:pPr>
      <w:r w:rsidRPr="00005E65">
        <w:rPr>
          <w:b/>
        </w:rPr>
        <w:t>Z A P I S N I K</w:t>
      </w:r>
    </w:p>
    <w:p w:rsidRDefault="005D2EB3" w:rsidP="005D2EB3" w:rsidR="005D2EB3">
      <w:pPr>
        <w:jc w:val="center"/>
        <w:rPr>
          <w:b/>
        </w:rPr>
      </w:pPr>
      <w:r w:rsidRPr="00005E65">
        <w:rPr>
          <w:b/>
        </w:rPr>
        <w:t xml:space="preserve">SA </w:t>
      </w:r>
      <w:r>
        <w:rPr>
          <w:b/>
        </w:rPr>
        <w:t xml:space="preserve"> ROČIŠTA RADI SKLAPANJA PREDSTEČAJNE NAGODBE</w:t>
      </w:r>
    </w:p>
    <w:p w:rsidRDefault="005D2EB3" w:rsidP="005D2EB3" w:rsidR="005D2EB3" w:rsidRPr="00005E65">
      <w:pPr>
        <w:jc w:val="center"/>
        <w:rPr>
          <w:b/>
        </w:rPr>
      </w:pPr>
      <w:r>
        <w:rPr>
          <w:b/>
        </w:rPr>
        <w:t xml:space="preserve"> </w:t>
      </w:r>
    </w:p>
    <w:p w:rsidRDefault="005D2EB3" w:rsidP="005D2EB3" w:rsidR="005D2EB3" w:rsidRPr="00005E65">
      <w:pPr>
        <w:jc w:val="center"/>
      </w:pPr>
      <w:r w:rsidRPr="00005E65">
        <w:t xml:space="preserve">Održanog dana </w:t>
      </w:r>
      <w:r w:rsidR="001D3681">
        <w:t xml:space="preserve"> 17. svibnja</w:t>
      </w:r>
      <w:r w:rsidR="00661968">
        <w:t xml:space="preserve"> </w:t>
      </w:r>
      <w:r w:rsidR="00036C64">
        <w:t xml:space="preserve"> 201</w:t>
      </w:r>
      <w:r w:rsidR="00AC37F3">
        <w:t>6</w:t>
      </w:r>
      <w:r w:rsidR="00036C64">
        <w:t>.</w:t>
      </w:r>
      <w:r w:rsidRPr="00005E65">
        <w:t xml:space="preserve"> na Trgovačkom sudu u Zagrebu</w:t>
      </w:r>
    </w:p>
    <w:p w:rsidRDefault="005D2EB3" w:rsidP="00470C81" w:rsidR="00BD1056">
      <w:pPr>
        <w:jc w:val="center"/>
        <w:rPr>
          <w:rFonts w:cs="Tahoma"/>
        </w:rPr>
      </w:pPr>
      <w:r w:rsidRPr="00005E65">
        <w:t xml:space="preserve"> u </w:t>
      </w:r>
      <w:r>
        <w:t xml:space="preserve">predmetu nad </w:t>
      </w:r>
      <w:r w:rsidRPr="00005E65">
        <w:t xml:space="preserve">dužnikom </w:t>
      </w:r>
      <w:r w:rsidR="006F7A56">
        <w:t>DELTA-KAT d.o.o., Zagreb, Donje Vrapče 53</w:t>
      </w:r>
      <w:r w:rsidR="00AC37F3">
        <w:t xml:space="preserve"> </w:t>
      </w:r>
      <w:r w:rsidR="006F7A56">
        <w:t>OIB 45336532168</w:t>
      </w:r>
      <w:r w:rsidR="00AC37F3">
        <w:t xml:space="preserve"> </w:t>
      </w:r>
      <w:r w:rsidR="003F054E">
        <w:t xml:space="preserve"> </w:t>
      </w:r>
    </w:p>
    <w:p w:rsidRDefault="00BD1056" w:rsidP="005D2EB3" w:rsidR="00BD1056" w:rsidRPr="00005E65">
      <w:pPr>
        <w:jc w:val="center"/>
      </w:pPr>
    </w:p>
    <w:p w:rsidRDefault="005D2EB3" w:rsidP="005D2EB3" w:rsidR="005D2EB3" w:rsidRPr="00005E65">
      <w:pPr>
        <w:jc w:val="both"/>
      </w:pPr>
      <w:r w:rsidRPr="00005E65">
        <w:t>Nazočni od suda:</w:t>
      </w:r>
    </w:p>
    <w:p w:rsidRDefault="005D2EB3" w:rsidP="005D2EB3" w:rsidR="005D2EB3">
      <w:pPr>
        <w:jc w:val="both"/>
      </w:pPr>
      <w:smartTag w:element="PersonName" w:uri="urn:schemas-microsoft-com:office:smarttags">
        <w:r w:rsidRPr="00005E65">
          <w:t>Ante Galić</w:t>
        </w:r>
      </w:smartTag>
      <w:r w:rsidRPr="00005E65">
        <w:t>, stečajni sudac</w:t>
      </w:r>
    </w:p>
    <w:p w:rsidRDefault="001D3681" w:rsidP="005D2EB3" w:rsidR="005D2EB3">
      <w:pPr>
        <w:jc w:val="both"/>
      </w:pPr>
      <w:r>
        <w:t>Valentina Delač</w:t>
      </w:r>
      <w:r w:rsidR="005D2EB3" w:rsidRPr="00005E65">
        <w:t>, zapisničar</w:t>
      </w:r>
    </w:p>
    <w:p w:rsidRDefault="005D2EB3" w:rsidP="005D2EB3" w:rsidR="005D2EB3" w:rsidRPr="00005E65">
      <w:pPr>
        <w:jc w:val="both"/>
      </w:pPr>
    </w:p>
    <w:p w:rsidRDefault="005D2EB3" w:rsidP="005D2EB3" w:rsidR="005D2EB3" w:rsidRPr="00005E65">
      <w:pPr>
        <w:jc w:val="both"/>
      </w:pPr>
      <w:r w:rsidRPr="00005E65">
        <w:t xml:space="preserve">Započeto u </w:t>
      </w:r>
      <w:r w:rsidR="001D3681">
        <w:t xml:space="preserve">11,30 </w:t>
      </w:r>
      <w:r w:rsidRPr="00005E65">
        <w:t>sati.</w:t>
      </w:r>
    </w:p>
    <w:p w:rsidRDefault="005D2EB3" w:rsidP="005D2EB3" w:rsidR="005D2EB3" w:rsidRPr="00005E65">
      <w:pPr>
        <w:jc w:val="both"/>
      </w:pPr>
    </w:p>
    <w:p w:rsidRDefault="005D2EB3" w:rsidP="005D2EB3" w:rsidR="005D2EB3">
      <w:pPr>
        <w:jc w:val="both"/>
      </w:pPr>
      <w:r w:rsidRPr="00005E65">
        <w:tab/>
        <w:t xml:space="preserve">Stečajni sudac utvrđuje da su </w:t>
      </w:r>
      <w:r>
        <w:t xml:space="preserve">ročištu radi sklapanja predstečajne nagodbe pristupili: </w:t>
      </w:r>
    </w:p>
    <w:p w:rsidRDefault="009D1BF5" w:rsidP="000226BC" w:rsidR="009D1BF5">
      <w:pPr>
        <w:jc w:val="both"/>
      </w:pPr>
      <w:r>
        <w:t xml:space="preserve"> </w:t>
      </w:r>
    </w:p>
    <w:p w:rsidRDefault="009D1BF5" w:rsidP="000226BC" w:rsidR="00BB0EB1">
      <w:pPr>
        <w:jc w:val="both"/>
      </w:pPr>
      <w:r>
        <w:t>Za dužnika: Igor Svilar, odvjetnik iz Zagreba, u zamjeni odvj. vježbenica  Sendi Bužleta Katava,</w:t>
      </w:r>
      <w:r w:rsidR="00ED1AC6">
        <w:t xml:space="preserve"> </w:t>
      </w:r>
      <w:r>
        <w:t xml:space="preserve">po punomoćniku, prema punomoći u spisu </w:t>
      </w:r>
    </w:p>
    <w:p w:rsidRDefault="00ED1AC6" w:rsidP="000226BC" w:rsidR="00ED1AC6">
      <w:pPr>
        <w:jc w:val="both"/>
      </w:pPr>
    </w:p>
    <w:p w:rsidRDefault="00ED1AC6" w:rsidP="000226BC" w:rsidR="00ED1AC6">
      <w:pPr>
        <w:jc w:val="both"/>
      </w:pPr>
      <w:r>
        <w:tab/>
      </w:r>
      <w:r w:rsidR="0071394F">
        <w:t>TIM C</w:t>
      </w:r>
      <w:r>
        <w:t>OLOR d.o.o. -po punomoćniku Nevio Svilar, odvjetnik iz Zagreba, prema punomoći koju dostavlja u spis</w:t>
      </w:r>
    </w:p>
    <w:p w:rsidRDefault="00BB0EB1" w:rsidP="005D2EB3" w:rsidR="00BB0EB1">
      <w:pPr>
        <w:ind w:firstLine="720"/>
        <w:jc w:val="both"/>
      </w:pPr>
    </w:p>
    <w:p w:rsidRDefault="00ED7889" w:rsidP="005D2EB3" w:rsidR="00ED7889">
      <w:pPr>
        <w:ind w:firstLine="720"/>
        <w:jc w:val="both"/>
      </w:pPr>
      <w:r>
        <w:t>Utvrđuje se da je:</w:t>
      </w:r>
    </w:p>
    <w:p w:rsidRDefault="00ED7889" w:rsidP="005D2EB3" w:rsidR="00ED7889">
      <w:pPr>
        <w:ind w:firstLine="720"/>
        <w:jc w:val="both"/>
      </w:pPr>
      <w:r>
        <w:t xml:space="preserve">-rješenjem FINA-e od </w:t>
      </w:r>
      <w:r w:rsidR="006F7A56">
        <w:t>28.siječnja</w:t>
      </w:r>
      <w:r w:rsidR="00AC37F3">
        <w:t xml:space="preserve"> </w:t>
      </w:r>
      <w:r>
        <w:t xml:space="preserve"> 201</w:t>
      </w:r>
      <w:r w:rsidR="00D96D57">
        <w:t>6</w:t>
      </w:r>
      <w:r>
        <w:t>. utvrđeno kako je u postupu provedenom u skladu sa odredbama Zakona o financijskom poslovanju i predstečajnoj nagodbi –NN 108/12, 144/12, 81/13, 112/13 dalje: ZFPPN) za dužnikov plan financijskog restrukturiranja glasovali vjerovnici čije tražbine prelaze 2/3 utvrđenih tražbina</w:t>
      </w:r>
    </w:p>
    <w:p w:rsidRDefault="00ED7889" w:rsidP="005D2EB3" w:rsidR="003F4934">
      <w:pPr>
        <w:ind w:firstLine="720"/>
        <w:jc w:val="both"/>
      </w:pPr>
      <w:r>
        <w:t>-</w:t>
      </w:r>
      <w:r w:rsidR="00091288">
        <w:t xml:space="preserve">prednje </w:t>
      </w:r>
      <w:r>
        <w:t xml:space="preserve">rješenje FINA-e svojstvo </w:t>
      </w:r>
      <w:r w:rsidR="003F4934">
        <w:t xml:space="preserve">izvršnosti </w:t>
      </w:r>
      <w:r>
        <w:t>s</w:t>
      </w:r>
      <w:r w:rsidR="003F4934">
        <w:t xml:space="preserve">teklo </w:t>
      </w:r>
      <w:r>
        <w:t xml:space="preserve"> dana </w:t>
      </w:r>
      <w:r w:rsidR="006F7A56">
        <w:t xml:space="preserve">16.veljače </w:t>
      </w:r>
      <w:r w:rsidR="003F4934">
        <w:t xml:space="preserve"> 201</w:t>
      </w:r>
      <w:r w:rsidR="00D96D57">
        <w:t>6</w:t>
      </w:r>
      <w:r w:rsidR="003F4934">
        <w:t>,</w:t>
      </w:r>
    </w:p>
    <w:p w:rsidRDefault="003F4934" w:rsidP="005D2EB3" w:rsidR="00ED7889">
      <w:pPr>
        <w:ind w:firstLine="720"/>
        <w:jc w:val="both"/>
      </w:pPr>
      <w:r>
        <w:t xml:space="preserve">-dužnik prijedlog za sklapanje predstečaje nagodbe dostavio sudu dana </w:t>
      </w:r>
      <w:r w:rsidR="006F7A56">
        <w:t>1</w:t>
      </w:r>
      <w:r w:rsidR="00D96D57">
        <w:t>.ožujka</w:t>
      </w:r>
      <w:r>
        <w:t xml:space="preserve"> 201</w:t>
      </w:r>
      <w:r w:rsidR="00D96D57">
        <w:t>6.</w:t>
      </w:r>
    </w:p>
    <w:p w:rsidRDefault="003F4934" w:rsidP="005D2EB3" w:rsidR="00A51BC7">
      <w:pPr>
        <w:ind w:firstLine="720"/>
        <w:jc w:val="both"/>
      </w:pPr>
      <w:r>
        <w:t>-</w:t>
      </w:r>
      <w:r w:rsidR="005D2EB3">
        <w:t xml:space="preserve">današnje ročište radi sklapanja predstečajne nagodbe određeno rješenjem </w:t>
      </w:r>
      <w:r w:rsidR="000226BC">
        <w:t xml:space="preserve">broj gornji od </w:t>
      </w:r>
      <w:r w:rsidR="00661968">
        <w:t xml:space="preserve"> </w:t>
      </w:r>
    </w:p>
    <w:p w:rsidRDefault="00A51BC7" w:rsidP="005D2EB3" w:rsidR="00A51BC7">
      <w:pPr>
        <w:ind w:firstLine="720"/>
        <w:jc w:val="both"/>
      </w:pPr>
    </w:p>
    <w:p w:rsidRDefault="005D2EB3" w:rsidP="005D2EB3" w:rsidR="003F4934">
      <w:pPr>
        <w:ind w:firstLine="720"/>
        <w:jc w:val="both"/>
      </w:pPr>
      <w:r w:rsidRPr="00005E65">
        <w:t xml:space="preserve">oglas o održavanju </w:t>
      </w:r>
      <w:r>
        <w:t xml:space="preserve">današnjeg ročišta radi sklapanja  predstečajne nagodbe objavljen  </w:t>
      </w:r>
    </w:p>
    <w:p w:rsidRDefault="003F4934" w:rsidP="003F4934" w:rsidR="005D2EB3">
      <w:pPr>
        <w:ind w:firstLine="720" w:left="720"/>
        <w:jc w:val="both"/>
      </w:pPr>
      <w:r>
        <w:t>-</w:t>
      </w:r>
      <w:r w:rsidR="005D2EB3">
        <w:t xml:space="preserve">na </w:t>
      </w:r>
      <w:r w:rsidR="00AC37F3">
        <w:t>e-</w:t>
      </w:r>
      <w:r w:rsidR="005D2EB3">
        <w:t xml:space="preserve">oglasnoj ploči Trgovačkog suda u Zagrebu dana </w:t>
      </w:r>
      <w:r w:rsidR="009255A5">
        <w:t>18.travnja2016</w:t>
      </w:r>
      <w:r w:rsidR="005D2EB3">
        <w:t xml:space="preserve">. </w:t>
      </w:r>
    </w:p>
    <w:p w:rsidRDefault="005D2EB3" w:rsidP="003F4934" w:rsidR="005D2EB3">
      <w:pPr>
        <w:ind w:firstLine="720" w:left="720"/>
        <w:jc w:val="both"/>
      </w:pPr>
      <w:r>
        <w:t>-na web stranici FINA-e dana</w:t>
      </w:r>
      <w:r w:rsidR="00BF4A0D">
        <w:t xml:space="preserve"> 25. travnja </w:t>
      </w:r>
      <w:r>
        <w:t>201</w:t>
      </w:r>
      <w:r w:rsidR="00D96D57">
        <w:t>6</w:t>
      </w:r>
      <w:r>
        <w:t xml:space="preserve">. </w:t>
      </w:r>
    </w:p>
    <w:p w:rsidRDefault="005D2EB3" w:rsidP="00304F52" w:rsidR="005D2EB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237430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Utvrđuje se da spisu prileži popis utvrđenih tražbina (list </w:t>
      </w:r>
      <w:r w:rsidR="00D06C52">
        <w:rPr>
          <w:rFonts w:cs="Tahoma"/>
        </w:rPr>
        <w:t>10-11</w:t>
      </w:r>
      <w:r>
        <w:rPr>
          <w:rFonts w:cs="Tahoma"/>
        </w:rPr>
        <w:t>).</w:t>
      </w:r>
    </w:p>
    <w:p w:rsidRDefault="00237430" w:rsidP="00817035" w:rsidR="00237430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Utvrđuje se da je na ispitnom ročištu od </w:t>
      </w:r>
      <w:r w:rsidR="00D96D57">
        <w:rPr>
          <w:rFonts w:cs="Tahoma"/>
        </w:rPr>
        <w:t>2</w:t>
      </w:r>
      <w:r w:rsidR="006F7A56">
        <w:rPr>
          <w:rFonts w:cs="Tahoma"/>
        </w:rPr>
        <w:t>9.listopada</w:t>
      </w:r>
      <w:r>
        <w:rPr>
          <w:rFonts w:cs="Tahoma"/>
        </w:rPr>
        <w:t xml:space="preserve"> 201</w:t>
      </w:r>
      <w:r w:rsidR="00014D80">
        <w:rPr>
          <w:rFonts w:cs="Tahoma"/>
        </w:rPr>
        <w:t>5</w:t>
      </w:r>
      <w:r>
        <w:rPr>
          <w:rFonts w:cs="Tahoma"/>
        </w:rPr>
        <w:t xml:space="preserve">. utvrđen ukupan iznos prijavljenih tražbina u visini od </w:t>
      </w:r>
      <w:r w:rsidR="006F7A56">
        <w:rPr>
          <w:rFonts w:cs="Tahoma"/>
        </w:rPr>
        <w:t>220.422,57</w:t>
      </w:r>
      <w:r>
        <w:rPr>
          <w:rFonts w:cs="Tahoma"/>
        </w:rPr>
        <w:t xml:space="preserve"> kn, ukupan iznos </w:t>
      </w:r>
      <w:r w:rsidRPr="00272A8B">
        <w:rPr>
          <w:rFonts w:cs="Tahoma"/>
        </w:rPr>
        <w:t xml:space="preserve">utvrđenih tražbina u visini  od </w:t>
      </w:r>
      <w:r w:rsidR="006F7A56">
        <w:rPr>
          <w:rFonts w:cs="Tahoma"/>
        </w:rPr>
        <w:t>2.280</w:t>
      </w:r>
      <w:r w:rsidR="00457129">
        <w:rPr>
          <w:rFonts w:cs="Tahoma"/>
        </w:rPr>
        <w:t>.205,41</w:t>
      </w:r>
      <w:r w:rsidR="00D96D57">
        <w:rPr>
          <w:rFonts w:cs="Tahoma"/>
        </w:rPr>
        <w:t xml:space="preserve"> kn</w:t>
      </w:r>
      <w:r>
        <w:rPr>
          <w:rFonts w:cs="Tahoma"/>
        </w:rPr>
        <w:t xml:space="preserve">, te ukupan iznos osporenih tražbina u visini </w:t>
      </w:r>
      <w:r w:rsidR="00D96D57">
        <w:rPr>
          <w:rFonts w:cs="Tahoma"/>
        </w:rPr>
        <w:t>0,00</w:t>
      </w:r>
      <w:r>
        <w:rPr>
          <w:rFonts w:cs="Tahoma"/>
        </w:rPr>
        <w:t xml:space="preserve"> kn.</w:t>
      </w:r>
    </w:p>
    <w:p w:rsidRDefault="00817035" w:rsidP="00817035" w:rsidR="00817035">
      <w:pPr>
        <w:ind w:firstLine="720"/>
        <w:jc w:val="both"/>
        <w:rPr>
          <w:rFonts w:cs="Tahoma"/>
        </w:rPr>
      </w:pPr>
    </w:p>
    <w:p w:rsidRDefault="00817035" w:rsidP="00817035" w:rsidR="00817035">
      <w:pPr>
        <w:ind w:firstLine="720"/>
        <w:jc w:val="both"/>
        <w:rPr>
          <w:rFonts w:cs="Tahoma"/>
        </w:rPr>
      </w:pPr>
      <w:r>
        <w:rPr>
          <w:rFonts w:cs="Tahoma"/>
        </w:rPr>
        <w:t xml:space="preserve">Sud kratko izlaže plan financijskog restrukturiranja prihvaćen dana </w:t>
      </w:r>
      <w:r w:rsidR="00D06C52">
        <w:rPr>
          <w:rFonts w:cs="Tahoma"/>
        </w:rPr>
        <w:t>28.siječnja</w:t>
      </w:r>
      <w:r>
        <w:rPr>
          <w:rFonts w:cs="Tahoma"/>
        </w:rPr>
        <w:t xml:space="preserve"> 201</w:t>
      </w:r>
      <w:r w:rsidR="00D96D57">
        <w:rPr>
          <w:rFonts w:cs="Tahoma"/>
        </w:rPr>
        <w:t>6</w:t>
      </w:r>
      <w:r w:rsidR="00014D80">
        <w:rPr>
          <w:rFonts w:cs="Tahoma"/>
        </w:rPr>
        <w:t xml:space="preserve"> </w:t>
      </w:r>
      <w:r>
        <w:rPr>
          <w:rFonts w:cs="Tahoma"/>
        </w:rPr>
        <w:t>.pred Nagodbenim vijećem ZG0</w:t>
      </w:r>
      <w:r w:rsidR="00D96D57">
        <w:rPr>
          <w:rFonts w:cs="Tahoma"/>
        </w:rPr>
        <w:t>5</w:t>
      </w:r>
      <w:r>
        <w:rPr>
          <w:rFonts w:cs="Tahoma"/>
        </w:rPr>
        <w:t xml:space="preserve">. </w:t>
      </w:r>
    </w:p>
    <w:p w:rsidRDefault="00817035" w:rsidP="00817035" w:rsidR="00817035">
      <w:pPr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>Sud poziva dužnika, te svakog vjerovnike čija je tražbina utvrđena u postupku predstečajne nagodbe provedenom kod FINA-e  pojedinačno se očitovati pristaju li na plan financijskog restrukturiranja.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1.dužnik izjavljuje kako prihvaća plan financijskog restrukturiranja</w:t>
      </w:r>
    </w:p>
    <w:p w:rsidRDefault="002A451E" w:rsidP="00817035" w:rsidR="002A451E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2.</w:t>
      </w:r>
      <w:r w:rsidR="002A451E">
        <w:rPr>
          <w:rFonts w:cs="Tahoma"/>
        </w:rPr>
        <w:t xml:space="preserve"> </w:t>
      </w:r>
      <w:r>
        <w:rPr>
          <w:rFonts w:cs="Tahoma"/>
        </w:rPr>
        <w:t>vjerovnici:</w:t>
      </w:r>
    </w:p>
    <w:p w:rsidRDefault="00D96D57" w:rsidP="00817035" w:rsidR="00D96D57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927A2C" w:rsidP="00927A2C" w:rsidR="00050BA2" w:rsidRPr="00050BA2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TIM-COLOR d.o.o.</w:t>
      </w:r>
      <w:r w:rsidRPr="00050BA2">
        <w:rPr>
          <w:rFonts w:cs="Tahoma"/>
        </w:rPr>
        <w:t xml:space="preserve"> </w:t>
      </w:r>
      <w:r w:rsidR="00735167">
        <w:rPr>
          <w:rFonts w:cs="Tahoma"/>
        </w:rPr>
        <w:t xml:space="preserve"> izjavljuje kako prihvaća plan financijskog restrukturiranja</w:t>
      </w:r>
    </w:p>
    <w:p w:rsidRDefault="002A451E" w:rsidP="00817035" w:rsidR="002A451E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709"/>
        <w:jc w:val="both"/>
        <w:rPr>
          <w:rFonts w:cs="Tahoma"/>
        </w:rPr>
      </w:pPr>
      <w:r>
        <w:rPr>
          <w:rFonts w:cs="Tahoma"/>
        </w:rPr>
        <w:t xml:space="preserve">Utvrđuje se da je za prihvaćanje plana financijskog restrukturiranja glasovao dužnik, te vjerovnici čije tražbine iznose </w:t>
      </w:r>
      <w:r w:rsidR="00735167">
        <w:rPr>
          <w:rFonts w:cs="Tahoma"/>
        </w:rPr>
        <w:t xml:space="preserve"> 1.866.852,43</w:t>
      </w:r>
      <w:r>
        <w:rPr>
          <w:rFonts w:cs="Tahoma"/>
        </w:rPr>
        <w:t xml:space="preserve"> kn, što predstavlja više od 2/3 ukupno utvrđenih tražbina.</w:t>
      </w:r>
    </w:p>
    <w:p w:rsidRDefault="00817035" w:rsidP="00817035" w:rsidR="00817035" w:rsidRPr="00F2619A">
      <w:pPr>
        <w:autoSpaceDE w:val="false"/>
        <w:spacing w:after="80"/>
        <w:jc w:val="both"/>
      </w:pPr>
    </w:p>
    <w:p w:rsidRDefault="00817035" w:rsidP="00817035" w:rsidR="00817035">
      <w:pPr>
        <w:autoSpaceDE w:val="false"/>
        <w:autoSpaceDN w:val="false"/>
        <w:adjustRightInd w:val="false"/>
        <w:spacing w:after="80"/>
        <w:ind w:firstLine="709"/>
        <w:jc w:val="both"/>
      </w:pPr>
      <w:r w:rsidRPr="00F2619A">
        <w:t xml:space="preserve">Nakon toga sud donosi i javno objavljuje </w:t>
      </w:r>
    </w:p>
    <w:p w:rsidRDefault="00817035" w:rsidP="00817035" w:rsidR="00817035" w:rsidRPr="00F2619A">
      <w:pPr>
        <w:autoSpaceDE w:val="false"/>
        <w:autoSpaceDN w:val="false"/>
        <w:adjustRightInd w:val="false"/>
        <w:spacing w:after="80"/>
        <w:ind w:firstLine="709"/>
        <w:jc w:val="both"/>
      </w:pPr>
    </w:p>
    <w:p w:rsidRDefault="00817035" w:rsidP="00817035" w:rsidR="00817035" w:rsidRPr="00676E6D">
      <w:pPr>
        <w:autoSpaceDE w:val="false"/>
        <w:autoSpaceDN w:val="false"/>
        <w:adjustRightInd w:val="false"/>
        <w:spacing w:after="80"/>
        <w:jc w:val="center"/>
      </w:pPr>
      <w:r w:rsidRPr="00676E6D">
        <w:t>U  I M E  R E P U B L I K E  H R V A T S K E</w:t>
      </w:r>
    </w:p>
    <w:p w:rsidRDefault="00817035" w:rsidP="00817035" w:rsidR="00817035" w:rsidRPr="00676E6D">
      <w:pPr>
        <w:autoSpaceDE w:val="false"/>
        <w:autoSpaceDN w:val="false"/>
        <w:adjustRightInd w:val="false"/>
        <w:spacing w:after="80"/>
        <w:jc w:val="center"/>
      </w:pPr>
      <w:r w:rsidRPr="00676E6D">
        <w:t>R J E Š E N J E</w:t>
      </w:r>
    </w:p>
    <w:p w:rsidRDefault="00817035" w:rsidP="00817035" w:rsidR="00817035">
      <w:pPr>
        <w:jc w:val="both"/>
      </w:pPr>
      <w:r w:rsidRPr="00676E6D">
        <w:t xml:space="preserve"> </w:t>
      </w:r>
      <w:r w:rsidRPr="00676E6D">
        <w:tab/>
      </w:r>
    </w:p>
    <w:p w:rsidRDefault="00817035" w:rsidP="009255A5" w:rsidR="00817035">
      <w:pPr>
        <w:ind w:firstLine="720"/>
        <w:jc w:val="both"/>
        <w:rPr>
          <w:rFonts w:cs="Tahoma"/>
        </w:rPr>
      </w:pPr>
      <w:r>
        <w:t>Odobrava</w:t>
      </w:r>
      <w:r w:rsidRPr="00F2619A">
        <w:t xml:space="preserve"> se sklapanje predstečajne nagodbe u postupku nad dužnikom </w:t>
      </w:r>
      <w:r w:rsidR="00927A2C">
        <w:t xml:space="preserve">DELTA-KAT d.o.o., Zagreb, Donje Vrapče 53 OIB 45336532168 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left="360"/>
        <w:jc w:val="center"/>
        <w:rPr>
          <w:rFonts w:cs="Tahoma"/>
        </w:rPr>
      </w:pPr>
      <w:r>
        <w:rPr>
          <w:rFonts w:cs="Tahoma"/>
        </w:rPr>
        <w:t xml:space="preserve"> Obrazloženje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360"/>
        <w:jc w:val="both"/>
        <w:rPr>
          <w:rFonts w:cs="Tahoma"/>
        </w:rPr>
      </w:pPr>
      <w:r>
        <w:rPr>
          <w:rFonts w:cs="Tahoma"/>
        </w:rPr>
        <w:t xml:space="preserve">Kako su u konkretnom slučaju za prihvaćanje plana financijskog restrukturiranja svoj pristanak dali dužnik, te vjerovnici čije tražbine iznose </w:t>
      </w:r>
      <w:r w:rsidR="00735167">
        <w:rPr>
          <w:rFonts w:cs="Tahoma"/>
        </w:rPr>
        <w:t xml:space="preserve">1.866.852,43 </w:t>
      </w:r>
      <w:r>
        <w:rPr>
          <w:rFonts w:cs="Tahoma"/>
        </w:rPr>
        <w:t xml:space="preserve"> kn što predstavlja više od 2/3 ukupno utvrđenih tražbina, te kako je sadržaj predložene nagodbe u skladu s općim pravilima o sudskoj nagodbi, a u bitnim sastojcima je odgovarajući prihvaćenom planu financijskog i operativnog restrukturiranja, to je temeljem članka 66. stavak 9., u vezi članka 63. stavak 2.  </w:t>
      </w:r>
      <w:r>
        <w:t xml:space="preserve">Zakona o financijskom poslovanju i predstečajnoj nagodbi  (NN 108/12., 81/13. i 112/13),  sud donio rješenje kojim odobrava sklapanje naprijed navedene predstečajne nagodbe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left="360"/>
        <w:jc w:val="both"/>
        <w:rPr>
          <w:rFonts w:cs="Tahoma"/>
        </w:rPr>
      </w:pPr>
    </w:p>
    <w:p w:rsidRDefault="00817035" w:rsidP="00817035" w:rsidR="00817035">
      <w:pPr>
        <w:jc w:val="both"/>
      </w:pPr>
      <w:r>
        <w:t>UPUTA O PRAVNOM LIJEKU:</w:t>
      </w:r>
    </w:p>
    <w:p w:rsidRDefault="00817035" w:rsidP="00817035" w:rsidR="00817035">
      <w:pPr>
        <w:jc w:val="both"/>
      </w:pPr>
      <w:r>
        <w:t xml:space="preserve">Protiv ovog rješenja kojim sud dopušta sklapanje predstečajne nagodbe može se izjaviti žalba Visokom trgovačkom sudu Republike Hrvatske, u roku od 8 dana  Žalba se podnosi putem ovog suda u tri primjerka. </w:t>
      </w:r>
    </w:p>
    <w:p w:rsidRDefault="00817035" w:rsidP="00817035" w:rsidR="00817035">
      <w:pPr>
        <w:jc w:val="right"/>
        <w:rPr>
          <w:rFonts w:cs="Tahoma"/>
        </w:rPr>
      </w:pPr>
      <w:r>
        <w:rPr>
          <w:rFonts w:cs="Tahoma"/>
        </w:rPr>
        <w:t>Sudac:</w:t>
      </w:r>
    </w:p>
    <w:p w:rsidRDefault="00817035" w:rsidP="00817035" w:rsidR="00817035">
      <w:pPr>
        <w:jc w:val="right"/>
        <w:rPr>
          <w:rFonts w:cs="Tahoma"/>
        </w:rPr>
      </w:pPr>
      <w:r>
        <w:rPr>
          <w:rFonts w:cs="Tahoma"/>
        </w:rPr>
        <w:t>Ante Galić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Nakon toga stranka pristupaju potpisivanju  sklapanje sljedeće: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9255A5" w:rsidP="00817035" w:rsidR="009255A5">
      <w:pPr>
        <w:widowControl w:val="false"/>
        <w:autoSpaceDE w:val="false"/>
        <w:autoSpaceDN w:val="false"/>
        <w:adjustRightInd w:val="false"/>
        <w:spacing w:after="80"/>
        <w:jc w:val="center"/>
        <w:outlineLvl w:val="0"/>
        <w:rPr>
          <w:rFonts w:cs="Tahoma"/>
          <w:b/>
        </w:rPr>
      </w:pPr>
    </w:p>
    <w:p w:rsidRDefault="009255A5" w:rsidP="00817035" w:rsidR="009255A5">
      <w:pPr>
        <w:widowControl w:val="false"/>
        <w:autoSpaceDE w:val="false"/>
        <w:autoSpaceDN w:val="false"/>
        <w:adjustRightInd w:val="false"/>
        <w:spacing w:after="80"/>
        <w:jc w:val="center"/>
        <w:outlineLvl w:val="0"/>
        <w:rPr>
          <w:rFonts w:cs="Tahoma"/>
          <w:b/>
        </w:rPr>
      </w:pPr>
    </w:p>
    <w:p w:rsidRDefault="009255A5" w:rsidP="00817035" w:rsidR="009255A5">
      <w:pPr>
        <w:widowControl w:val="false"/>
        <w:autoSpaceDE w:val="false"/>
        <w:autoSpaceDN w:val="false"/>
        <w:adjustRightInd w:val="false"/>
        <w:spacing w:after="80"/>
        <w:jc w:val="center"/>
        <w:outlineLvl w:val="0"/>
        <w:rPr>
          <w:rFonts w:cs="Tahoma"/>
          <w:b/>
        </w:rPr>
      </w:pPr>
    </w:p>
    <w:p w:rsidRDefault="00817035" w:rsidP="00817035" w:rsidR="00817035" w:rsidRPr="00AC7C5C">
      <w:pPr>
        <w:widowControl w:val="false"/>
        <w:autoSpaceDE w:val="false"/>
        <w:autoSpaceDN w:val="false"/>
        <w:adjustRightInd w:val="false"/>
        <w:spacing w:after="80"/>
        <w:jc w:val="center"/>
        <w:outlineLvl w:val="0"/>
        <w:rPr>
          <w:rFonts w:cs="Tahoma"/>
          <w:b/>
        </w:rPr>
      </w:pPr>
      <w:r w:rsidRPr="00AC7C5C">
        <w:rPr>
          <w:rFonts w:cs="Tahoma"/>
          <w:b/>
        </w:rPr>
        <w:t>PREDSTEČAJN</w:t>
      </w:r>
      <w:r>
        <w:rPr>
          <w:rFonts w:cs="Tahoma"/>
          <w:b/>
        </w:rPr>
        <w:t>E</w:t>
      </w:r>
      <w:r w:rsidRPr="00AC7C5C">
        <w:rPr>
          <w:rFonts w:cs="Tahoma"/>
          <w:b/>
        </w:rPr>
        <w:t xml:space="preserve"> NAGODB</w:t>
      </w:r>
      <w:r>
        <w:rPr>
          <w:rFonts w:cs="Tahoma"/>
          <w:b/>
        </w:rPr>
        <w:t>E</w:t>
      </w:r>
    </w:p>
    <w:p w:rsidRDefault="00817035" w:rsidP="00817035" w:rsidR="00817035" w:rsidRPr="00AC7C5C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  <w:b/>
          <w:highlight w:val="yellow"/>
        </w:rPr>
      </w:pPr>
    </w:p>
    <w:p w:rsidRDefault="0037373A" w:rsidP="00A109F0" w:rsidR="00817035">
      <w:pPr>
        <w:ind w:firstLine="720"/>
        <w:jc w:val="both"/>
        <w:rPr>
          <w:rFonts w:cs="Tahoma"/>
        </w:rPr>
      </w:pPr>
      <w:r>
        <w:t xml:space="preserve">DELTA-KAT d.o.o., Zagreb, Donje Vrapče 53 OIB 45336532168  </w:t>
      </w:r>
      <w:r w:rsidR="00817035">
        <w:rPr>
          <w:rFonts w:cs="Tahoma"/>
        </w:rPr>
        <w:t>obvezuje se vjerovnicima predstečajne nagodbe isplatiti kako slijedi:</w:t>
      </w:r>
    </w:p>
    <w:p w:rsidRDefault="00360CB7" w:rsidP="00E0448E" w:rsidR="00360CB7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132B4D" w:rsidP="00132B4D" w:rsidR="00132B4D">
      <w:pPr>
        <w:spacing w:lineRule="auto" w:line="360"/>
        <w:ind w:right="-766"/>
        <w:jc w:val="both"/>
      </w:pPr>
    </w:p>
    <w:p w:rsidRDefault="00132B4D" w:rsidP="00132B4D" w:rsidR="00132B4D">
      <w:pPr>
        <w:pStyle w:val="Grafikeoznake21"/>
        <w:numPr>
          <w:ilvl w:val="0"/>
          <w:numId w:val="35"/>
        </w:numPr>
        <w:spacing w:lineRule="auto" w:line="360"/>
        <w:ind w:hanging="577" w:left="567"/>
        <w:jc w:val="both"/>
        <w:rPr>
          <w:sz w:val="16"/>
          <w:szCs w:val="16"/>
        </w:rPr>
      </w:pPr>
      <w:r>
        <w:t xml:space="preserve">Dug prema </w:t>
      </w:r>
      <w:r>
        <w:rPr>
          <w:b/>
        </w:rPr>
        <w:t>Javnoj upravi i trgovačkim društvima u većinskom vlasništvu RH</w:t>
      </w:r>
      <w:r>
        <w:t xml:space="preserve"> na dan 10.09.2015. g., sukladno utvrđenim tražbinama  iznosi </w:t>
      </w:r>
      <w:r>
        <w:rPr>
          <w:color w:val="000000"/>
          <w:lang w:eastAsia="en-US"/>
        </w:rPr>
        <w:t xml:space="preserve">227.455,09 </w:t>
      </w:r>
      <w:r>
        <w:t>kn. Predlaže  se otpis utvrđenih tražbina za 70%. Preostalih 30% utvrđenih tražbina otplatit će se na 36 mjeseci, uz dodatnih 12 mjeseci počeka, uz propisanu kamatu od 4,5%, u jednakim mjesečnim anuitetima, počevši od pravomoćnosti Rješenja Trgovačkog suda o sklopljenoj nagodbi, svakog 15-tog u mjesecu.</w:t>
      </w:r>
    </w:p>
    <w:tbl>
      <w:tblPr>
        <w:tblW w:type="dxa" w:w="11624"/>
        <w:tblInd w:type="dxa" w:w="-1026"/>
        <w:tblLayout w:type="fixed"/>
        <w:tblLook w:val="0000" w:noVBand="0" w:noHBand="0" w:lastColumn="0" w:firstColumn="0" w:lastRow="0" w:firstRow="0"/>
      </w:tblPr>
      <w:tblGrid>
        <w:gridCol w:w="567"/>
        <w:gridCol w:w="1276"/>
        <w:gridCol w:w="1701"/>
        <w:gridCol w:w="1276"/>
        <w:gridCol w:w="1134"/>
        <w:gridCol w:w="1417"/>
        <w:gridCol w:w="993"/>
        <w:gridCol w:w="2114"/>
        <w:gridCol w:w="1146"/>
      </w:tblGrid>
      <w:tr w:rsidTr="00132B4D" w:rsidR="00132B4D">
        <w:trPr>
          <w:trHeight w:val="78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2"/>
              </w:rPr>
            </w:pPr>
            <w:r>
              <w:rPr>
                <w:sz w:val="16"/>
                <w:szCs w:val="16"/>
              </w:rPr>
              <w:t>RBR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OIB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NAZIV VJEROVNIKA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UTVRĐENI IZNOS TRAŽBINE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OTPIS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22"/>
              </w:rPr>
              <w:t>PREOSTALO ZA OTPLATU</w:t>
            </w:r>
          </w:p>
        </w:tc>
        <w:tc>
          <w:tcPr>
            <w:tcW w:type="dxa" w:w="99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IZNOS POJEDINOG ANUITETA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DOSPIJEĆE</w:t>
            </w:r>
          </w:p>
        </w:tc>
        <w:tc>
          <w:tcPr>
            <w:tcW w:type="dxa" w:w="11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jc w:val="both"/>
            </w:pPr>
            <w:r>
              <w:rPr>
                <w:sz w:val="18"/>
                <w:szCs w:val="18"/>
              </w:rPr>
              <w:t>KAMATE</w:t>
            </w:r>
          </w:p>
        </w:tc>
      </w:tr>
      <w:tr w:rsidTr="00132B4D" w:rsidR="00132B4D">
        <w:trPr>
          <w:trHeight w:val="240"/>
        </w:trPr>
        <w:tc>
          <w:tcPr>
            <w:tcW w:type="dxa" w:w="56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46830600751</w:t>
            </w:r>
          </w:p>
        </w:tc>
        <w:tc>
          <w:tcPr>
            <w:tcW w:type="dxa" w:w="17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HEP-Operator distribucijskog sustava d.o.o.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179,46</w:t>
            </w:r>
          </w:p>
        </w:tc>
        <w:tc>
          <w:tcPr>
            <w:tcW w:type="dxa" w:w="113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125,622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53,84</w:t>
            </w:r>
          </w:p>
        </w:tc>
        <w:tc>
          <w:tcPr>
            <w:tcW w:type="dxa" w:w="99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rFonts w:cs="Arial Narrow" w:hAnsi="Arial Narrow" w:ascii="Arial Narrow"/>
                <w:color w:val="000000"/>
                <w:sz w:val="20"/>
                <w:szCs w:val="20"/>
              </w:rPr>
            </w:pPr>
            <w:r>
              <w:rPr>
                <w:sz w:val="18"/>
                <w:szCs w:val="20"/>
              </w:rPr>
              <w:t>1.49</w:t>
            </w:r>
          </w:p>
        </w:tc>
        <w:tc>
          <w:tcPr>
            <w:tcW w:type="dxa" w:w="21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both"/>
              <w:rPr>
                <w:rFonts w:cs="Arial Narrow" w:hAnsi="Arial Narrow" w:ascii="Arial Narrow"/>
                <w:sz w:val="18"/>
                <w:szCs w:val="18"/>
              </w:rPr>
            </w:pPr>
            <w:r>
              <w:rPr>
                <w:rFonts w:cs="Arial Narrow" w:hAnsi="Arial Narrow" w:ascii="Arial Narrow"/>
                <w:color w:val="000000"/>
                <w:sz w:val="20"/>
                <w:szCs w:val="20"/>
              </w:rPr>
              <w:t>Mjesečno, u 36 obroka od kojih prvi dospijeva  nakon isteka počeka od 12  mjeseci računajući od dana pravomoćnosti rješenja Trgovačkog suda, a svaki slijedeći dospijeva svakog slijedećeg 15-og u mjesecu</w:t>
            </w:r>
          </w:p>
        </w:tc>
        <w:tc>
          <w:tcPr>
            <w:tcW w:type="dxa" w:w="11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both"/>
              <w:rPr>
                <w:rFonts w:cs="Arial Narrow" w:eastAsia="Arial Narrow" w:hAnsi="Arial Narrow" w:ascii="Arial Narrow"/>
                <w:sz w:val="18"/>
                <w:szCs w:val="18"/>
              </w:rPr>
            </w:pPr>
            <w:r>
              <w:rPr>
                <w:rFonts w:cs="Arial Narrow" w:hAnsi="Arial Narrow" w:ascii="Arial Narrow"/>
                <w:sz w:val="18"/>
                <w:szCs w:val="18"/>
              </w:rPr>
              <w:t>4,5 % godišnje</w:t>
            </w:r>
          </w:p>
          <w:p w:rsidRDefault="00132B4D" w:rsidP="00A6142B" w:rsidR="00132B4D">
            <w:pPr>
              <w:jc w:val="both"/>
              <w:rPr>
                <w:rFonts w:cs="Arial Narrow" w:eastAsia="Arial Narrow" w:hAnsi="Arial Narrow" w:ascii="Arial Narrow"/>
                <w:sz w:val="18"/>
                <w:szCs w:val="18"/>
              </w:rPr>
            </w:pPr>
            <w:r>
              <w:rPr>
                <w:rFonts w:cs="Arial Narrow" w:eastAsia="Arial Narrow" w:hAnsi="Arial Narrow" w:ascii="Arial Narrow"/>
                <w:sz w:val="18"/>
                <w:szCs w:val="18"/>
              </w:rPr>
              <w:t xml:space="preserve"> </w:t>
            </w:r>
            <w:r>
              <w:rPr>
                <w:rFonts w:cs="Arial Narrow" w:hAnsi="Arial Narrow" w:ascii="Arial Narrow"/>
                <w:sz w:val="18"/>
                <w:szCs w:val="18"/>
              </w:rPr>
              <w:t>koja teče</w:t>
            </w:r>
          </w:p>
          <w:p w:rsidRDefault="00132B4D" w:rsidP="00A6142B" w:rsidR="00132B4D">
            <w:pPr>
              <w:jc w:val="both"/>
              <w:rPr>
                <w:rFonts w:cs="Arial Narrow" w:hAnsi="Arial Narrow" w:ascii="Arial Narrow"/>
                <w:sz w:val="18"/>
                <w:szCs w:val="18"/>
              </w:rPr>
            </w:pPr>
            <w:r>
              <w:rPr>
                <w:rFonts w:cs="Arial Narrow" w:eastAsia="Arial Narrow" w:hAnsi="Arial Narrow" w:ascii="Arial Narrow"/>
                <w:sz w:val="18"/>
                <w:szCs w:val="18"/>
              </w:rPr>
              <w:t xml:space="preserve"> </w:t>
            </w:r>
            <w:r>
              <w:rPr>
                <w:rFonts w:cs="Arial Narrow" w:hAnsi="Arial Narrow" w:ascii="Arial Narrow"/>
                <w:sz w:val="18"/>
                <w:szCs w:val="18"/>
              </w:rPr>
              <w:t xml:space="preserve">od dana </w:t>
            </w:r>
          </w:p>
          <w:p w:rsidRDefault="00132B4D" w:rsidP="00A6142B" w:rsidR="00132B4D">
            <w:pPr>
              <w:jc w:val="both"/>
              <w:rPr>
                <w:rFonts w:cs="Arial Narrow" w:hAnsi="Arial Narrow" w:ascii="Arial Narrow"/>
                <w:color w:val="000000"/>
                <w:sz w:val="18"/>
                <w:szCs w:val="18"/>
              </w:rPr>
            </w:pPr>
            <w:r>
              <w:rPr>
                <w:rFonts w:cs="Arial Narrow" w:hAnsi="Arial Narrow" w:ascii="Arial Narrow"/>
                <w:sz w:val="18"/>
                <w:szCs w:val="18"/>
              </w:rPr>
              <w:t xml:space="preserve">pravomoćnosti sudske nagodbe pa </w:t>
            </w:r>
          </w:p>
          <w:p w:rsidRDefault="00132B4D" w:rsidP="00A6142B" w:rsidR="00132B4D">
            <w:pPr>
              <w:jc w:val="both"/>
            </w:pPr>
            <w:r>
              <w:rPr>
                <w:rFonts w:cs="Arial Narrow" w:hAnsi="Arial Narrow" w:ascii="Arial Narrow"/>
                <w:color w:val="000000"/>
                <w:sz w:val="18"/>
                <w:szCs w:val="18"/>
              </w:rPr>
              <w:t>do isplate</w:t>
            </w:r>
          </w:p>
        </w:tc>
      </w:tr>
      <w:tr w:rsidTr="00132B4D" w:rsidR="00132B4D">
        <w:trPr>
          <w:trHeight w:val="240"/>
        </w:trPr>
        <w:tc>
          <w:tcPr>
            <w:tcW w:type="dxa" w:w="56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2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15907062900</w:t>
            </w:r>
          </w:p>
        </w:tc>
        <w:tc>
          <w:tcPr>
            <w:tcW w:type="dxa" w:w="17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HEP-TOPLINARSTVO d.o.o.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3.650,89</w:t>
            </w:r>
          </w:p>
        </w:tc>
        <w:tc>
          <w:tcPr>
            <w:tcW w:type="dxa" w:w="113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2555,623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1.095,27</w:t>
            </w:r>
          </w:p>
        </w:tc>
        <w:tc>
          <w:tcPr>
            <w:tcW w:type="dxa" w:w="99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rFonts w:cs="Arial Narrow" w:hAnsi="Arial Narrow" w:ascii="Arial Narrow"/>
                <w:color w:val="000000"/>
                <w:sz w:val="20"/>
                <w:szCs w:val="20"/>
              </w:rPr>
            </w:pPr>
            <w:r>
              <w:rPr>
                <w:sz w:val="18"/>
                <w:szCs w:val="20"/>
              </w:rPr>
              <w:t>30.42</w:t>
            </w:r>
          </w:p>
        </w:tc>
        <w:tc>
          <w:tcPr>
            <w:tcW w:type="dxa" w:w="21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both"/>
              <w:rPr>
                <w:rFonts w:cs="Arial Narrow" w:hAnsi="Arial Narrow" w:ascii="Arial Narrow"/>
                <w:sz w:val="18"/>
                <w:szCs w:val="18"/>
              </w:rPr>
            </w:pPr>
            <w:r>
              <w:rPr>
                <w:rFonts w:cs="Arial Narrow" w:hAnsi="Arial Narrow" w:ascii="Arial Narrow"/>
                <w:color w:val="000000"/>
                <w:sz w:val="20"/>
                <w:szCs w:val="20"/>
              </w:rPr>
              <w:t>Mjesečno, u 36 obroka od kojih prvi dospijeva  nakon isteka počeka od 12  mjeseci računajući od dana pravomoćnosti rješenja Trgovačkog suda, a svaki slijedeći dospijeva svakog slijedećeg 15-og u mjesecu</w:t>
            </w:r>
          </w:p>
        </w:tc>
        <w:tc>
          <w:tcPr>
            <w:tcW w:type="dxa" w:w="11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both"/>
              <w:rPr>
                <w:rFonts w:cs="Arial Narrow" w:eastAsia="Arial Narrow" w:hAnsi="Arial Narrow" w:ascii="Arial Narrow"/>
                <w:sz w:val="18"/>
                <w:szCs w:val="18"/>
              </w:rPr>
            </w:pPr>
            <w:r>
              <w:rPr>
                <w:rFonts w:cs="Arial Narrow" w:hAnsi="Arial Narrow" w:ascii="Arial Narrow"/>
                <w:sz w:val="18"/>
                <w:szCs w:val="18"/>
              </w:rPr>
              <w:t>4,5 % godišnje</w:t>
            </w:r>
          </w:p>
          <w:p w:rsidRDefault="00132B4D" w:rsidP="00A6142B" w:rsidR="00132B4D">
            <w:pPr>
              <w:jc w:val="both"/>
              <w:rPr>
                <w:rFonts w:cs="Arial Narrow" w:eastAsia="Arial Narrow" w:hAnsi="Arial Narrow" w:ascii="Arial Narrow"/>
                <w:sz w:val="18"/>
                <w:szCs w:val="18"/>
              </w:rPr>
            </w:pPr>
            <w:r>
              <w:rPr>
                <w:rFonts w:cs="Arial Narrow" w:eastAsia="Arial Narrow" w:hAnsi="Arial Narrow" w:ascii="Arial Narrow"/>
                <w:sz w:val="18"/>
                <w:szCs w:val="18"/>
              </w:rPr>
              <w:t xml:space="preserve"> </w:t>
            </w:r>
            <w:r>
              <w:rPr>
                <w:rFonts w:cs="Arial Narrow" w:hAnsi="Arial Narrow" w:ascii="Arial Narrow"/>
                <w:sz w:val="18"/>
                <w:szCs w:val="18"/>
              </w:rPr>
              <w:t>koja teče</w:t>
            </w:r>
          </w:p>
          <w:p w:rsidRDefault="00132B4D" w:rsidP="00A6142B" w:rsidR="00132B4D">
            <w:pPr>
              <w:jc w:val="both"/>
              <w:rPr>
                <w:rFonts w:cs="Arial Narrow" w:hAnsi="Arial Narrow" w:ascii="Arial Narrow"/>
                <w:sz w:val="18"/>
                <w:szCs w:val="18"/>
              </w:rPr>
            </w:pPr>
            <w:r>
              <w:rPr>
                <w:rFonts w:cs="Arial Narrow" w:eastAsia="Arial Narrow" w:hAnsi="Arial Narrow" w:ascii="Arial Narrow"/>
                <w:sz w:val="18"/>
                <w:szCs w:val="18"/>
              </w:rPr>
              <w:t xml:space="preserve"> </w:t>
            </w:r>
            <w:r>
              <w:rPr>
                <w:rFonts w:cs="Arial Narrow" w:hAnsi="Arial Narrow" w:ascii="Arial Narrow"/>
                <w:sz w:val="18"/>
                <w:szCs w:val="18"/>
              </w:rPr>
              <w:t xml:space="preserve">od dana </w:t>
            </w:r>
          </w:p>
          <w:p w:rsidRDefault="00132B4D" w:rsidP="00A6142B" w:rsidR="00132B4D">
            <w:pPr>
              <w:jc w:val="both"/>
              <w:rPr>
                <w:rFonts w:cs="Arial Narrow" w:hAnsi="Arial Narrow" w:ascii="Arial Narrow"/>
                <w:color w:val="000000"/>
                <w:sz w:val="18"/>
                <w:szCs w:val="18"/>
              </w:rPr>
            </w:pPr>
            <w:r>
              <w:rPr>
                <w:rFonts w:cs="Arial Narrow" w:hAnsi="Arial Narrow" w:ascii="Arial Narrow"/>
                <w:sz w:val="18"/>
                <w:szCs w:val="18"/>
              </w:rPr>
              <w:t xml:space="preserve">pravomoćnosti sudske nagodbe pa </w:t>
            </w:r>
          </w:p>
          <w:p w:rsidRDefault="00132B4D" w:rsidP="00A6142B" w:rsidR="00132B4D">
            <w:pPr>
              <w:jc w:val="both"/>
            </w:pPr>
            <w:r>
              <w:rPr>
                <w:rFonts w:cs="Arial Narrow" w:hAnsi="Arial Narrow" w:ascii="Arial Narrow"/>
                <w:color w:val="000000"/>
                <w:sz w:val="18"/>
                <w:szCs w:val="18"/>
              </w:rPr>
              <w:t>do isplate</w:t>
            </w:r>
          </w:p>
        </w:tc>
      </w:tr>
      <w:tr w:rsidTr="00132B4D" w:rsidR="00132B4D">
        <w:trPr>
          <w:trHeight w:val="240"/>
        </w:trPr>
        <w:tc>
          <w:tcPr>
            <w:tcW w:type="dxa" w:w="56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85167032587</w:t>
            </w:r>
          </w:p>
        </w:tc>
        <w:tc>
          <w:tcPr>
            <w:tcW w:type="dxa" w:w="17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HRVATSKA GOSPODARSKA KOMORA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504</w:t>
            </w:r>
          </w:p>
        </w:tc>
        <w:tc>
          <w:tcPr>
            <w:tcW w:type="dxa" w:w="113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352,8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151,20</w:t>
            </w:r>
          </w:p>
        </w:tc>
        <w:tc>
          <w:tcPr>
            <w:tcW w:type="dxa" w:w="99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rFonts w:cs="Arial Narrow" w:hAnsi="Arial Narrow" w:ascii="Arial Narrow"/>
                <w:color w:val="000000"/>
                <w:sz w:val="20"/>
                <w:szCs w:val="20"/>
              </w:rPr>
            </w:pPr>
            <w:r>
              <w:rPr>
                <w:sz w:val="18"/>
                <w:szCs w:val="20"/>
              </w:rPr>
              <w:t>4.20</w:t>
            </w:r>
          </w:p>
        </w:tc>
        <w:tc>
          <w:tcPr>
            <w:tcW w:type="dxa" w:w="21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both"/>
              <w:rPr>
                <w:rFonts w:cs="Arial Narrow" w:hAnsi="Arial Narrow" w:ascii="Arial Narrow"/>
                <w:sz w:val="18"/>
                <w:szCs w:val="18"/>
              </w:rPr>
            </w:pPr>
            <w:r>
              <w:rPr>
                <w:rFonts w:cs="Arial Narrow" w:hAnsi="Arial Narrow" w:ascii="Arial Narrow"/>
                <w:color w:val="000000"/>
                <w:sz w:val="20"/>
                <w:szCs w:val="20"/>
              </w:rPr>
              <w:t xml:space="preserve">Mjesečno, u 36 obroka od kojih prvi dospijeva  nakon isteka počeka od 12  mjeseci računajući od dana pravomoćnosti rješenja Trgovačkog suda, a svaki slijedeći dospijeva svakog </w:t>
            </w:r>
            <w:r>
              <w:rPr>
                <w:rFonts w:cs="Arial Narrow" w:hAnsi="Arial Narrow" w:ascii="Arial Narrow"/>
                <w:color w:val="000000"/>
                <w:sz w:val="20"/>
                <w:szCs w:val="20"/>
              </w:rPr>
              <w:lastRenderedPageBreak/>
              <w:t>slijedećeg 15-og u mjesecu</w:t>
            </w:r>
          </w:p>
        </w:tc>
        <w:tc>
          <w:tcPr>
            <w:tcW w:type="dxa" w:w="11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both"/>
              <w:rPr>
                <w:rFonts w:cs="Arial Narrow" w:eastAsia="Arial Narrow" w:hAnsi="Arial Narrow" w:ascii="Arial Narrow"/>
                <w:sz w:val="18"/>
                <w:szCs w:val="18"/>
              </w:rPr>
            </w:pPr>
            <w:r>
              <w:rPr>
                <w:rFonts w:cs="Arial Narrow" w:hAnsi="Arial Narrow" w:ascii="Arial Narrow"/>
                <w:sz w:val="18"/>
                <w:szCs w:val="18"/>
              </w:rPr>
              <w:lastRenderedPageBreak/>
              <w:t>4,5 % godišnje</w:t>
            </w:r>
          </w:p>
          <w:p w:rsidRDefault="00132B4D" w:rsidP="00A6142B" w:rsidR="00132B4D">
            <w:pPr>
              <w:jc w:val="both"/>
              <w:rPr>
                <w:rFonts w:cs="Arial Narrow" w:eastAsia="Arial Narrow" w:hAnsi="Arial Narrow" w:ascii="Arial Narrow"/>
                <w:sz w:val="18"/>
                <w:szCs w:val="18"/>
              </w:rPr>
            </w:pPr>
            <w:r>
              <w:rPr>
                <w:rFonts w:cs="Arial Narrow" w:eastAsia="Arial Narrow" w:hAnsi="Arial Narrow" w:ascii="Arial Narrow"/>
                <w:sz w:val="18"/>
                <w:szCs w:val="18"/>
              </w:rPr>
              <w:t xml:space="preserve"> </w:t>
            </w:r>
            <w:r>
              <w:rPr>
                <w:rFonts w:cs="Arial Narrow" w:hAnsi="Arial Narrow" w:ascii="Arial Narrow"/>
                <w:sz w:val="18"/>
                <w:szCs w:val="18"/>
              </w:rPr>
              <w:t>koja teče</w:t>
            </w:r>
          </w:p>
          <w:p w:rsidRDefault="00132B4D" w:rsidP="00A6142B" w:rsidR="00132B4D">
            <w:pPr>
              <w:jc w:val="both"/>
              <w:rPr>
                <w:rFonts w:cs="Arial Narrow" w:hAnsi="Arial Narrow" w:ascii="Arial Narrow"/>
                <w:sz w:val="18"/>
                <w:szCs w:val="18"/>
              </w:rPr>
            </w:pPr>
            <w:r>
              <w:rPr>
                <w:rFonts w:cs="Arial Narrow" w:eastAsia="Arial Narrow" w:hAnsi="Arial Narrow" w:ascii="Arial Narrow"/>
                <w:sz w:val="18"/>
                <w:szCs w:val="18"/>
              </w:rPr>
              <w:t xml:space="preserve"> </w:t>
            </w:r>
            <w:r>
              <w:rPr>
                <w:rFonts w:cs="Arial Narrow" w:hAnsi="Arial Narrow" w:ascii="Arial Narrow"/>
                <w:sz w:val="18"/>
                <w:szCs w:val="18"/>
              </w:rPr>
              <w:t xml:space="preserve">od dana </w:t>
            </w:r>
          </w:p>
          <w:p w:rsidRDefault="00132B4D" w:rsidP="00A6142B" w:rsidR="00132B4D">
            <w:pPr>
              <w:jc w:val="both"/>
              <w:rPr>
                <w:rFonts w:cs="Arial Narrow" w:hAnsi="Arial Narrow" w:ascii="Arial Narrow"/>
                <w:color w:val="000000"/>
                <w:sz w:val="18"/>
                <w:szCs w:val="18"/>
              </w:rPr>
            </w:pPr>
            <w:r>
              <w:rPr>
                <w:rFonts w:cs="Arial Narrow" w:hAnsi="Arial Narrow" w:ascii="Arial Narrow"/>
                <w:sz w:val="18"/>
                <w:szCs w:val="18"/>
              </w:rPr>
              <w:t xml:space="preserve">pravomoćnosti sudske nagodbe pa </w:t>
            </w:r>
          </w:p>
          <w:p w:rsidRDefault="00132B4D" w:rsidP="00A6142B" w:rsidR="00132B4D">
            <w:pPr>
              <w:jc w:val="both"/>
            </w:pPr>
            <w:r>
              <w:rPr>
                <w:rFonts w:cs="Arial Narrow" w:hAnsi="Arial Narrow" w:ascii="Arial Narrow"/>
                <w:color w:val="000000"/>
                <w:sz w:val="18"/>
                <w:szCs w:val="18"/>
              </w:rPr>
              <w:t>do isplate</w:t>
            </w:r>
          </w:p>
        </w:tc>
      </w:tr>
      <w:tr w:rsidTr="00132B4D" w:rsidR="00132B4D">
        <w:trPr>
          <w:trHeight w:val="240"/>
        </w:trPr>
        <w:tc>
          <w:tcPr>
            <w:tcW w:type="dxa" w:w="56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lastRenderedPageBreak/>
              <w:t>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69693144506</w:t>
            </w:r>
          </w:p>
        </w:tc>
        <w:tc>
          <w:tcPr>
            <w:tcW w:type="dxa" w:w="17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HRVATSKE ŠUME d.o.o.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1.826,73</w:t>
            </w:r>
          </w:p>
        </w:tc>
        <w:tc>
          <w:tcPr>
            <w:tcW w:type="dxa" w:w="113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1278,711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548,02</w:t>
            </w:r>
          </w:p>
        </w:tc>
        <w:tc>
          <w:tcPr>
            <w:tcW w:type="dxa" w:w="99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rFonts w:cs="Arial Narrow" w:hAnsi="Arial Narrow" w:ascii="Arial Narrow"/>
                <w:color w:val="000000"/>
                <w:sz w:val="20"/>
                <w:szCs w:val="20"/>
              </w:rPr>
            </w:pPr>
            <w:r>
              <w:rPr>
                <w:sz w:val="18"/>
                <w:szCs w:val="20"/>
              </w:rPr>
              <w:t>15.22</w:t>
            </w:r>
          </w:p>
        </w:tc>
        <w:tc>
          <w:tcPr>
            <w:tcW w:type="dxa" w:w="21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both"/>
              <w:rPr>
                <w:rFonts w:cs="Arial Narrow" w:hAnsi="Arial Narrow" w:ascii="Arial Narrow"/>
                <w:sz w:val="18"/>
                <w:szCs w:val="18"/>
              </w:rPr>
            </w:pPr>
            <w:r>
              <w:rPr>
                <w:rFonts w:cs="Arial Narrow" w:hAnsi="Arial Narrow" w:ascii="Arial Narrow"/>
                <w:color w:val="000000"/>
                <w:sz w:val="20"/>
                <w:szCs w:val="20"/>
              </w:rPr>
              <w:t>Mjesečno, u 36 obroka od kojih prvi dospijeva  nakon isteka počeka od 12  mjeseci računajući od dana pravomoćnosti rješenja Trgovačkog suda, a svaki slijedeći dospijeva svakog slijedećeg 15-og u mjesecu</w:t>
            </w:r>
          </w:p>
        </w:tc>
        <w:tc>
          <w:tcPr>
            <w:tcW w:type="dxa" w:w="11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both"/>
              <w:rPr>
                <w:rFonts w:cs="Arial Narrow" w:eastAsia="Arial Narrow" w:hAnsi="Arial Narrow" w:ascii="Arial Narrow"/>
                <w:sz w:val="18"/>
                <w:szCs w:val="18"/>
              </w:rPr>
            </w:pPr>
            <w:r>
              <w:rPr>
                <w:rFonts w:cs="Arial Narrow" w:hAnsi="Arial Narrow" w:ascii="Arial Narrow"/>
                <w:sz w:val="18"/>
                <w:szCs w:val="18"/>
              </w:rPr>
              <w:t>4,5 % godišnje</w:t>
            </w:r>
          </w:p>
          <w:p w:rsidRDefault="00132B4D" w:rsidP="00A6142B" w:rsidR="00132B4D">
            <w:pPr>
              <w:jc w:val="both"/>
              <w:rPr>
                <w:rFonts w:cs="Arial Narrow" w:eastAsia="Arial Narrow" w:hAnsi="Arial Narrow" w:ascii="Arial Narrow"/>
                <w:sz w:val="18"/>
                <w:szCs w:val="18"/>
              </w:rPr>
            </w:pPr>
            <w:r>
              <w:rPr>
                <w:rFonts w:cs="Arial Narrow" w:eastAsia="Arial Narrow" w:hAnsi="Arial Narrow" w:ascii="Arial Narrow"/>
                <w:sz w:val="18"/>
                <w:szCs w:val="18"/>
              </w:rPr>
              <w:t xml:space="preserve"> </w:t>
            </w:r>
            <w:r>
              <w:rPr>
                <w:rFonts w:cs="Arial Narrow" w:hAnsi="Arial Narrow" w:ascii="Arial Narrow"/>
                <w:sz w:val="18"/>
                <w:szCs w:val="18"/>
              </w:rPr>
              <w:t>koja teče</w:t>
            </w:r>
          </w:p>
          <w:p w:rsidRDefault="00132B4D" w:rsidP="00A6142B" w:rsidR="00132B4D">
            <w:pPr>
              <w:jc w:val="both"/>
              <w:rPr>
                <w:rFonts w:cs="Arial Narrow" w:hAnsi="Arial Narrow" w:ascii="Arial Narrow"/>
                <w:sz w:val="18"/>
                <w:szCs w:val="18"/>
              </w:rPr>
            </w:pPr>
            <w:r>
              <w:rPr>
                <w:rFonts w:cs="Arial Narrow" w:eastAsia="Arial Narrow" w:hAnsi="Arial Narrow" w:ascii="Arial Narrow"/>
                <w:sz w:val="18"/>
                <w:szCs w:val="18"/>
              </w:rPr>
              <w:t xml:space="preserve"> </w:t>
            </w:r>
            <w:r>
              <w:rPr>
                <w:rFonts w:cs="Arial Narrow" w:hAnsi="Arial Narrow" w:ascii="Arial Narrow"/>
                <w:sz w:val="18"/>
                <w:szCs w:val="18"/>
              </w:rPr>
              <w:t xml:space="preserve">od dana </w:t>
            </w:r>
          </w:p>
          <w:p w:rsidRDefault="00132B4D" w:rsidP="00A6142B" w:rsidR="00132B4D">
            <w:pPr>
              <w:jc w:val="both"/>
              <w:rPr>
                <w:rFonts w:cs="Arial Narrow" w:hAnsi="Arial Narrow" w:ascii="Arial Narrow"/>
                <w:color w:val="000000"/>
                <w:sz w:val="18"/>
                <w:szCs w:val="18"/>
              </w:rPr>
            </w:pPr>
            <w:r>
              <w:rPr>
                <w:rFonts w:cs="Arial Narrow" w:hAnsi="Arial Narrow" w:ascii="Arial Narrow"/>
                <w:sz w:val="18"/>
                <w:szCs w:val="18"/>
              </w:rPr>
              <w:t xml:space="preserve">pravomoćnosti sudske nagodbe pa </w:t>
            </w:r>
          </w:p>
          <w:p w:rsidRDefault="00132B4D" w:rsidP="00A6142B" w:rsidR="00132B4D">
            <w:pPr>
              <w:jc w:val="both"/>
            </w:pPr>
            <w:r>
              <w:rPr>
                <w:rFonts w:cs="Arial Narrow" w:hAnsi="Arial Narrow" w:ascii="Arial Narrow"/>
                <w:color w:val="000000"/>
                <w:sz w:val="18"/>
                <w:szCs w:val="18"/>
              </w:rPr>
              <w:t>do isplate</w:t>
            </w:r>
          </w:p>
        </w:tc>
      </w:tr>
      <w:tr w:rsidTr="00132B4D" w:rsidR="00132B4D">
        <w:trPr>
          <w:trHeight w:val="240"/>
        </w:trPr>
        <w:tc>
          <w:tcPr>
            <w:tcW w:type="dxa" w:w="56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18683136487</w:t>
            </w:r>
          </w:p>
        </w:tc>
        <w:tc>
          <w:tcPr>
            <w:tcW w:type="dxa" w:w="17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MINISTARSTVO FINANCIJA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220.243,11</w:t>
            </w:r>
          </w:p>
        </w:tc>
        <w:tc>
          <w:tcPr>
            <w:tcW w:type="dxa" w:w="113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154.170,177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66.072,93</w:t>
            </w:r>
          </w:p>
        </w:tc>
        <w:tc>
          <w:tcPr>
            <w:tcW w:type="dxa" w:w="99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rFonts w:cs="Arial Narrow" w:hAnsi="Arial Narrow" w:ascii="Arial Narrow"/>
                <w:color w:val="000000"/>
                <w:sz w:val="20"/>
                <w:szCs w:val="20"/>
              </w:rPr>
            </w:pPr>
            <w:r>
              <w:rPr>
                <w:sz w:val="18"/>
                <w:szCs w:val="20"/>
              </w:rPr>
              <w:t>1.835.35</w:t>
            </w:r>
          </w:p>
        </w:tc>
        <w:tc>
          <w:tcPr>
            <w:tcW w:type="dxa" w:w="21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both"/>
              <w:rPr>
                <w:rFonts w:cs="Arial Narrow" w:hAnsi="Arial Narrow" w:ascii="Arial Narrow"/>
                <w:sz w:val="18"/>
                <w:szCs w:val="18"/>
              </w:rPr>
            </w:pPr>
            <w:r>
              <w:rPr>
                <w:rFonts w:cs="Arial Narrow" w:hAnsi="Arial Narrow" w:ascii="Arial Narrow"/>
                <w:color w:val="000000"/>
                <w:sz w:val="20"/>
                <w:szCs w:val="20"/>
              </w:rPr>
              <w:t>Mjesečno, u 36 obroka od kojih prvi dospijeva  nakon isteka počeka od 12  mjeseci računajući od dana pravomoćnosti rješenja Trgovačkog suda, a svaki slijedeći dospijeva svakog slijedećeg 15-og u mjesecu</w:t>
            </w:r>
          </w:p>
        </w:tc>
        <w:tc>
          <w:tcPr>
            <w:tcW w:type="dxa" w:w="11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both"/>
              <w:rPr>
                <w:rFonts w:cs="Arial Narrow" w:eastAsia="Arial Narrow" w:hAnsi="Arial Narrow" w:ascii="Arial Narrow"/>
                <w:sz w:val="18"/>
                <w:szCs w:val="18"/>
              </w:rPr>
            </w:pPr>
            <w:r>
              <w:rPr>
                <w:rFonts w:cs="Arial Narrow" w:hAnsi="Arial Narrow" w:ascii="Arial Narrow"/>
                <w:sz w:val="18"/>
                <w:szCs w:val="18"/>
              </w:rPr>
              <w:t>4,5 % godišnje</w:t>
            </w:r>
          </w:p>
          <w:p w:rsidRDefault="00132B4D" w:rsidP="00A6142B" w:rsidR="00132B4D">
            <w:pPr>
              <w:jc w:val="both"/>
              <w:rPr>
                <w:rFonts w:cs="Arial Narrow" w:eastAsia="Arial Narrow" w:hAnsi="Arial Narrow" w:ascii="Arial Narrow"/>
                <w:sz w:val="18"/>
                <w:szCs w:val="18"/>
              </w:rPr>
            </w:pPr>
            <w:r>
              <w:rPr>
                <w:rFonts w:cs="Arial Narrow" w:eastAsia="Arial Narrow" w:hAnsi="Arial Narrow" w:ascii="Arial Narrow"/>
                <w:sz w:val="18"/>
                <w:szCs w:val="18"/>
              </w:rPr>
              <w:t xml:space="preserve"> </w:t>
            </w:r>
            <w:r>
              <w:rPr>
                <w:rFonts w:cs="Arial Narrow" w:hAnsi="Arial Narrow" w:ascii="Arial Narrow"/>
                <w:sz w:val="18"/>
                <w:szCs w:val="18"/>
              </w:rPr>
              <w:t>koja teče</w:t>
            </w:r>
          </w:p>
          <w:p w:rsidRDefault="00132B4D" w:rsidP="00A6142B" w:rsidR="00132B4D">
            <w:pPr>
              <w:jc w:val="both"/>
              <w:rPr>
                <w:rFonts w:cs="Arial Narrow" w:hAnsi="Arial Narrow" w:ascii="Arial Narrow"/>
                <w:sz w:val="18"/>
                <w:szCs w:val="18"/>
              </w:rPr>
            </w:pPr>
            <w:r>
              <w:rPr>
                <w:rFonts w:cs="Arial Narrow" w:eastAsia="Arial Narrow" w:hAnsi="Arial Narrow" w:ascii="Arial Narrow"/>
                <w:sz w:val="18"/>
                <w:szCs w:val="18"/>
              </w:rPr>
              <w:t xml:space="preserve"> </w:t>
            </w:r>
            <w:r>
              <w:rPr>
                <w:rFonts w:cs="Arial Narrow" w:hAnsi="Arial Narrow" w:ascii="Arial Narrow"/>
                <w:sz w:val="18"/>
                <w:szCs w:val="18"/>
              </w:rPr>
              <w:t xml:space="preserve">od dana </w:t>
            </w:r>
          </w:p>
          <w:p w:rsidRDefault="00132B4D" w:rsidP="00A6142B" w:rsidR="00132B4D">
            <w:pPr>
              <w:jc w:val="both"/>
              <w:rPr>
                <w:rFonts w:cs="Arial Narrow" w:hAnsi="Arial Narrow" w:ascii="Arial Narrow"/>
                <w:color w:val="000000"/>
                <w:sz w:val="18"/>
                <w:szCs w:val="18"/>
              </w:rPr>
            </w:pPr>
            <w:r>
              <w:rPr>
                <w:rFonts w:cs="Arial Narrow" w:hAnsi="Arial Narrow" w:ascii="Arial Narrow"/>
                <w:sz w:val="18"/>
                <w:szCs w:val="18"/>
              </w:rPr>
              <w:t xml:space="preserve">pravomoćnosti sudske nagodbe pa </w:t>
            </w:r>
          </w:p>
          <w:p w:rsidRDefault="00132B4D" w:rsidP="00A6142B" w:rsidR="00132B4D">
            <w:pPr>
              <w:jc w:val="both"/>
            </w:pPr>
            <w:r>
              <w:rPr>
                <w:rFonts w:cs="Arial Narrow" w:hAnsi="Arial Narrow" w:ascii="Arial Narrow"/>
                <w:color w:val="000000"/>
                <w:sz w:val="18"/>
                <w:szCs w:val="18"/>
              </w:rPr>
              <w:t>do isplate</w:t>
            </w:r>
          </w:p>
        </w:tc>
      </w:tr>
      <w:tr w:rsidTr="00132B4D" w:rsidR="00132B4D">
        <w:trPr>
          <w:trHeight w:val="240"/>
        </w:trPr>
        <w:tc>
          <w:tcPr>
            <w:tcW w:type="dxa" w:w="56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85584865987</w:t>
            </w:r>
          </w:p>
        </w:tc>
        <w:tc>
          <w:tcPr>
            <w:tcW w:type="dxa" w:w="17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ZAGREBAČKA HOLDING d.o.o.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1.050,90</w:t>
            </w:r>
          </w:p>
        </w:tc>
        <w:tc>
          <w:tcPr>
            <w:tcW w:type="dxa" w:w="113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735,63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315,27</w:t>
            </w:r>
          </w:p>
        </w:tc>
        <w:tc>
          <w:tcPr>
            <w:tcW w:type="dxa" w:w="99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rFonts w:cs="Arial Narrow" w:hAnsi="Arial Narrow" w:ascii="Arial Narrow"/>
                <w:color w:val="000000"/>
                <w:sz w:val="20"/>
                <w:szCs w:val="20"/>
              </w:rPr>
            </w:pPr>
            <w:r>
              <w:rPr>
                <w:sz w:val="18"/>
                <w:szCs w:val="20"/>
              </w:rPr>
              <w:t>8.75</w:t>
            </w:r>
          </w:p>
        </w:tc>
        <w:tc>
          <w:tcPr>
            <w:tcW w:type="dxa" w:w="21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both"/>
              <w:rPr>
                <w:rFonts w:cs="Arial Narrow" w:hAnsi="Arial Narrow" w:ascii="Arial Narrow"/>
                <w:sz w:val="18"/>
                <w:szCs w:val="18"/>
              </w:rPr>
            </w:pPr>
            <w:r>
              <w:rPr>
                <w:rFonts w:cs="Arial Narrow" w:hAnsi="Arial Narrow" w:ascii="Arial Narrow"/>
                <w:color w:val="000000"/>
                <w:sz w:val="20"/>
                <w:szCs w:val="20"/>
              </w:rPr>
              <w:t>Mjesečno, u 36 obroka od kojih prvi dospijeva  nakon isteka počeka od 12  mjeseci računajući od dana pravomoćnosti rješenja Trgovačkog suda, a svaki slijedeći dospijeva svakog slijedećeg 15-og u mjesecu</w:t>
            </w:r>
          </w:p>
        </w:tc>
        <w:tc>
          <w:tcPr>
            <w:tcW w:type="dxa" w:w="11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both"/>
              <w:rPr>
                <w:rFonts w:cs="Arial Narrow" w:eastAsia="Arial Narrow" w:hAnsi="Arial Narrow" w:ascii="Arial Narrow"/>
                <w:sz w:val="18"/>
                <w:szCs w:val="18"/>
              </w:rPr>
            </w:pPr>
            <w:r>
              <w:rPr>
                <w:rFonts w:cs="Arial Narrow" w:hAnsi="Arial Narrow" w:ascii="Arial Narrow"/>
                <w:sz w:val="18"/>
                <w:szCs w:val="18"/>
              </w:rPr>
              <w:t>4,5 % godišnje</w:t>
            </w:r>
          </w:p>
          <w:p w:rsidRDefault="00132B4D" w:rsidP="00A6142B" w:rsidR="00132B4D">
            <w:pPr>
              <w:jc w:val="both"/>
              <w:rPr>
                <w:rFonts w:cs="Arial Narrow" w:eastAsia="Arial Narrow" w:hAnsi="Arial Narrow" w:ascii="Arial Narrow"/>
                <w:sz w:val="18"/>
                <w:szCs w:val="18"/>
              </w:rPr>
            </w:pPr>
            <w:r>
              <w:rPr>
                <w:rFonts w:cs="Arial Narrow" w:eastAsia="Arial Narrow" w:hAnsi="Arial Narrow" w:ascii="Arial Narrow"/>
                <w:sz w:val="18"/>
                <w:szCs w:val="18"/>
              </w:rPr>
              <w:t xml:space="preserve"> </w:t>
            </w:r>
            <w:r>
              <w:rPr>
                <w:rFonts w:cs="Arial Narrow" w:hAnsi="Arial Narrow" w:ascii="Arial Narrow"/>
                <w:sz w:val="18"/>
                <w:szCs w:val="18"/>
              </w:rPr>
              <w:t>koja teče</w:t>
            </w:r>
          </w:p>
          <w:p w:rsidRDefault="00132B4D" w:rsidP="00A6142B" w:rsidR="00132B4D">
            <w:pPr>
              <w:jc w:val="both"/>
              <w:rPr>
                <w:rFonts w:cs="Arial Narrow" w:hAnsi="Arial Narrow" w:ascii="Arial Narrow"/>
                <w:sz w:val="18"/>
                <w:szCs w:val="18"/>
              </w:rPr>
            </w:pPr>
            <w:r>
              <w:rPr>
                <w:rFonts w:cs="Arial Narrow" w:eastAsia="Arial Narrow" w:hAnsi="Arial Narrow" w:ascii="Arial Narrow"/>
                <w:sz w:val="18"/>
                <w:szCs w:val="18"/>
              </w:rPr>
              <w:t xml:space="preserve"> </w:t>
            </w:r>
            <w:r>
              <w:rPr>
                <w:rFonts w:cs="Arial Narrow" w:hAnsi="Arial Narrow" w:ascii="Arial Narrow"/>
                <w:sz w:val="18"/>
                <w:szCs w:val="18"/>
              </w:rPr>
              <w:t xml:space="preserve">od dana </w:t>
            </w:r>
          </w:p>
          <w:p w:rsidRDefault="00132B4D" w:rsidP="00A6142B" w:rsidR="00132B4D">
            <w:pPr>
              <w:jc w:val="both"/>
              <w:rPr>
                <w:rFonts w:cs="Arial Narrow" w:hAnsi="Arial Narrow" w:ascii="Arial Narrow"/>
                <w:color w:val="000000"/>
                <w:sz w:val="18"/>
                <w:szCs w:val="18"/>
              </w:rPr>
            </w:pPr>
            <w:r>
              <w:rPr>
                <w:rFonts w:cs="Arial Narrow" w:hAnsi="Arial Narrow" w:ascii="Arial Narrow"/>
                <w:sz w:val="18"/>
                <w:szCs w:val="18"/>
              </w:rPr>
              <w:t xml:space="preserve">pravomoćnosti sudske nagodbe pa </w:t>
            </w:r>
          </w:p>
          <w:p w:rsidRDefault="00132B4D" w:rsidP="00A6142B" w:rsidR="00132B4D">
            <w:pPr>
              <w:jc w:val="both"/>
            </w:pPr>
            <w:r>
              <w:rPr>
                <w:rFonts w:cs="Arial Narrow" w:hAnsi="Arial Narrow" w:ascii="Arial Narrow"/>
                <w:color w:val="000000"/>
                <w:sz w:val="18"/>
                <w:szCs w:val="18"/>
              </w:rPr>
              <w:t>do isplate</w:t>
            </w:r>
          </w:p>
        </w:tc>
      </w:tr>
      <w:tr w:rsidTr="00132B4D" w:rsidR="00132B4D">
        <w:trPr>
          <w:trHeight w:val="260"/>
        </w:trPr>
        <w:tc>
          <w:tcPr>
            <w:tcW w:type="dxa" w:w="567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132B4D" w:rsidP="00A6142B" w:rsidR="00132B4D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132B4D" w:rsidP="00A6142B" w:rsidR="00132B4D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type="dxa" w:w="1701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132B4D" w:rsidP="00A6142B" w:rsidR="00132B4D">
            <w:pPr>
              <w:rPr>
                <w:b/>
                <w:bCs/>
                <w:sz w:val="18"/>
                <w:szCs w:val="22"/>
              </w:rPr>
            </w:pPr>
            <w:r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ind w:firstLine="181"/>
              <w:jc w:val="right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227.455,09</w:t>
            </w:r>
          </w:p>
        </w:tc>
        <w:tc>
          <w:tcPr>
            <w:tcW w:type="dxa" w:w="1134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ind w:firstLine="181"/>
              <w:jc w:val="right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159.218,56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ind w:firstLine="181"/>
              <w:jc w:val="right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68.236,53</w:t>
            </w:r>
          </w:p>
        </w:tc>
        <w:tc>
          <w:tcPr>
            <w:tcW w:type="dxa" w:w="993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ind w:firstLine="181"/>
              <w:jc w:val="right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1.895.43</w:t>
            </w:r>
          </w:p>
        </w:tc>
        <w:tc>
          <w:tcPr>
            <w:tcW w:type="dxa" w:w="2114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snapToGrid w:val="false"/>
              <w:ind w:firstLine="181"/>
              <w:jc w:val="right"/>
              <w:rPr>
                <w:b/>
                <w:bCs/>
                <w:sz w:val="18"/>
                <w:szCs w:val="22"/>
              </w:rPr>
            </w:pPr>
          </w:p>
        </w:tc>
        <w:tc>
          <w:tcPr>
            <w:tcW w:type="dxa" w:w="11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snapToGrid w:val="false"/>
              <w:ind w:firstLine="181"/>
              <w:jc w:val="right"/>
              <w:rPr>
                <w:b/>
                <w:bCs/>
                <w:sz w:val="18"/>
                <w:szCs w:val="22"/>
              </w:rPr>
            </w:pPr>
          </w:p>
        </w:tc>
      </w:tr>
    </w:tbl>
    <w:p w:rsidRDefault="00132B4D" w:rsidP="00132B4D" w:rsidR="00132B4D">
      <w:pPr>
        <w:ind w:hanging="577" w:left="567"/>
      </w:pPr>
    </w:p>
    <w:p w:rsidRDefault="00132B4D" w:rsidP="00132B4D" w:rsidR="00132B4D">
      <w:pPr>
        <w:pStyle w:val="Grafikeoznake21"/>
        <w:numPr>
          <w:ilvl w:val="0"/>
          <w:numId w:val="35"/>
        </w:numPr>
        <w:spacing w:lineRule="auto" w:line="360"/>
        <w:ind w:hanging="577" w:left="567"/>
        <w:jc w:val="both"/>
        <w:rPr>
          <w:sz w:val="18"/>
          <w:szCs w:val="22"/>
        </w:rPr>
      </w:pPr>
      <w:r>
        <w:t xml:space="preserve">Dug prema </w:t>
      </w:r>
      <w:r>
        <w:rPr>
          <w:b/>
        </w:rPr>
        <w:t>financijskim institucijama</w:t>
      </w:r>
      <w:r>
        <w:t xml:space="preserve"> na dan 10.09.2015. g., sukladno utvrđenim tražbinama iznosi </w:t>
      </w:r>
      <w:r>
        <w:rPr>
          <w:color w:val="000000"/>
          <w:lang w:eastAsia="en-US"/>
        </w:rPr>
        <w:t xml:space="preserve">3.404,80 </w:t>
      </w:r>
      <w:r>
        <w:t>kn. Predlaže otpis utvrđenih tražbina za 70%. Preostalih 30% utvrđenih tražbina otplatit će se na 36 mjeseci, uz dodatnih 12 mjeseci počeka, bez kamata, u jednakim mjesečnim anuitetima, počevši od pravomoćnosti Rješenja Trgovačkog suda o sklopljenoj nagodbi, svakog 15-tog u mjesecu.</w:t>
      </w:r>
    </w:p>
    <w:tbl>
      <w:tblPr>
        <w:tblW w:type="dxa" w:w="11624"/>
        <w:tblInd w:type="dxa" w:w="-1026"/>
        <w:tblLayout w:type="fixed"/>
        <w:tblLook w:val="0000" w:noVBand="0" w:noHBand="0" w:lastColumn="0" w:firstColumn="0" w:lastRow="0" w:firstRow="0"/>
      </w:tblPr>
      <w:tblGrid>
        <w:gridCol w:w="567"/>
        <w:gridCol w:w="1276"/>
        <w:gridCol w:w="1701"/>
        <w:gridCol w:w="1276"/>
        <w:gridCol w:w="1134"/>
        <w:gridCol w:w="1417"/>
        <w:gridCol w:w="993"/>
        <w:gridCol w:w="2126"/>
        <w:gridCol w:w="1134"/>
      </w:tblGrid>
      <w:tr w:rsidTr="00132B4D" w:rsidR="00132B4D">
        <w:trPr>
          <w:trHeight w:val="78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RBR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OIB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NAZIV VJEROVNIKA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UTVRĐENI IZNOS TRAŽBINE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OTPIS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6"/>
                <w:szCs w:val="16"/>
              </w:rPr>
            </w:pPr>
            <w:r>
              <w:rPr>
                <w:sz w:val="18"/>
                <w:szCs w:val="22"/>
              </w:rPr>
              <w:t>PREOSTALO ZA OTPLATU</w:t>
            </w:r>
          </w:p>
        </w:tc>
        <w:tc>
          <w:tcPr>
            <w:tcW w:type="dxa" w:w="99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IZNOS POJEDINOG ANUITETA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DOSPIJEĆE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jc w:val="both"/>
            </w:pPr>
            <w:r>
              <w:rPr>
                <w:sz w:val="18"/>
                <w:szCs w:val="18"/>
              </w:rPr>
              <w:t>KAMATE</w:t>
            </w:r>
          </w:p>
        </w:tc>
      </w:tr>
      <w:tr w:rsidTr="00132B4D" w:rsidR="00132B4D">
        <w:trPr>
          <w:trHeight w:val="240"/>
        </w:trPr>
        <w:tc>
          <w:tcPr>
            <w:tcW w:type="dxa" w:w="56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7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94472454976</w:t>
            </w:r>
          </w:p>
        </w:tc>
        <w:tc>
          <w:tcPr>
            <w:tcW w:type="dxa" w:w="17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JADRANSKO OSIGURANJE d.d.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2.737,73</w:t>
            </w:r>
          </w:p>
        </w:tc>
        <w:tc>
          <w:tcPr>
            <w:tcW w:type="dxa" w:w="113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1916,411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821,32</w:t>
            </w:r>
          </w:p>
        </w:tc>
        <w:tc>
          <w:tcPr>
            <w:tcW w:type="dxa" w:w="99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rFonts w:cs="Arial Narrow" w:hAnsi="Arial Narrow" w:ascii="Arial Narrow"/>
                <w:color w:val="000000"/>
                <w:sz w:val="20"/>
                <w:szCs w:val="20"/>
              </w:rPr>
            </w:pPr>
            <w:r>
              <w:rPr>
                <w:sz w:val="18"/>
                <w:szCs w:val="20"/>
              </w:rPr>
              <w:t>22.81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both"/>
              <w:rPr>
                <w:sz w:val="20"/>
                <w:szCs w:val="20"/>
              </w:rPr>
            </w:pPr>
            <w:r>
              <w:rPr>
                <w:rFonts w:cs="Arial Narrow" w:hAnsi="Arial Narrow" w:ascii="Arial Narrow"/>
                <w:color w:val="000000"/>
                <w:sz w:val="20"/>
                <w:szCs w:val="20"/>
              </w:rPr>
              <w:t>Mjesečno, u 36 obroka od kojih prvi dospijeva  nakon isteka počeka od 12  mjeseci računajući od dana pravomoćnosti rješenja Trgovačkog suda, a svaki slijedeći dospijeva svakog slijedećeg 15-og u mjesecu</w:t>
            </w:r>
          </w:p>
        </w:tc>
        <w:tc>
          <w:tcPr>
            <w:tcW w:type="dxa" w:w="113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</w:pPr>
            <w:r>
              <w:rPr>
                <w:sz w:val="20"/>
                <w:szCs w:val="20"/>
              </w:rPr>
              <w:t>Bez kamata</w:t>
            </w:r>
          </w:p>
        </w:tc>
      </w:tr>
      <w:tr w:rsidTr="00132B4D" w:rsidR="00132B4D">
        <w:trPr>
          <w:trHeight w:val="240"/>
        </w:trPr>
        <w:tc>
          <w:tcPr>
            <w:tcW w:type="dxa" w:w="56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lastRenderedPageBreak/>
              <w:t>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92963223473</w:t>
            </w:r>
          </w:p>
        </w:tc>
        <w:tc>
          <w:tcPr>
            <w:tcW w:type="dxa" w:w="17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ZAGREBAČKA BANKA d.d.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667,07</w:t>
            </w:r>
          </w:p>
        </w:tc>
        <w:tc>
          <w:tcPr>
            <w:tcW w:type="dxa" w:w="113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466,949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200,12</w:t>
            </w:r>
          </w:p>
        </w:tc>
        <w:tc>
          <w:tcPr>
            <w:tcW w:type="dxa" w:w="99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rFonts w:cs="Arial Narrow" w:hAnsi="Arial Narrow" w:ascii="Arial Narrow"/>
                <w:color w:val="000000"/>
                <w:sz w:val="20"/>
                <w:szCs w:val="20"/>
              </w:rPr>
            </w:pPr>
            <w:r>
              <w:rPr>
                <w:sz w:val="18"/>
                <w:szCs w:val="20"/>
              </w:rPr>
              <w:t>5.55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both"/>
              <w:rPr>
                <w:sz w:val="20"/>
                <w:szCs w:val="20"/>
              </w:rPr>
            </w:pPr>
            <w:r>
              <w:rPr>
                <w:rFonts w:cs="Arial Narrow" w:hAnsi="Arial Narrow" w:ascii="Arial Narrow"/>
                <w:color w:val="000000"/>
                <w:sz w:val="20"/>
                <w:szCs w:val="20"/>
              </w:rPr>
              <w:t>Mjesečno, u 36 obroka od kojih prvi dospijeva  nakon isteka počeka od 12  mjeseci računajući od dana pravomoćnosti rješenja Trgovačkog suda, a svaki slijedeći dospijeva svakog slijedećeg 15-og u mjesecu</w:t>
            </w:r>
          </w:p>
        </w:tc>
        <w:tc>
          <w:tcPr>
            <w:tcW w:type="dxa" w:w="113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</w:pPr>
            <w:r>
              <w:rPr>
                <w:sz w:val="20"/>
                <w:szCs w:val="20"/>
              </w:rPr>
              <w:t>Bez kamata</w:t>
            </w:r>
          </w:p>
        </w:tc>
      </w:tr>
      <w:tr w:rsidTr="00132B4D" w:rsidR="00132B4D">
        <w:trPr>
          <w:trHeight w:val="260"/>
        </w:trPr>
        <w:tc>
          <w:tcPr>
            <w:tcW w:type="dxa" w:w="567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132B4D" w:rsidP="00A6142B" w:rsidR="00132B4D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132B4D" w:rsidP="00A6142B" w:rsidR="00132B4D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type="dxa" w:w="1701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132B4D" w:rsidP="00A6142B" w:rsidR="00132B4D">
            <w:pPr>
              <w:rPr>
                <w:b/>
                <w:bCs/>
                <w:sz w:val="18"/>
                <w:szCs w:val="22"/>
              </w:rPr>
            </w:pPr>
            <w:r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ind w:firstLine="181"/>
              <w:jc w:val="right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3.404,80</w:t>
            </w:r>
          </w:p>
        </w:tc>
        <w:tc>
          <w:tcPr>
            <w:tcW w:type="dxa" w:w="1134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ind w:firstLine="181"/>
              <w:jc w:val="right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2.383,36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ind w:firstLine="181"/>
              <w:jc w:val="right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1.021,44</w:t>
            </w:r>
          </w:p>
        </w:tc>
        <w:tc>
          <w:tcPr>
            <w:tcW w:type="dxa" w:w="993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ind w:firstLine="181"/>
              <w:jc w:val="right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28.36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snapToGrid w:val="false"/>
              <w:ind w:firstLine="181"/>
              <w:jc w:val="right"/>
              <w:rPr>
                <w:b/>
                <w:bCs/>
                <w:sz w:val="18"/>
                <w:szCs w:val="22"/>
              </w:rPr>
            </w:pPr>
          </w:p>
        </w:tc>
        <w:tc>
          <w:tcPr>
            <w:tcW w:type="dxa" w:w="113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snapToGrid w:val="false"/>
              <w:ind w:firstLine="181"/>
              <w:jc w:val="right"/>
              <w:rPr>
                <w:b/>
                <w:bCs/>
                <w:sz w:val="18"/>
                <w:szCs w:val="22"/>
              </w:rPr>
            </w:pPr>
          </w:p>
        </w:tc>
      </w:tr>
    </w:tbl>
    <w:p w:rsidRDefault="00132B4D" w:rsidP="00132B4D" w:rsidR="00132B4D">
      <w:pPr>
        <w:ind w:left="-10"/>
        <w:jc w:val="both"/>
      </w:pPr>
    </w:p>
    <w:p w:rsidRDefault="00132B4D" w:rsidP="00132B4D" w:rsidR="00132B4D">
      <w:pPr>
        <w:widowControl w:val="false"/>
        <w:numPr>
          <w:ilvl w:val="0"/>
          <w:numId w:val="35"/>
        </w:numPr>
        <w:suppressAutoHyphens/>
        <w:spacing w:lineRule="auto" w:line="360"/>
        <w:ind w:hanging="577" w:left="567"/>
        <w:jc w:val="both"/>
        <w:rPr>
          <w:sz w:val="18"/>
          <w:szCs w:val="22"/>
        </w:rPr>
      </w:pPr>
      <w:r>
        <w:rPr>
          <w:lang w:eastAsia="hr-HR"/>
        </w:rPr>
        <w:t xml:space="preserve">Dug prema </w:t>
      </w:r>
      <w:r>
        <w:rPr>
          <w:b/>
          <w:lang w:eastAsia="hr-HR"/>
        </w:rPr>
        <w:t>ostalim vjerovnicima</w:t>
      </w:r>
      <w:r>
        <w:rPr>
          <w:lang w:eastAsia="hr-HR"/>
        </w:rPr>
        <w:t xml:space="preserve"> na dan </w:t>
      </w:r>
      <w:r>
        <w:t xml:space="preserve">10.09.2015. </w:t>
      </w:r>
      <w:r>
        <w:rPr>
          <w:lang w:eastAsia="hr-HR"/>
        </w:rPr>
        <w:t xml:space="preserve">g., sukladno utvrđenim tražbinama  iznosi </w:t>
      </w:r>
      <w:r>
        <w:rPr>
          <w:color w:val="000000"/>
        </w:rPr>
        <w:t xml:space="preserve">2.049.345,52 </w:t>
      </w:r>
      <w:r>
        <w:rPr>
          <w:lang w:eastAsia="hr-HR"/>
        </w:rPr>
        <w:t xml:space="preserve">kn. Predlaže otpis utvrđenih tražbina za 70%. Preostalih 30% utvrđenih tražbina otplatit će se u  36 mjeseci, uz dodatnih 12 mjeseci počeka, bez kamata, u jednakim mjesečnim anuitetima, počevši od </w:t>
      </w:r>
      <w:r>
        <w:t xml:space="preserve">pravomoćnosti </w:t>
      </w:r>
      <w:r>
        <w:rPr>
          <w:lang w:eastAsia="hr-HR"/>
        </w:rPr>
        <w:t>Rješenja Trgovačkog suda o sklopljenoj nagodbi, svakog 15-tog u mjesecu.</w:t>
      </w:r>
    </w:p>
    <w:tbl>
      <w:tblPr>
        <w:tblW w:type="dxa" w:w="11624"/>
        <w:tblInd w:type="dxa" w:w="-1026"/>
        <w:tblLayout w:type="fixed"/>
        <w:tblLook w:val="0000" w:noVBand="0" w:noHBand="0" w:lastColumn="0" w:firstColumn="0" w:lastRow="0" w:firstRow="0"/>
      </w:tblPr>
      <w:tblGrid>
        <w:gridCol w:w="567"/>
        <w:gridCol w:w="1276"/>
        <w:gridCol w:w="1559"/>
        <w:gridCol w:w="1418"/>
        <w:gridCol w:w="1417"/>
        <w:gridCol w:w="1134"/>
        <w:gridCol w:w="993"/>
        <w:gridCol w:w="2126"/>
        <w:gridCol w:w="1134"/>
      </w:tblGrid>
      <w:tr w:rsidTr="00112ABC" w:rsidR="00112ABC">
        <w:trPr>
          <w:trHeight w:val="78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RBR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OIB VJEROVNIKA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NAZIV VJEROVNIKA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UTVRĐENI IZNOS TRAŽBINE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OTPIS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22"/>
              </w:rPr>
              <w:t>PREOSTALO ZA OTPLATU</w:t>
            </w:r>
          </w:p>
        </w:tc>
        <w:tc>
          <w:tcPr>
            <w:tcW w:type="dxa" w:w="99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IZNOS POJEDINOG ANUITETA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DOSPIJEĆE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jc w:val="both"/>
            </w:pPr>
            <w:r>
              <w:rPr>
                <w:sz w:val="18"/>
                <w:szCs w:val="18"/>
              </w:rPr>
              <w:t>KAMATE</w:t>
            </w:r>
          </w:p>
        </w:tc>
      </w:tr>
      <w:tr w:rsidTr="00112ABC" w:rsidR="00112ABC">
        <w:trPr>
          <w:trHeight w:val="240"/>
        </w:trPr>
        <w:tc>
          <w:tcPr>
            <w:tcW w:type="dxa" w:w="56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32286915975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BRUNATA d.o.o.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1.554,43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1088,101</w:t>
            </w:r>
          </w:p>
        </w:tc>
        <w:tc>
          <w:tcPr>
            <w:tcW w:type="dxa" w:w="113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466,33</w:t>
            </w:r>
          </w:p>
        </w:tc>
        <w:tc>
          <w:tcPr>
            <w:tcW w:type="dxa" w:w="99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rFonts w:cs="Arial Narrow" w:hAnsi="Arial Narrow" w:ascii="Arial Narrow"/>
                <w:color w:val="000000"/>
                <w:sz w:val="20"/>
                <w:szCs w:val="20"/>
              </w:rPr>
            </w:pPr>
            <w:r>
              <w:rPr>
                <w:sz w:val="18"/>
                <w:szCs w:val="20"/>
              </w:rPr>
              <w:t>12.95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both"/>
              <w:rPr>
                <w:sz w:val="20"/>
                <w:szCs w:val="20"/>
              </w:rPr>
            </w:pPr>
            <w:r>
              <w:rPr>
                <w:rFonts w:cs="Arial Narrow" w:hAnsi="Arial Narrow" w:ascii="Arial Narrow"/>
                <w:color w:val="000000"/>
                <w:sz w:val="20"/>
                <w:szCs w:val="20"/>
              </w:rPr>
              <w:t>Mjesečno, u 36 obroka od kojih prvi dospijeva  nakon isteka počeka od 12  mjeseci računajući od dana pravomoćnosti rješenja Trgovačkog suda, a svaki slijedeći dospijeva svakog slijedećeg 15-og u mjesecu</w:t>
            </w:r>
          </w:p>
        </w:tc>
        <w:tc>
          <w:tcPr>
            <w:tcW w:type="dxa" w:w="113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</w:pPr>
            <w:r>
              <w:rPr>
                <w:sz w:val="20"/>
                <w:szCs w:val="20"/>
              </w:rPr>
              <w:t>Bez kamata</w:t>
            </w:r>
          </w:p>
        </w:tc>
      </w:tr>
      <w:tr w:rsidTr="00112ABC" w:rsidR="00112ABC">
        <w:trPr>
          <w:trHeight w:val="240"/>
        </w:trPr>
        <w:tc>
          <w:tcPr>
            <w:tcW w:type="dxa" w:w="56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36779353407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ISKON INTERNET d.d.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435,72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305,004</w:t>
            </w:r>
          </w:p>
        </w:tc>
        <w:tc>
          <w:tcPr>
            <w:tcW w:type="dxa" w:w="113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130,72</w:t>
            </w:r>
          </w:p>
        </w:tc>
        <w:tc>
          <w:tcPr>
            <w:tcW w:type="dxa" w:w="99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rFonts w:cs="Arial Narrow" w:hAnsi="Arial Narrow" w:ascii="Arial Narrow"/>
                <w:color w:val="000000"/>
                <w:sz w:val="20"/>
                <w:szCs w:val="20"/>
              </w:rPr>
            </w:pPr>
            <w:r>
              <w:rPr>
                <w:sz w:val="18"/>
                <w:szCs w:val="20"/>
              </w:rPr>
              <w:t>3.63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both"/>
              <w:rPr>
                <w:sz w:val="20"/>
                <w:szCs w:val="20"/>
              </w:rPr>
            </w:pPr>
            <w:r>
              <w:rPr>
                <w:rFonts w:cs="Arial Narrow" w:hAnsi="Arial Narrow" w:ascii="Arial Narrow"/>
                <w:color w:val="000000"/>
                <w:sz w:val="20"/>
                <w:szCs w:val="20"/>
              </w:rPr>
              <w:t>Mjesečno, u 36 obroka od kojih prvi dospijeva  nakon isteka počeka od 12  mjeseci računajući od dana pravomoćnosti rješenja Trgovačkog suda, a svaki slijedeći dospijeva svakog slijedećeg 15-og u mjesecu</w:t>
            </w:r>
          </w:p>
        </w:tc>
        <w:tc>
          <w:tcPr>
            <w:tcW w:type="dxa" w:w="113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</w:pPr>
            <w:r>
              <w:rPr>
                <w:sz w:val="20"/>
                <w:szCs w:val="20"/>
              </w:rPr>
              <w:t>Bez kamata</w:t>
            </w:r>
          </w:p>
        </w:tc>
      </w:tr>
      <w:tr w:rsidTr="00112ABC" w:rsidR="00112ABC">
        <w:trPr>
          <w:trHeight w:val="240"/>
        </w:trPr>
        <w:tc>
          <w:tcPr>
            <w:tcW w:type="dxa" w:w="56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68841889124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KATICA TOT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179.010,00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125307</w:t>
            </w:r>
          </w:p>
        </w:tc>
        <w:tc>
          <w:tcPr>
            <w:tcW w:type="dxa" w:w="113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53.703,00</w:t>
            </w:r>
          </w:p>
        </w:tc>
        <w:tc>
          <w:tcPr>
            <w:tcW w:type="dxa" w:w="99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rFonts w:cs="Arial Narrow" w:hAnsi="Arial Narrow" w:ascii="Arial Narrow"/>
                <w:color w:val="000000"/>
                <w:sz w:val="20"/>
                <w:szCs w:val="20"/>
              </w:rPr>
            </w:pPr>
            <w:r>
              <w:rPr>
                <w:sz w:val="18"/>
                <w:szCs w:val="20"/>
              </w:rPr>
              <w:t>1.491.75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both"/>
              <w:rPr>
                <w:sz w:val="20"/>
                <w:szCs w:val="20"/>
              </w:rPr>
            </w:pPr>
            <w:r>
              <w:rPr>
                <w:rFonts w:cs="Arial Narrow" w:hAnsi="Arial Narrow" w:ascii="Arial Narrow"/>
                <w:color w:val="000000"/>
                <w:sz w:val="20"/>
                <w:szCs w:val="20"/>
              </w:rPr>
              <w:t>Mjesečno, u 36 obroka od kojih prvi dospijeva  nakon isteka počeka od 12  mjeseci računajući od dana pravomoćnosti rješenja Trgovačkog suda, a svaki slijedeći dospijeva svakog slijedećeg 15-og u mjesecu</w:t>
            </w:r>
          </w:p>
        </w:tc>
        <w:tc>
          <w:tcPr>
            <w:tcW w:type="dxa" w:w="113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</w:pPr>
            <w:r>
              <w:rPr>
                <w:sz w:val="20"/>
                <w:szCs w:val="20"/>
              </w:rPr>
              <w:t>Bez kamata</w:t>
            </w:r>
          </w:p>
        </w:tc>
      </w:tr>
      <w:tr w:rsidTr="00112ABC" w:rsidR="00112ABC">
        <w:trPr>
          <w:trHeight w:val="240"/>
        </w:trPr>
        <w:tc>
          <w:tcPr>
            <w:tcW w:type="dxa" w:w="56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12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99936689438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TIM-COLOR d.o.o.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1.866.852,43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1306796,701</w:t>
            </w:r>
          </w:p>
        </w:tc>
        <w:tc>
          <w:tcPr>
            <w:tcW w:type="dxa" w:w="113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560.055,73</w:t>
            </w:r>
          </w:p>
        </w:tc>
        <w:tc>
          <w:tcPr>
            <w:tcW w:type="dxa" w:w="99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rFonts w:cs="Arial Narrow" w:hAnsi="Arial Narrow" w:ascii="Arial Narrow"/>
                <w:color w:val="000000"/>
                <w:sz w:val="20"/>
                <w:szCs w:val="20"/>
              </w:rPr>
            </w:pPr>
            <w:r>
              <w:rPr>
                <w:sz w:val="18"/>
                <w:szCs w:val="20"/>
              </w:rPr>
              <w:t>15.557.10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both"/>
              <w:rPr>
                <w:sz w:val="20"/>
                <w:szCs w:val="20"/>
              </w:rPr>
            </w:pPr>
            <w:r>
              <w:rPr>
                <w:rFonts w:cs="Arial Narrow" w:hAnsi="Arial Narrow" w:ascii="Arial Narrow"/>
                <w:color w:val="000000"/>
                <w:sz w:val="20"/>
                <w:szCs w:val="20"/>
              </w:rPr>
              <w:t xml:space="preserve">Mjesečno, u 36 obroka od kojih prvi dospijeva  </w:t>
            </w:r>
            <w:r>
              <w:rPr>
                <w:rFonts w:cs="Arial Narrow" w:hAnsi="Arial Narrow" w:ascii="Arial Narrow"/>
                <w:color w:val="000000"/>
                <w:sz w:val="20"/>
                <w:szCs w:val="20"/>
              </w:rPr>
              <w:lastRenderedPageBreak/>
              <w:t>nakon isteka počeka od 12  mjeseci računajući od dana pravomoćnosti rješenja Trgovačkog suda, a svaki slijedeći dospijeva svakog slijedećeg 15-og u mjesecu</w:t>
            </w:r>
          </w:p>
        </w:tc>
        <w:tc>
          <w:tcPr>
            <w:tcW w:type="dxa" w:w="113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</w:pPr>
            <w:r>
              <w:rPr>
                <w:sz w:val="20"/>
                <w:szCs w:val="20"/>
              </w:rPr>
              <w:lastRenderedPageBreak/>
              <w:t>Bez kamata</w:t>
            </w:r>
          </w:p>
        </w:tc>
      </w:tr>
      <w:tr w:rsidTr="00112ABC" w:rsidR="00112ABC">
        <w:trPr>
          <w:trHeight w:val="240"/>
        </w:trPr>
        <w:tc>
          <w:tcPr>
            <w:tcW w:type="dxa" w:w="56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jc w:val="right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lastRenderedPageBreak/>
              <w:t>13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jc w:val="center"/>
              <w:rPr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78641299718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132B4D" w:rsidP="00A6142B" w:rsidR="00132B4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ZAPAD-STAN d.o.o.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1.492,94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1045,058</w:t>
            </w:r>
          </w:p>
        </w:tc>
        <w:tc>
          <w:tcPr>
            <w:tcW w:type="dxa" w:w="113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447,88</w:t>
            </w:r>
          </w:p>
        </w:tc>
        <w:tc>
          <w:tcPr>
            <w:tcW w:type="dxa" w:w="99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  <w:rPr>
                <w:rFonts w:cs="Arial Narrow" w:hAnsi="Arial Narrow" w:ascii="Arial Narrow"/>
                <w:color w:val="000000"/>
                <w:sz w:val="20"/>
                <w:szCs w:val="20"/>
              </w:rPr>
            </w:pPr>
            <w:r>
              <w:rPr>
                <w:sz w:val="18"/>
                <w:szCs w:val="20"/>
              </w:rPr>
              <w:t>12.44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both"/>
              <w:rPr>
                <w:sz w:val="20"/>
                <w:szCs w:val="20"/>
              </w:rPr>
            </w:pPr>
            <w:r>
              <w:rPr>
                <w:rFonts w:cs="Arial Narrow" w:hAnsi="Arial Narrow" w:ascii="Arial Narrow"/>
                <w:color w:val="000000"/>
                <w:sz w:val="20"/>
                <w:szCs w:val="20"/>
              </w:rPr>
              <w:t>Mjesečno, u 36 obroka od kojih prvi dospijeva  nakon isteka počeka od 12  mjeseci računajući od dana pravomoćnosti rješenja Trgovačkog suda, a svaki slijedeći dospijeva svakog slijedećeg 15-og u mjesecu</w:t>
            </w:r>
          </w:p>
        </w:tc>
        <w:tc>
          <w:tcPr>
            <w:tcW w:type="dxa" w:w="113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32B4D" w:rsidP="00A6142B" w:rsidR="00132B4D">
            <w:pPr>
              <w:jc w:val="right"/>
            </w:pPr>
            <w:r>
              <w:rPr>
                <w:sz w:val="20"/>
                <w:szCs w:val="20"/>
              </w:rPr>
              <w:t>Bez kamata</w:t>
            </w:r>
          </w:p>
        </w:tc>
      </w:tr>
      <w:tr w:rsidTr="00112ABC" w:rsidR="00112ABC">
        <w:trPr>
          <w:trHeight w:val="260"/>
        </w:trPr>
        <w:tc>
          <w:tcPr>
            <w:tcW w:type="dxa" w:w="567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132B4D" w:rsidP="00A6142B" w:rsidR="00132B4D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132B4D" w:rsidP="00A6142B" w:rsidR="00132B4D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</w:tcPr>
          <w:p w:rsidRDefault="00132B4D" w:rsidP="00A6142B" w:rsidR="00132B4D">
            <w:pPr>
              <w:rPr>
                <w:b/>
                <w:bCs/>
                <w:sz w:val="18"/>
                <w:szCs w:val="22"/>
              </w:rPr>
            </w:pPr>
            <w:r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ind w:firstLine="181"/>
              <w:jc w:val="right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2.049.345,52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ind w:firstLine="181"/>
              <w:jc w:val="right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1.434.541,86</w:t>
            </w:r>
          </w:p>
        </w:tc>
        <w:tc>
          <w:tcPr>
            <w:tcW w:type="dxa" w:w="1134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ind w:firstLine="181"/>
              <w:jc w:val="right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614.803,66</w:t>
            </w:r>
          </w:p>
        </w:tc>
        <w:tc>
          <w:tcPr>
            <w:tcW w:type="dxa" w:w="993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ind w:firstLine="181"/>
              <w:jc w:val="right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17.077.87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snapToGrid w:val="false"/>
              <w:ind w:firstLine="181"/>
              <w:jc w:val="right"/>
              <w:rPr>
                <w:b/>
                <w:bCs/>
                <w:sz w:val="18"/>
                <w:szCs w:val="22"/>
              </w:rPr>
            </w:pPr>
          </w:p>
        </w:tc>
        <w:tc>
          <w:tcPr>
            <w:tcW w:type="dxa" w:w="113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5D9F1" w:color="auto" w:val="clear"/>
            <w:vAlign w:val="center"/>
          </w:tcPr>
          <w:p w:rsidRDefault="00132B4D" w:rsidP="00A6142B" w:rsidR="00132B4D">
            <w:pPr>
              <w:snapToGrid w:val="false"/>
              <w:ind w:firstLine="181"/>
              <w:jc w:val="right"/>
              <w:rPr>
                <w:b/>
                <w:bCs/>
                <w:sz w:val="18"/>
                <w:szCs w:val="22"/>
              </w:rPr>
            </w:pPr>
          </w:p>
        </w:tc>
      </w:tr>
    </w:tbl>
    <w:p w:rsidRDefault="00132B4D" w:rsidP="00132B4D" w:rsidR="00132B4D">
      <w:pPr>
        <w:rPr>
          <w:b/>
          <w:bCs/>
          <w:color w:val="4F81BD"/>
          <w:kern w:val="1"/>
          <w:szCs w:val="32"/>
          <w:lang w:eastAsia="hr-HR"/>
        </w:rPr>
      </w:pPr>
    </w:p>
    <w:p w:rsidRDefault="00050BA2" w:rsidP="00E0448E" w:rsidR="00050BA2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E0448E" w:rsidP="00E0448E" w:rsidR="00E0448E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Nakon pročitanog zapisnika o predstečajnoj nagodbi stranke potpisuju zapisnik</w:t>
      </w:r>
    </w:p>
    <w:p w:rsidRDefault="00517FAA" w:rsidP="0079435C" w:rsidR="00517FAA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</w:p>
    <w:p w:rsidRDefault="00E0448E" w:rsidP="0079435C" w:rsidR="00E0448E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  <w:r>
        <w:rPr>
          <w:rFonts w:cs="Tahoma"/>
        </w:rPr>
        <w:t xml:space="preserve">Dovršeno u </w:t>
      </w:r>
      <w:r w:rsidR="00A1466F">
        <w:rPr>
          <w:rFonts w:cs="Tahoma"/>
        </w:rPr>
        <w:t>11.51</w:t>
      </w:r>
      <w:r>
        <w:rPr>
          <w:rFonts w:cs="Tahoma"/>
        </w:rPr>
        <w:t>.</w:t>
      </w:r>
    </w:p>
    <w:p w:rsidRDefault="00E0448E" w:rsidP="00E0448E" w:rsidR="00E0448E" w:rsidRPr="00E0448E">
      <w:pPr>
        <w:rPr>
          <w:rFonts w:cs="Tahoma"/>
        </w:rPr>
      </w:pPr>
    </w:p>
    <w:p w:rsidRDefault="00E0448E" w:rsidP="00E0448E" w:rsidR="00E0448E">
      <w:pPr>
        <w:rPr>
          <w:rFonts w:cs="Tahoma"/>
        </w:rPr>
      </w:pPr>
      <w:r>
        <w:rPr>
          <w:rFonts w:cs="Tahoma"/>
        </w:rPr>
        <w:t>Sudac:</w:t>
      </w:r>
    </w:p>
    <w:p w:rsidRDefault="00E0448E" w:rsidP="00E0448E" w:rsidR="00E0448E">
      <w:pPr>
        <w:rPr>
          <w:rFonts w:cs="Tahoma"/>
        </w:rPr>
      </w:pPr>
      <w:r>
        <w:rPr>
          <w:rFonts w:cs="Tahoma"/>
        </w:rPr>
        <w:t>Ante Galić</w:t>
      </w:r>
    </w:p>
    <w:p w:rsidRDefault="00E0448E" w:rsidP="00E0448E" w:rsidR="00E0448E">
      <w:pPr>
        <w:rPr>
          <w:rFonts w:cs="Tahoma"/>
        </w:rPr>
      </w:pPr>
    </w:p>
    <w:p w:rsidRDefault="00E0448E" w:rsidP="00E0448E" w:rsidR="00E0448E">
      <w:pPr>
        <w:rPr>
          <w:rFonts w:cs="Tahoma"/>
        </w:rPr>
      </w:pPr>
      <w:r>
        <w:rPr>
          <w:rFonts w:cs="Tahoma"/>
        </w:rPr>
        <w:t>Zapisničar:</w:t>
      </w:r>
    </w:p>
    <w:p w:rsidRDefault="006622FB" w:rsidP="00E0448E" w:rsidR="006622FB">
      <w:pPr>
        <w:rPr>
          <w:rFonts w:cs="Tahoma"/>
        </w:rPr>
      </w:pPr>
    </w:p>
    <w:p w:rsidRDefault="006622FB" w:rsidP="006622FB" w:rsidR="00C1314F">
      <w:pPr>
        <w:jc w:val="right"/>
        <w:rPr>
          <w:rFonts w:cs="Tahoma"/>
        </w:rPr>
      </w:pPr>
      <w:r>
        <w:rPr>
          <w:rFonts w:cs="Tahoma"/>
        </w:rPr>
        <w:t>VJEROVNI</w:t>
      </w:r>
      <w:r w:rsidR="00C1314F">
        <w:rPr>
          <w:rFonts w:cs="Tahoma"/>
        </w:rPr>
        <w:t>K:</w:t>
      </w:r>
    </w:p>
    <w:p w:rsidRDefault="00E2056D" w:rsidP="006622FB" w:rsidR="00E2056D">
      <w:pPr>
        <w:jc w:val="right"/>
        <w:rPr>
          <w:rFonts w:cs="Tahoma"/>
        </w:rPr>
      </w:pPr>
      <w:r>
        <w:rPr>
          <w:rFonts w:cs="Tahoma"/>
        </w:rPr>
        <w:t xml:space="preserve">TIM-COLOR </w:t>
      </w:r>
    </w:p>
    <w:p w:rsidRDefault="00D846BA" w:rsidP="006622FB" w:rsidR="00D846BA">
      <w:pPr>
        <w:jc w:val="right"/>
        <w:rPr>
          <w:rFonts w:cs="Tahoma"/>
        </w:rPr>
      </w:pPr>
    </w:p>
    <w:p w:rsidRDefault="00C1314F" w:rsidP="006622FB" w:rsidR="00C1314F">
      <w:pPr>
        <w:jc w:val="right"/>
        <w:rPr>
          <w:rFonts w:cs="Tahoma"/>
        </w:rPr>
      </w:pPr>
    </w:p>
    <w:p w:rsidRDefault="00C1314F" w:rsidP="006622FB" w:rsidR="00C1314F">
      <w:pPr>
        <w:jc w:val="right"/>
        <w:rPr>
          <w:rFonts w:cs="Tahoma"/>
        </w:rPr>
      </w:pPr>
    </w:p>
    <w:p w:rsidRDefault="00C1314F" w:rsidP="006622FB" w:rsidR="00C1314F">
      <w:pPr>
        <w:jc w:val="right"/>
        <w:rPr>
          <w:rFonts w:cs="Tahoma"/>
        </w:rPr>
      </w:pPr>
      <w:r>
        <w:rPr>
          <w:rFonts w:cs="Tahoma"/>
        </w:rPr>
        <w:t>DUŽNIK:</w:t>
      </w:r>
    </w:p>
    <w:sectPr w:rsidSect="005155D7" w:rsidR="00C1314F">
      <w:headerReference w:type="even" r:id="rId10"/>
      <w:headerReference w:type="default" r:id="rId11"/>
      <w:pgSz w:h="15840" w:w="12240"/>
      <w:pgMar w:gutter="0" w:footer="708" w:header="708" w:left="1440" w:bottom="899" w:right="126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C52" w:rsidR="00D06C52">
      <w:r>
        <w:separator/>
      </w:r>
    </w:p>
  </w:endnote>
  <w:endnote w:id="0" w:type="continuationSeparator">
    <w:p w:rsidRDefault="00D06C52" w:rsidR="00D06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ronos Pro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Levenim MT">
    <w:panose1 w:val="02010502060101010101"/>
    <w:charset w:val="B1"/>
    <w:family w:val="auto"/>
    <w:pitch w:val="variable"/>
    <w:sig w:csb1="00000000" w:csb0="00000020" w:usb3="00000000" w:usb2="00000000" w:usb1="00000000" w:usb0="00000801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C52" w:rsidR="00D06C52">
      <w:r>
        <w:separator/>
      </w:r>
    </w:p>
  </w:footnote>
  <w:footnote w:id="0" w:type="continuationSeparator">
    <w:p w:rsidRDefault="00D06C52" w:rsidR="00D06C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C52" w:rsidP="006D1CC5" w:rsidR="00D06C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6C52" w:rsidP="006D1CC5" w:rsidR="00D06C5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C52" w:rsidP="006D1CC5" w:rsidR="00D06C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0550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D06C52" w:rsidP="006D1CC5" w:rsidR="00D06C52">
    <w:pPr>
      <w:pStyle w:val="Zaglavlje"/>
      <w:ind w:right="360"/>
      <w:jc w:val="right"/>
    </w:pPr>
    <w:r w:rsidRPr="00005E65">
      <w:t>40. St</w:t>
    </w:r>
    <w:r>
      <w:t>-2025/2016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BBFADBE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3"/>
    <w:multiLevelType w:val="singleLevel"/>
    <w:tmpl w:val="7B2CE00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2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cs="Symbol" w:hAnsi="Symbol" w:ascii="Symbol"/>
      </w:rPr>
    </w:lvl>
  </w:abstractNum>
  <w:abstractNum w:abstractNumId="3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pos="0" w:val="num"/>
        </w:tabs>
        <w:ind w:hanging="360" w:left="1003"/>
      </w:pPr>
      <w:rPr>
        <w:rFonts w:cs="Symbol" w:hAnsi="Symbol" w:ascii="Symbol"/>
        <w:lang w:eastAsia="hr-HR"/>
      </w:rPr>
    </w:lvl>
  </w:abstractNum>
  <w:abstractNum w:abstractNumId="4">
    <w:nsid w:val="04945E33"/>
    <w:multiLevelType w:val="hybridMultilevel"/>
    <w:tmpl w:val="AE905F3E"/>
    <w:lvl w:tplc="FFC0334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5E9667C"/>
    <w:multiLevelType w:val="hybridMultilevel"/>
    <w:tmpl w:val="BAEA2C8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9442295"/>
    <w:multiLevelType w:val="hybridMultilevel"/>
    <w:tmpl w:val="896436AC"/>
    <w:lvl w:tplc="1076D0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096176F3"/>
    <w:multiLevelType w:val="hybridMultilevel"/>
    <w:tmpl w:val="141031B0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9A0614F"/>
    <w:multiLevelType w:val="hybridMultilevel"/>
    <w:tmpl w:val="E924CA06"/>
    <w:lvl w:tplc="B76C52F4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9">
    <w:nsid w:val="0DCE38A0"/>
    <w:multiLevelType w:val="hybridMultilevel"/>
    <w:tmpl w:val="4A96E006"/>
    <w:lvl w:tplc="486A8D0A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  <w:color w:val="auto"/>
        <w:sz w:val="24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EC3071F"/>
    <w:multiLevelType w:val="hybridMultilevel"/>
    <w:tmpl w:val="BDA63D32"/>
    <w:lvl w:tplc="9D4031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33C0B63"/>
    <w:multiLevelType w:val="hybridMultilevel"/>
    <w:tmpl w:val="D752151C"/>
    <w:lvl w:tplc="7A6053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15727936"/>
    <w:multiLevelType w:val="hybridMultilevel"/>
    <w:tmpl w:val="C09A6EBC"/>
    <w:lvl w:tplc="48565C92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  <w:sz w:val="26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15D552CF"/>
    <w:multiLevelType w:val="hybridMultilevel"/>
    <w:tmpl w:val="D66EE1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7CE4C546" w:ilvl="1">
      <w:start w:val="1"/>
      <w:numFmt w:val="lowerLetter"/>
      <w:lvlText w:val="%2."/>
      <w:lvlJc w:val="left"/>
      <w:pPr>
        <w:ind w:hanging="360" w:left="1440"/>
      </w:pPr>
      <w:rPr>
        <w:b/>
        <w:i w:val="false"/>
        <w:u w:val="single"/>
      </w:r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180415EF"/>
    <w:multiLevelType w:val="hybridMultilevel"/>
    <w:tmpl w:val="EC9A510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14D46B9"/>
    <w:multiLevelType w:val="hybridMultilevel"/>
    <w:tmpl w:val="1334274A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plc="FFFFFFFF" w:ilvl="1">
      <w:start w:val="21"/>
      <w:numFmt w:val="bullet"/>
      <w:lvlText w:val="-"/>
      <w:lvlJc w:val="left"/>
      <w:pPr>
        <w:ind w:hanging="360" w:left="1440"/>
      </w:pPr>
      <w:rPr>
        <w:rFonts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22220AD"/>
    <w:multiLevelType w:val="hybridMultilevel"/>
    <w:tmpl w:val="18A48C8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8">
    <w:nsid w:val="227465BA"/>
    <w:multiLevelType w:val="hybridMultilevel"/>
    <w:tmpl w:val="6130DF0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51E3506"/>
    <w:multiLevelType w:val="hybridMultilevel"/>
    <w:tmpl w:val="0DAE37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2AAB0D37"/>
    <w:multiLevelType w:val="hybridMultilevel"/>
    <w:tmpl w:val="5F8CE2E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72431D5"/>
    <w:multiLevelType w:val="hybridMultilevel"/>
    <w:tmpl w:val="D6EA8696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3A7C728D"/>
    <w:multiLevelType w:val="hybridMultilevel"/>
    <w:tmpl w:val="E8DE3A22"/>
    <w:lvl w:tplc="B0D6A48A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467F346C"/>
    <w:multiLevelType w:val="hybridMultilevel"/>
    <w:tmpl w:val="BFD009E8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46D10EAE"/>
    <w:multiLevelType w:val="hybridMultilevel"/>
    <w:tmpl w:val="DF30D144"/>
    <w:lvl w:tplc="67B620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4D7B1CE5"/>
    <w:multiLevelType w:val="hybridMultilevel"/>
    <w:tmpl w:val="5F92F54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4F1B1748"/>
    <w:multiLevelType w:val="hybridMultilevel"/>
    <w:tmpl w:val="65FE302E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0613FC8"/>
    <w:multiLevelType w:val="hybridMultilevel"/>
    <w:tmpl w:val="49A6D8DA"/>
    <w:lvl w:tplc="92D43890" w:ilvl="0">
      <w:start w:val="1"/>
      <w:numFmt w:val="upperRoman"/>
      <w:pStyle w:val="Grafikeoznake21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96221A2"/>
    <w:multiLevelType w:val="hybridMultilevel"/>
    <w:tmpl w:val="05780D7C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0734786"/>
    <w:multiLevelType w:val="hybridMultilevel"/>
    <w:tmpl w:val="1F7C5F58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749D0E0F"/>
    <w:multiLevelType w:val="hybridMultilevel"/>
    <w:tmpl w:val="C4A8EFE6"/>
    <w:lvl w:tplc="F59E4D2A" w:ilvl="0">
      <w:start w:val="232"/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7A7A7579"/>
    <w:multiLevelType w:val="hybridMultilevel"/>
    <w:tmpl w:val="5414E134"/>
    <w:lvl w:tplc="B76C52F4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2">
    <w:nsid w:val="7B177867"/>
    <w:multiLevelType w:val="hybridMultilevel"/>
    <w:tmpl w:val="DB5AA45A"/>
    <w:lvl w:tplc="48565C92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  <w:sz w:val="26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F98499B"/>
    <w:multiLevelType w:val="hybridMultilevel"/>
    <w:tmpl w:val="9B7A282E"/>
    <w:lvl w:tplc="0AA4845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7"/>
  </w:num>
  <w:num w:numId="2">
    <w:abstractNumId w:val="24"/>
  </w:num>
  <w:num w:numId="3">
    <w:abstractNumId w:val="33"/>
  </w:num>
  <w:num w:numId="4">
    <w:abstractNumId w:val="6"/>
  </w:num>
  <w:num w:numId="5">
    <w:abstractNumId w:val="12"/>
  </w:num>
  <w:num w:numId="6">
    <w:abstractNumId w:val="10"/>
  </w:num>
  <w:num w:numId="7">
    <w:abstractNumId w:val="19"/>
  </w:num>
  <w:num w:numId="8">
    <w:abstractNumId w:val="17"/>
  </w:num>
  <w:num w:numId="9">
    <w:abstractNumId w:val="30"/>
  </w:num>
  <w:num w:numId="10">
    <w:abstractNumId w:val="1"/>
  </w:num>
  <w:num w:numId="11">
    <w:abstractNumId w:val="7"/>
  </w:num>
  <w:num w:numId="12">
    <w:abstractNumId w:val="20"/>
  </w:num>
  <w:num w:numId="13">
    <w:abstractNumId w:val="25"/>
  </w:num>
  <w:num w:numId="14">
    <w:abstractNumId w:val="23"/>
  </w:num>
  <w:num w:numId="15">
    <w:abstractNumId w:val="0"/>
  </w:num>
  <w:num w:numId="16">
    <w:abstractNumId w:val="14"/>
  </w:num>
  <w:num w:numId="17">
    <w:abstractNumId w:val="31"/>
  </w:num>
  <w:num w:numId="18">
    <w:abstractNumId w:val="8"/>
  </w:num>
  <w:num w:numId="19">
    <w:abstractNumId w:val="5"/>
  </w:num>
  <w:num w:numId="20">
    <w:abstractNumId w:val="26"/>
  </w:num>
  <w:num w:numId="21">
    <w:abstractNumId w:val="16"/>
  </w:num>
  <w:num w:numId="22">
    <w:abstractNumId w:val="21"/>
  </w:num>
  <w:num w:numId="2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8"/>
  </w:num>
  <w:num w:numId="26">
    <w:abstractNumId w:val="32"/>
  </w:num>
  <w:num w:numId="27">
    <w:abstractNumId w:val="13"/>
  </w:num>
  <w:num w:numId="28">
    <w:abstractNumId w:val="18"/>
  </w:num>
  <w:num w:numId="29">
    <w:abstractNumId w:val="9"/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15"/>
  </w:num>
  <w:num w:numId="33">
    <w:abstractNumId w:val="29"/>
  </w:num>
  <w:num w:numId="34">
    <w:abstractNumId w:val="2"/>
  </w:num>
  <w:num w:numId="3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3E3"/>
    <w:rsid w:val="00014D80"/>
    <w:rsid w:val="00021A97"/>
    <w:rsid w:val="000223F8"/>
    <w:rsid w:val="000226BC"/>
    <w:rsid w:val="00026E44"/>
    <w:rsid w:val="00036C64"/>
    <w:rsid w:val="00042443"/>
    <w:rsid w:val="00050BA2"/>
    <w:rsid w:val="00066E49"/>
    <w:rsid w:val="000811FC"/>
    <w:rsid w:val="00091288"/>
    <w:rsid w:val="000A2DB7"/>
    <w:rsid w:val="000C4975"/>
    <w:rsid w:val="00103954"/>
    <w:rsid w:val="00107865"/>
    <w:rsid w:val="00112ABC"/>
    <w:rsid w:val="001225CB"/>
    <w:rsid w:val="00126B49"/>
    <w:rsid w:val="00132B4D"/>
    <w:rsid w:val="001529FC"/>
    <w:rsid w:val="00170D3E"/>
    <w:rsid w:val="001757F8"/>
    <w:rsid w:val="00180F72"/>
    <w:rsid w:val="001B3DC0"/>
    <w:rsid w:val="001D0F89"/>
    <w:rsid w:val="001D3681"/>
    <w:rsid w:val="001D440C"/>
    <w:rsid w:val="001E4A85"/>
    <w:rsid w:val="001F7DAB"/>
    <w:rsid w:val="00237430"/>
    <w:rsid w:val="002510AE"/>
    <w:rsid w:val="00272A8B"/>
    <w:rsid w:val="00287050"/>
    <w:rsid w:val="002A451E"/>
    <w:rsid w:val="002A6F27"/>
    <w:rsid w:val="002E0550"/>
    <w:rsid w:val="00304F52"/>
    <w:rsid w:val="00341ACD"/>
    <w:rsid w:val="00360CB7"/>
    <w:rsid w:val="0037373A"/>
    <w:rsid w:val="003D0D2C"/>
    <w:rsid w:val="003F054E"/>
    <w:rsid w:val="003F4934"/>
    <w:rsid w:val="0041301F"/>
    <w:rsid w:val="004175BA"/>
    <w:rsid w:val="00453E0D"/>
    <w:rsid w:val="00454BAF"/>
    <w:rsid w:val="00457129"/>
    <w:rsid w:val="00470C81"/>
    <w:rsid w:val="004736C7"/>
    <w:rsid w:val="004775DB"/>
    <w:rsid w:val="00481B9C"/>
    <w:rsid w:val="00485C05"/>
    <w:rsid w:val="00490851"/>
    <w:rsid w:val="0049792E"/>
    <w:rsid w:val="004E77A7"/>
    <w:rsid w:val="004F24AB"/>
    <w:rsid w:val="00503EBF"/>
    <w:rsid w:val="005155D7"/>
    <w:rsid w:val="00517FAA"/>
    <w:rsid w:val="0055552E"/>
    <w:rsid w:val="005853AE"/>
    <w:rsid w:val="00587523"/>
    <w:rsid w:val="00595C15"/>
    <w:rsid w:val="005D2EB3"/>
    <w:rsid w:val="005D3D30"/>
    <w:rsid w:val="005D7892"/>
    <w:rsid w:val="005F0B4E"/>
    <w:rsid w:val="006249A8"/>
    <w:rsid w:val="00634E69"/>
    <w:rsid w:val="00643F4A"/>
    <w:rsid w:val="00661968"/>
    <w:rsid w:val="006622FB"/>
    <w:rsid w:val="00676E6D"/>
    <w:rsid w:val="006A5245"/>
    <w:rsid w:val="006D1CC5"/>
    <w:rsid w:val="006F7A56"/>
    <w:rsid w:val="00706D83"/>
    <w:rsid w:val="0071394F"/>
    <w:rsid w:val="00724F42"/>
    <w:rsid w:val="0073166A"/>
    <w:rsid w:val="00735167"/>
    <w:rsid w:val="007601CC"/>
    <w:rsid w:val="00782129"/>
    <w:rsid w:val="0079435C"/>
    <w:rsid w:val="007C77CF"/>
    <w:rsid w:val="007E5623"/>
    <w:rsid w:val="007F6ACD"/>
    <w:rsid w:val="008009C2"/>
    <w:rsid w:val="00806922"/>
    <w:rsid w:val="00817035"/>
    <w:rsid w:val="0083512E"/>
    <w:rsid w:val="00872037"/>
    <w:rsid w:val="008A3D95"/>
    <w:rsid w:val="008B32B0"/>
    <w:rsid w:val="00910DBC"/>
    <w:rsid w:val="009255A5"/>
    <w:rsid w:val="00927A2C"/>
    <w:rsid w:val="0094133F"/>
    <w:rsid w:val="00960601"/>
    <w:rsid w:val="009630AA"/>
    <w:rsid w:val="009741FA"/>
    <w:rsid w:val="009A378D"/>
    <w:rsid w:val="009D1BF5"/>
    <w:rsid w:val="009D32DA"/>
    <w:rsid w:val="009D57E8"/>
    <w:rsid w:val="009E78DE"/>
    <w:rsid w:val="009F6059"/>
    <w:rsid w:val="00A109F0"/>
    <w:rsid w:val="00A1466F"/>
    <w:rsid w:val="00A41302"/>
    <w:rsid w:val="00A511E0"/>
    <w:rsid w:val="00A51BC7"/>
    <w:rsid w:val="00A576C1"/>
    <w:rsid w:val="00A81A06"/>
    <w:rsid w:val="00AB4FAE"/>
    <w:rsid w:val="00AC37F3"/>
    <w:rsid w:val="00AE763D"/>
    <w:rsid w:val="00B627B5"/>
    <w:rsid w:val="00B65804"/>
    <w:rsid w:val="00B71902"/>
    <w:rsid w:val="00BB0EB1"/>
    <w:rsid w:val="00BC36F6"/>
    <w:rsid w:val="00BD1056"/>
    <w:rsid w:val="00BF4A0D"/>
    <w:rsid w:val="00C11A24"/>
    <w:rsid w:val="00C1314F"/>
    <w:rsid w:val="00C3023C"/>
    <w:rsid w:val="00C32EBF"/>
    <w:rsid w:val="00C72870"/>
    <w:rsid w:val="00CA2673"/>
    <w:rsid w:val="00CA399C"/>
    <w:rsid w:val="00CD5ED2"/>
    <w:rsid w:val="00CF7A2D"/>
    <w:rsid w:val="00D06C52"/>
    <w:rsid w:val="00D13D2F"/>
    <w:rsid w:val="00D234DB"/>
    <w:rsid w:val="00D2697B"/>
    <w:rsid w:val="00D67207"/>
    <w:rsid w:val="00D75B74"/>
    <w:rsid w:val="00D846BA"/>
    <w:rsid w:val="00D96D57"/>
    <w:rsid w:val="00DB5315"/>
    <w:rsid w:val="00DD394B"/>
    <w:rsid w:val="00DE45C5"/>
    <w:rsid w:val="00DE7F89"/>
    <w:rsid w:val="00E0448E"/>
    <w:rsid w:val="00E16A6A"/>
    <w:rsid w:val="00E2056D"/>
    <w:rsid w:val="00E24F94"/>
    <w:rsid w:val="00E320F7"/>
    <w:rsid w:val="00E33521"/>
    <w:rsid w:val="00E51BF0"/>
    <w:rsid w:val="00E553E3"/>
    <w:rsid w:val="00E57B63"/>
    <w:rsid w:val="00ED1AC6"/>
    <w:rsid w:val="00ED7889"/>
    <w:rsid w:val="00EF590A"/>
    <w:rsid w:val="00F06035"/>
    <w:rsid w:val="00F136DD"/>
    <w:rsid w:val="00F256DA"/>
    <w:rsid w:val="00F41D38"/>
    <w:rsid w:val="00F50BD7"/>
    <w:rsid w:val="00F760E1"/>
    <w:rsid w:val="00FD0C2F"/>
    <w:rsid w:val="00FD6525"/>
    <w:rsid w:val="00FF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uiPriority="99" w:name="List Bullet 2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autoRedefine/>
    <w:qFormat/>
    <w:rsid w:val="00490851"/>
    <w:pPr>
      <w:keepNext/>
      <w:tabs>
        <w:tab w:pos="1225" w:val="left"/>
      </w:tabs>
      <w:spacing w:lineRule="auto" w:line="360" w:after="60" w:before="240"/>
      <w:jc w:val="both"/>
      <w:outlineLvl w:val="0"/>
    </w:pPr>
    <w:rPr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5D2EB3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true" w:styleId="Chronos" w:type="paragraph">
    <w:name w:val="Chronos"/>
    <w:uiPriority w:val="99"/>
    <w:rsid w:val="006A5245"/>
    <w:pPr>
      <w:spacing w:lineRule="auto" w:line="288"/>
      <w:jc w:val="both"/>
    </w:pPr>
    <w:rPr>
      <w:rFonts w:cs="Levenim MT" w:eastAsia="Calibri" w:hAnsi="Cronos Pro" w:ascii="Cronos Pro"/>
      <w:sz w:val="22"/>
      <w:szCs w:val="24"/>
      <w:lang w:eastAsia="en-US"/>
    </w:rPr>
  </w:style>
  <w:style w:customStyle="true" w:styleId="GridTable4" w:type="table">
    <w:name w:val="Grid Table 4"/>
    <w:uiPriority w:val="99"/>
    <w:rsid w:val="006A5245"/>
    <w:rPr>
      <w:rFonts w:eastAsia="Calibri" w:hAnsi="Calibri" w:ascii="Calibri"/>
    </w:rPr>
    <w:tblPr>
      <w:tblStyleRowBandSize w:val="1"/>
      <w:tblStyleColBandSize w:val="1"/>
      <w:tblInd w:type="dxa" w:w="0"/>
      <w:tblBorders>
        <w:top w:space="0" w:sz="4" w:color="666666" w:val="single"/>
        <w:left w:space="0" w:sz="4" w:color="666666" w:val="single"/>
        <w:bottom w:space="0" w:sz="4" w:color="666666" w:val="single"/>
        <w:right w:space="0" w:sz="4" w:color="666666" w:val="single"/>
        <w:insideH w:space="0" w:sz="4" w:color="666666" w:val="single"/>
        <w:insideV w:space="0" w:sz="4" w:color="66666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5245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true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17035"/>
    <w:rPr>
      <w:rFonts w:eastAsia="Calibri"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490851"/>
    <w:rPr>
      <w:sz w:val="24"/>
      <w:szCs w:val="24"/>
    </w:rPr>
  </w:style>
  <w:style w:styleId="Grafikeoznake2" w:type="paragraph">
    <w:name w:val="List Bullet 2"/>
    <w:basedOn w:val="Normal"/>
    <w:uiPriority w:val="99"/>
    <w:unhideWhenUsed/>
    <w:rsid w:val="00490851"/>
    <w:pPr>
      <w:numPr>
        <w:numId w:val="10"/>
      </w:numPr>
      <w:contextualSpacing/>
    </w:pPr>
    <w:rPr>
      <w:lang w:eastAsia="hr-HR"/>
    </w:rPr>
  </w:style>
  <w:style w:customStyle="true" w:styleId="apple-converted-space" w:type="character">
    <w:name w:val="apple-converted-space"/>
    <w:rsid w:val="00490851"/>
  </w:style>
  <w:style w:customStyle="true" w:styleId="tabletextfield" w:type="character">
    <w:name w:val="table_text_field"/>
    <w:rsid w:val="00490851"/>
  </w:style>
  <w:style w:styleId="Tijeloteksta" w:type="paragraph">
    <w:name w:val="Body Text"/>
    <w:basedOn w:val="Normal"/>
    <w:link w:val="TijelotekstaChar"/>
    <w:rsid w:val="00490851"/>
    <w:pPr>
      <w:jc w:val="both"/>
    </w:pPr>
    <w:rPr>
      <w:rFonts w:hAnsi="Arial" w:ascii="Arial"/>
      <w:snapToGrid w:val="false"/>
      <w:sz w:val="20"/>
      <w:szCs w:val="20"/>
      <w:lang w:val="fr-FR"/>
    </w:rPr>
  </w:style>
  <w:style w:customStyle="true" w:styleId="TijelotekstaChar" w:type="character">
    <w:name w:val="Tijelo teksta Char"/>
    <w:basedOn w:val="Zadanifontodlomka"/>
    <w:link w:val="Tijeloteksta"/>
    <w:rsid w:val="00490851"/>
    <w:rPr>
      <w:rFonts w:hAnsi="Arial" w:ascii="Arial"/>
      <w:snapToGrid w:val="false"/>
      <w:lang w:eastAsia="en-US" w:val="fr-FR"/>
    </w:rPr>
  </w:style>
  <w:style w:customStyle="true" w:styleId="Srednjareetka2Char" w:type="character">
    <w:name w:val="Srednja rešetka 2 Char"/>
    <w:link w:val="Srednjareetka2"/>
    <w:uiPriority w:val="1"/>
    <w:rsid w:val="00490851"/>
    <w:rPr>
      <w:rFonts w:cs="Calibri" w:eastAsia="Calibri" w:hAnsi="Calibri" w:ascii="Calibri"/>
      <w:color w:val="17365D"/>
      <w:lang w:eastAsia="ja-JP" w:val="en-US"/>
    </w:rPr>
  </w:style>
  <w:style w:customStyle="true" w:styleId="Obojanipopis-Isticanje1Char" w:type="character">
    <w:name w:val="Obojani popis - Isticanje 1 Char"/>
    <w:link w:val="Obojanipopis-Isticanje1"/>
    <w:uiPriority w:val="34"/>
    <w:locked/>
    <w:rsid w:val="00490851"/>
    <w:rPr>
      <w:sz w:val="24"/>
      <w:szCs w:val="24"/>
    </w:rPr>
  </w:style>
  <w:style w:styleId="Opisslike" w:type="paragraph">
    <w:name w:val="caption"/>
    <w:basedOn w:val="Normal"/>
    <w:next w:val="Normal"/>
    <w:qFormat/>
    <w:rsid w:val="00490851"/>
    <w:rPr>
      <w:rFonts w:hAnsi="Arial" w:ascii="Arial"/>
      <w:b/>
      <w:sz w:val="22"/>
      <w:szCs w:val="20"/>
      <w:lang w:eastAsia="de-DE" w:val="en-GB"/>
    </w:rPr>
  </w:style>
  <w:style w:customStyle="true" w:styleId="Heading1Char" w:type="character">
    <w:name w:val="Heading 1 Char"/>
    <w:uiPriority w:val="9"/>
    <w:rsid w:val="00490851"/>
    <w:rPr>
      <w:rFonts w:cs="Times New Roman" w:eastAsia="MS Gothic" w:hAnsi="Calibri" w:asci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490851"/>
    <w:rPr>
      <w:rFonts w:cs="Calibri" w:eastAsia="Calibri" w:hAnsi="Calibri" w:ascii="Calibri"/>
      <w:color w:val="17365D"/>
      <w:lang w:eastAsia="ja-JP"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tblPr/>
      <w:tcPr>
        <w:shd w:themeFillTint="19" w:themeFill="text1" w:fill="E6E6E6" w:color="auto" w:val="clear"/>
      </w:tcPr>
    </w:tblStylePr>
    <w:tblStylePr w:type="lastRow"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Obojanipopis-Isticanje1" w:type="table">
    <w:name w:val="Colorful List Accent 1"/>
    <w:basedOn w:val="Obinatablica"/>
    <w:link w:val="Obojanipopis-Isticanje1Char"/>
    <w:uiPriority w:val="34"/>
    <w:rsid w:val="00490851"/>
    <w:rPr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Grafikeoznake21" w:type="paragraph">
    <w:name w:val="Grafičke oznake 21"/>
    <w:basedOn w:val="Normal"/>
    <w:rsid w:val="00132B4D"/>
    <w:pPr>
      <w:widowControl w:val="false"/>
      <w:numPr>
        <w:numId w:val="1"/>
      </w:numPr>
      <w:suppressAutoHyphens/>
      <w:contextualSpacing/>
    </w:pPr>
    <w:rPr>
      <w:kern w:val="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E0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5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5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5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5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List Bullet 2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autoRedefine/>
    <w:qFormat/>
    <w:rsid w:val="00490851"/>
    <w:pPr>
      <w:keepNext/>
      <w:tabs>
        <w:tab w:pos="1225" w:val="left"/>
      </w:tabs>
      <w:spacing w:after="60" w:before="240" w:line="360" w:lineRule="auto"/>
      <w:jc w:val="both"/>
      <w:outlineLvl w:val="0"/>
    </w:pPr>
    <w:rPr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5D2EB3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1" w:styleId="Chronos" w:type="paragraph">
    <w:name w:val="Chronos"/>
    <w:uiPriority w:val="99"/>
    <w:rsid w:val="006A5245"/>
    <w:pPr>
      <w:spacing w:line="288" w:lineRule="auto"/>
      <w:jc w:val="both"/>
    </w:pPr>
    <w:rPr>
      <w:rFonts w:ascii="Cronos Pro" w:cs="Levenim MT" w:eastAsia="Calibri" w:hAnsi="Cronos Pro"/>
      <w:sz w:val="22"/>
      <w:szCs w:val="24"/>
      <w:lang w:eastAsia="en-US"/>
    </w:rPr>
  </w:style>
  <w:style w:customStyle="1" w:styleId="GridTable4" w:type="table">
    <w:name w:val="Grid Table 4"/>
    <w:uiPriority w:val="99"/>
    <w:rsid w:val="006A5245"/>
    <w:rPr>
      <w:rFonts w:ascii="Calibri" w:eastAsia="Calibri" w:hAnsi="Calibri"/>
    </w:rPr>
    <w:tblPr>
      <w:tblStyleRowBandSize w:val="1"/>
      <w:tblStyleColBandSize w:val="1"/>
      <w:tblInd w:type="dxa" w:w="0"/>
      <w:tblBorders>
        <w:top w:color="666666" w:space="0" w:sz="4" w:val="single"/>
        <w:left w:color="666666" w:space="0" w:sz="4" w:val="single"/>
        <w:bottom w:color="666666" w:space="0" w:sz="4" w:val="single"/>
        <w:right w:color="666666" w:space="0" w:sz="4" w:val="single"/>
        <w:insideH w:color="666666" w:space="0" w:sz="4" w:val="single"/>
        <w:insideV w:color="666666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524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1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17035"/>
    <w:rPr>
      <w:rFonts w:ascii="Calibri" w:eastAsia="Calibr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490851"/>
    <w:rPr>
      <w:sz w:val="24"/>
      <w:szCs w:val="24"/>
    </w:rPr>
  </w:style>
  <w:style w:styleId="Grafikeoznake2" w:type="paragraph">
    <w:name w:val="List Bullet 2"/>
    <w:basedOn w:val="Normal"/>
    <w:uiPriority w:val="99"/>
    <w:unhideWhenUsed/>
    <w:rsid w:val="00490851"/>
    <w:pPr>
      <w:numPr>
        <w:numId w:val="10"/>
      </w:numPr>
      <w:contextualSpacing/>
    </w:pPr>
    <w:rPr>
      <w:lang w:eastAsia="hr-HR"/>
    </w:rPr>
  </w:style>
  <w:style w:customStyle="1" w:styleId="apple-converted-space" w:type="character">
    <w:name w:val="apple-converted-space"/>
    <w:rsid w:val="00490851"/>
  </w:style>
  <w:style w:customStyle="1" w:styleId="tabletextfield" w:type="character">
    <w:name w:val="table_text_field"/>
    <w:rsid w:val="00490851"/>
  </w:style>
  <w:style w:styleId="Tijeloteksta" w:type="paragraph">
    <w:name w:val="Body Text"/>
    <w:basedOn w:val="Normal"/>
    <w:link w:val="TijelotekstaChar"/>
    <w:rsid w:val="00490851"/>
    <w:pPr>
      <w:jc w:val="both"/>
    </w:pPr>
    <w:rPr>
      <w:rFonts w:ascii="Arial" w:hAnsi="Arial"/>
      <w:snapToGrid w:val="0"/>
      <w:sz w:val="20"/>
      <w:szCs w:val="20"/>
      <w:lang w:val="fr-FR"/>
    </w:rPr>
  </w:style>
  <w:style w:customStyle="1" w:styleId="TijelotekstaChar" w:type="character">
    <w:name w:val="Tijelo teksta Char"/>
    <w:basedOn w:val="Zadanifontodlomka"/>
    <w:link w:val="Tijeloteksta"/>
    <w:rsid w:val="00490851"/>
    <w:rPr>
      <w:rFonts w:ascii="Arial" w:hAnsi="Arial"/>
      <w:snapToGrid w:val="0"/>
      <w:lang w:eastAsia="en-US" w:val="fr-FR"/>
    </w:rPr>
  </w:style>
  <w:style w:customStyle="1" w:styleId="Srednjareetka2Char" w:type="character">
    <w:name w:val="Srednja rešetka 2 Char"/>
    <w:link w:val="Srednjareetka2"/>
    <w:uiPriority w:val="1"/>
    <w:rsid w:val="00490851"/>
    <w:rPr>
      <w:rFonts w:ascii="Calibri" w:cs="Calibri" w:eastAsia="Calibri" w:hAnsi="Calibri"/>
      <w:color w:val="17365D"/>
      <w:lang w:eastAsia="ja-JP" w:val="en-US"/>
    </w:rPr>
  </w:style>
  <w:style w:customStyle="1" w:styleId="Obojanipopis-Isticanje1Char" w:type="character">
    <w:name w:val="Obojani popis - Isticanje 1 Char"/>
    <w:link w:val="Obojanipopis-Isticanje1"/>
    <w:uiPriority w:val="34"/>
    <w:locked/>
    <w:rsid w:val="00490851"/>
    <w:rPr>
      <w:sz w:val="24"/>
      <w:szCs w:val="24"/>
    </w:rPr>
  </w:style>
  <w:style w:styleId="Opisslike" w:type="paragraph">
    <w:name w:val="caption"/>
    <w:basedOn w:val="Normal"/>
    <w:next w:val="Normal"/>
    <w:qFormat/>
    <w:rsid w:val="00490851"/>
    <w:rPr>
      <w:rFonts w:ascii="Arial" w:hAnsi="Arial"/>
      <w:b/>
      <w:sz w:val="22"/>
      <w:szCs w:val="20"/>
      <w:lang w:eastAsia="de-DE" w:val="en-GB"/>
    </w:rPr>
  </w:style>
  <w:style w:customStyle="1" w:styleId="Heading1Char" w:type="character">
    <w:name w:val="Heading 1 Char"/>
    <w:uiPriority w:val="9"/>
    <w:rsid w:val="00490851"/>
    <w:rPr>
      <w:rFonts w:ascii="Calibri" w:cs="Times New Roman" w:eastAsia="MS Gothic" w:hAns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490851"/>
    <w:rPr>
      <w:rFonts w:ascii="Calibri" w:cs="Calibri" w:eastAsia="Calibri" w:hAnsi="Calibri"/>
      <w:color w:val="17365D"/>
      <w:lang w:eastAsia="ja-JP"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tblPr/>
      <w:tcPr>
        <w:shd w:color="auto" w:fill="E6E6E6" w:themeFill="text1" w:themeFillTint="19" w:val="clear"/>
      </w:tcPr>
    </w:tblStylePr>
    <w:tblStylePr w:type="lastRow"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Obojanipopis-Isticanje1" w:type="table">
    <w:name w:val="Colorful List Accent 1"/>
    <w:basedOn w:val="Obinatablica"/>
    <w:link w:val="Obojanipopis-Isticanje1Char"/>
    <w:uiPriority w:val="34"/>
    <w:rsid w:val="00490851"/>
    <w:rPr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Grafikeoznake21" w:type="paragraph">
    <w:name w:val="Grafičke oznake 21"/>
    <w:basedOn w:val="Normal"/>
    <w:rsid w:val="00132B4D"/>
    <w:pPr>
      <w:widowControl w:val="0"/>
      <w:numPr>
        <w:numId w:val="1"/>
      </w:numPr>
      <w:suppressAutoHyphens/>
      <w:contextualSpacing/>
    </w:pPr>
    <w:rPr>
      <w:kern w:val="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E0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5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5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5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5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31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97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6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2025</izvorni_sadrzaj>
    <derivirana_varijabla naziv="DomainObject.Predmet.Broj_1">2025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St-2025/2016</izvorni_sadrzaj>
    <derivirana_varijabla naziv="DomainObject.Predmet.OznakaBroj_1">St-2025/2016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DELTA-KAT d.o.o. zastupanog po punomoćniku Igor Svilar</izvorni_sadrzaj>
    <derivirana_varijabla naziv="DomainObject.Predmet.ProtustrankaFormated_1">  DELTA-KAT d.o.o. zastupanog po punomoćniku Igor Svilar</derivirana_varijabla>
  </DomainObject.Predmet.ProtustrankaFormated>
  <DomainObject.Predmet.ProtustrankaFormatedOIB>
    <izvorni_sadrzaj>  DELTA-KAT d.o.o., OIB 45336532168 zastupanog po punomoćniku Igor Svilar</izvorni_sadrzaj>
    <derivirana_varijabla naziv="DomainObject.Predmet.ProtustrankaFormatedOIB_1">  DELTA-KAT d.o.o., OIB 45336532168 zastupanog po punomoćniku Igor Svilar</derivirana_varijabla>
  </DomainObject.Predmet.ProtustrankaFormatedOIB>
  <DomainObject.Predmet.ProtustrankaFormatedWithAdress>
    <izvorni_sadrzaj> DELTA-KAT d.o.o., Donje Vrapče 53, 10000 Zagreb zastupanog po punomoćniku Igor Svilar</izvorni_sadrzaj>
    <derivirana_varijabla naziv="DomainObject.Predmet.ProtustrankaFormatedWithAdress_1"> DELTA-KAT d.o.o., Donje Vrapče 53, 10000 Zagreb zastupanog po punomoćniku Igor Svilar</derivirana_varijabla>
  </DomainObject.Predmet.ProtustrankaFormatedWithAdress>
  <DomainObject.Predmet.ProtustrankaFormatedWithAdressOIB>
    <izvorni_sadrzaj> DELTA-KAT d.o.o., OIB 45336532168, Donje Vrapče 53, 10000 Zagreb zastupanog po punomoćniku Igor Svilar</izvorni_sadrzaj>
    <derivirana_varijabla naziv="DomainObject.Predmet.ProtustrankaFormatedWithAdressOIB_1"> DELTA-KAT d.o.o., OIB 45336532168, Donje Vrapče 53, 10000 Zagreb zastupanog po punomoćniku Igor Svilar</derivirana_varijabla>
  </DomainObject.Predmet.ProtustrankaFormatedWithAdressOIB>
  <DomainObject.Predmet.ProtustrankaWithAdress>
    <izvorni_sadrzaj>DELTA-KAT d.o.o. Donje Vrapče 53, 10000 Zagreb</izvorni_sadrzaj>
    <derivirana_varijabla naziv="DomainObject.Predmet.ProtustrankaWithAdress_1">DELTA-KAT d.o.o. Donje Vrapče 53, 10000 Zagreb</derivirana_varijabla>
  </DomainObject.Predmet.ProtustrankaWithAdress>
  <DomainObject.Predmet.ProtustrankaWithAdressOIB>
    <izvorni_sadrzaj>DELTA-KAT d.o.o., OIB 45336532168, Donje Vrapče 53, 10000 Zagreb</izvorni_sadrzaj>
    <derivirana_varijabla naziv="DomainObject.Predmet.ProtustrankaWithAdressOIB_1">DELTA-KAT d.o.o., OIB 45336532168, Donje Vrapče 53, 10000 Zagreb</derivirana_varijabla>
  </DomainObject.Predmet.ProtustrankaWithAdressOIB>
  <DomainObject.Predmet.ProtustrankaNazivFormated>
    <izvorni_sadrzaj>DELTA-KAT d.o.o.</izvorni_sadrzaj>
    <derivirana_varijabla naziv="DomainObject.Predmet.ProtustrankaNazivFormated_1">DELTA-KAT d.o.o.</derivirana_varijabla>
  </DomainObject.Predmet.ProtustrankaNazivFormated>
  <DomainObject.Predmet.ProtustrankaNazivFormatedOIB>
    <izvorni_sadrzaj>DELTA-KAT d.o.o., OIB 45336532168</izvorni_sadrzaj>
    <derivirana_varijabla naziv="DomainObject.Predmet.ProtustrankaNazivFormatedOIB_1">DELTA-KAT d.o.o., OIB 45336532168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DELTA-KAT d.o.o.</izvorni_sadrzaj>
    <derivirana_varijabla naziv="DomainObject.Predmet.StrankaFormated_1">  DELTA-KAT d.o.o.</derivirana_varijabla>
  </DomainObject.Predmet.StrankaFormated>
  <DomainObject.Predmet.StrankaFormatedOIB>
    <izvorni_sadrzaj>  DELTA-KAT d.o.o., OIB 45336532168</izvorni_sadrzaj>
    <derivirana_varijabla naziv="DomainObject.Predmet.StrankaFormatedOIB_1">  DELTA-KAT d.o.o., OIB 45336532168</derivirana_varijabla>
  </DomainObject.Predmet.StrankaFormatedOIB>
  <DomainObject.Predmet.StrankaFormatedWithAdress>
    <izvorni_sadrzaj> DELTA-KAT d.o.o., Donje Vrapče 53, 10000 Zagreb</izvorni_sadrzaj>
    <derivirana_varijabla naziv="DomainObject.Predmet.StrankaFormatedWithAdress_1"> DELTA-KAT d.o.o., Donje Vrapče 53, 10000 Zagreb</derivirana_varijabla>
  </DomainObject.Predmet.StrankaFormatedWithAdress>
  <DomainObject.Predmet.StrankaFormatedWithAdressOIB>
    <izvorni_sadrzaj> DELTA-KAT d.o.o., OIB 45336532168, Donje Vrapče 53, 10000 Zagreb</izvorni_sadrzaj>
    <derivirana_varijabla naziv="DomainObject.Predmet.StrankaFormatedWithAdressOIB_1"> DELTA-KAT d.o.o., OIB 45336532168, Donje Vrapče 53, 10000 Zagreb</derivirana_varijabla>
  </DomainObject.Predmet.StrankaFormatedWithAdressOIB>
  <DomainObject.Predmet.StrankaWithAdress>
    <izvorni_sadrzaj>DELTA-KAT d.o.o. Donje Vrapče 53,10000 Zagreb</izvorni_sadrzaj>
    <derivirana_varijabla naziv="DomainObject.Predmet.StrankaWithAdress_1">DELTA-KAT d.o.o. Donje Vrapče 53,10000 Zagreb</derivirana_varijabla>
  </DomainObject.Predmet.StrankaWithAdress>
  <DomainObject.Predmet.StrankaWithAdressOIB>
    <izvorni_sadrzaj>DELTA-KAT d.o.o., OIB 45336532168, Donje Vrapče 53,10000 Zagreb</izvorni_sadrzaj>
    <derivirana_varijabla naziv="DomainObject.Predmet.StrankaWithAdressOIB_1">DELTA-KAT d.o.o., OIB 45336532168, Donje Vrapče 53,10000 Zagreb</derivirana_varijabla>
  </DomainObject.Predmet.StrankaWithAdressOIB>
  <DomainObject.Predmet.StrankaNazivFormated>
    <izvorni_sadrzaj>DELTA-KAT d.o.o.</izvorni_sadrzaj>
    <derivirana_varijabla naziv="DomainObject.Predmet.StrankaNazivFormated_1">DELTA-KAT d.o.o.</derivirana_varijabla>
  </DomainObject.Predmet.StrankaNazivFormated>
  <DomainObject.Predmet.StrankaNazivFormatedOIB>
    <izvorni_sadrzaj>DELTA-KAT d.o.o., OIB 45336532168</izvorni_sadrzaj>
    <derivirana_varijabla naziv="DomainObject.Predmet.StrankaNazivFormatedOIB_1">DELTA-KAT d.o.o., OIB 45336532168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DELTA-KAT d.o.o.</item>
    </izvorni_sadrzaj>
    <derivirana_varijabla naziv="DomainObject.Predmet.StrankaListFormated_1">
      <item>DELTA-KAT d.o.o.</item>
    </derivirana_varijabla>
  </DomainObject.Predmet.StrankaListFormated>
  <DomainObject.Predmet.StrankaListFormatedOIB>
    <izvorni_sadrzaj>
      <item>DELTA-KAT d.o.o., OIB 45336532168</item>
    </izvorni_sadrzaj>
    <derivirana_varijabla naziv="DomainObject.Predmet.StrankaListFormatedOIB_1">
      <item>DELTA-KAT d.o.o., OIB 45336532168</item>
    </derivirana_varijabla>
  </DomainObject.Predmet.StrankaListFormatedOIB>
  <DomainObject.Predmet.StrankaListFormatedWithAdress>
    <izvorni_sadrzaj>
      <item>DELTA-KAT d.o.o., Donje Vrapče 53, 10000 Zagreb</item>
    </izvorni_sadrzaj>
    <derivirana_varijabla naziv="DomainObject.Predmet.StrankaListFormatedWithAdress_1">
      <item>DELTA-KAT d.o.o., Donje Vrapče 53, 10000 Zagreb</item>
    </derivirana_varijabla>
  </DomainObject.Predmet.StrankaListFormatedWithAdress>
  <DomainObject.Predmet.StrankaListFormatedWithAdressOIB>
    <izvorni_sadrzaj>
      <item>DELTA-KAT d.o.o., OIB 45336532168, Donje Vrapče 53, 10000 Zagreb</item>
    </izvorni_sadrzaj>
    <derivirana_varijabla naziv="DomainObject.Predmet.StrankaListFormatedWithAdressOIB_1">
      <item>DELTA-KAT d.o.o., OIB 45336532168, Donje Vrapče 53, 10000 Zagreb</item>
    </derivirana_varijabla>
  </DomainObject.Predmet.StrankaListFormatedWithAdressOIB>
  <DomainObject.Predmet.StrankaListNazivFormated>
    <izvorni_sadrzaj>
      <item>DELTA-KAT d.o.o.</item>
    </izvorni_sadrzaj>
    <derivirana_varijabla naziv="DomainObject.Predmet.StrankaListNazivFormated_1">
      <item>DELTA-KAT d.o.o.</item>
    </derivirana_varijabla>
  </DomainObject.Predmet.StrankaListNazivFormated>
  <DomainObject.Predmet.StrankaListNazivFormatedOIB>
    <izvorni_sadrzaj>
      <item>DELTA-KAT d.o.o., OIB 45336532168</item>
    </izvorni_sadrzaj>
    <derivirana_varijabla naziv="DomainObject.Predmet.StrankaListNazivFormatedOIB_1">
      <item>DELTA-KAT d.o.o., OIB 45336532168</item>
    </derivirana_varijabla>
  </DomainObject.Predmet.StrankaListNazivFormatedOIB>
  <DomainObject.Predmet.ProtuStrankaListFormated>
    <izvorni_sadrzaj>
      <item>DELTA-KAT d.o.o. zastupanog po punomoćniku Igor Svilar</item>
    </izvorni_sadrzaj>
    <derivirana_varijabla naziv="DomainObject.Predmet.ProtuStrankaListFormated_1">
      <item>DELTA-KAT d.o.o. zastupanog po punomoćniku Igor Svilar</item>
    </derivirana_varijabla>
  </DomainObject.Predmet.ProtuStrankaListFormated>
  <DomainObject.Predmet.ProtuStrankaListFormatedOIB>
    <izvorni_sadrzaj>
      <item>DELTA-KAT d.o.o., OIB 45336532168 zastupanog po punomoćniku Igor Svilar</item>
    </izvorni_sadrzaj>
    <derivirana_varijabla naziv="DomainObject.Predmet.ProtuStrankaListFormatedOIB_1">
      <item>DELTA-KAT d.o.o., OIB 45336532168 zastupanog po punomoćniku Igor Svilar</item>
    </derivirana_varijabla>
  </DomainObject.Predmet.ProtuStrankaListFormatedOIB>
  <DomainObject.Predmet.ProtuStrankaListFormatedWithAdress>
    <izvorni_sadrzaj>
      <item>DELTA-KAT d.o.o., Donje Vrapče 53, 10000 Zagreb zastupanog po punomoćniku Igor Svilar</item>
    </izvorni_sadrzaj>
    <derivirana_varijabla naziv="DomainObject.Predmet.ProtuStrankaListFormatedWithAdress_1">
      <item>DELTA-KAT d.o.o., Donje Vrapče 53, 10000 Zagreb zastupanog po punomoćniku Igor Svilar</item>
    </derivirana_varijabla>
  </DomainObject.Predmet.ProtuStrankaListFormatedWithAdress>
  <DomainObject.Predmet.ProtuStrankaListFormatedWithAdressOIB>
    <izvorni_sadrzaj>
      <item>DELTA-KAT d.o.o., OIB 45336532168, Donje Vrapče 53, 10000 Zagreb zastupanog po punomoćniku Igor Svilar</item>
    </izvorni_sadrzaj>
    <derivirana_varijabla naziv="DomainObject.Predmet.ProtuStrankaListFormatedWithAdressOIB_1">
      <item>DELTA-KAT d.o.o., OIB 45336532168, Donje Vrapče 53, 10000 Zagreb zastupanog po punomoćniku Igor Svilar</item>
    </derivirana_varijabla>
  </DomainObject.Predmet.ProtuStrankaListFormatedWithAdressOIB>
  <DomainObject.Predmet.ProtuStrankaListNazivFormated>
    <izvorni_sadrzaj>
      <item>DELTA-KAT d.o.o.</item>
    </izvorni_sadrzaj>
    <derivirana_varijabla naziv="DomainObject.Predmet.ProtuStrankaListNazivFormated_1">
      <item>DELTA-KAT d.o.o.</item>
    </derivirana_varijabla>
  </DomainObject.Predmet.ProtuStrankaListNazivFormated>
  <DomainObject.Predmet.ProtuStrankaListNazivFormatedOIB>
    <izvorni_sadrzaj>
      <item>DELTA-KAT d.o.o., OIB 45336532168</item>
    </izvorni_sadrzaj>
    <derivirana_varijabla naziv="DomainObject.Predmet.ProtuStrankaListNazivFormatedOIB_1">
      <item>DELTA-KAT d.o.o., OIB 45336532168</item>
    </derivirana_varijabla>
  </DomainObject.Predmet.ProtuStrankaListNazivFormatedOIB>
  <DomainObject.Predmet.OstaliListFormated>
    <izvorni_sadrzaj>
      <item>Igor Svilar punomoćnik sudionika u postupku DELTA-KAT d.o.o.</item>
      <item>Marko Prosinečki</item>
    </izvorni_sadrzaj>
    <derivirana_varijabla naziv="DomainObject.Predmet.OstaliListFormated_1">
      <item>Igor Svilar punomoćnik sudionika u postupku DELTA-KAT d.o.o.</item>
      <item>Marko Prosinečki</item>
    </derivirana_varijabla>
  </DomainObject.Predmet.OstaliListFormated>
  <DomainObject.Predmet.OstaliListFormatedOIB>
    <izvorni_sadrzaj>
      <item>Igor Svilar, OIB 55678665212 punomoćnik sudionika u postupku DELTA-KAT d.o.o.</item>
      <item>Marko Prosinečki, OIB 89674240099</item>
    </izvorni_sadrzaj>
    <derivirana_varijabla naziv="DomainObject.Predmet.OstaliListFormatedOIB_1">
      <item>Igor Svilar, OIB 55678665212 punomoćnik sudionika u postupku DELTA-KAT d.o.o.</item>
      <item>Marko Prosinečki, OIB 89674240099</item>
    </derivirana_varijabla>
  </DomainObject.Predmet.OstaliListFormatedOIB>
  <DomainObject.Predmet.OstaliListFormatedWithAdress>
    <izvorni_sadrzaj>
      <item>Igor Svilar, Gredička 23, 10000 Zagreb punomoćnik sudionika u postupku DELTA-KAT d.o.o.</item>
      <item>Marko Prosinečki, Dominika Mandića 24, 10000 Zagreb</item>
    </izvorni_sadrzaj>
    <derivirana_varijabla naziv="DomainObject.Predmet.OstaliListFormatedWithAdress_1">
      <item>Igor Svilar, Gredička 23, 10000 Zagreb punomoćnik sudionika u postupku DELTA-KAT d.o.o.</item>
      <item>Marko Prosinečki, Dominika Mandića 24, 10000 Zagreb</item>
    </derivirana_varijabla>
  </DomainObject.Predmet.OstaliListFormatedWithAdress>
  <DomainObject.Predmet.OstaliListFormatedWithAdressOIB>
    <izvorni_sadrzaj>
      <item>Igor Svilar, OIB 55678665212, Gredička 23, 10000 Zagreb punomoćnik sudionika u postupku DELTA-KAT d.o.o.</item>
      <item>Marko Prosinečki, OIB 89674240099, Dominika Mandića 24, 10000 Zagreb</item>
    </izvorni_sadrzaj>
    <derivirana_varijabla naziv="DomainObject.Predmet.OstaliListFormatedWithAdressOIB_1">
      <item>Igor Svilar, OIB 55678665212, Gredička 23, 10000 Zagreb punomoćnik sudionika u postupku DELTA-KAT d.o.o.</item>
      <item>Marko Prosinečki, OIB 89674240099, Dominika Mandića 24, 10000 Zagreb</item>
    </derivirana_varijabla>
  </DomainObject.Predmet.OstaliListFormatedWithAdressOIB>
  <DomainObject.Predmet.OstaliListNazivFormated>
    <izvorni_sadrzaj>
      <item>Igor Svilar</item>
      <item>Marko Prosinečki</item>
    </izvorni_sadrzaj>
    <derivirana_varijabla naziv="DomainObject.Predmet.OstaliListNazivFormated_1">
      <item>Igor Svilar</item>
      <item>Marko Prosinečki</item>
    </derivirana_varijabla>
  </DomainObject.Predmet.OstaliListNazivFormated>
  <DomainObject.Predmet.OstaliListNazivFormatedOIB>
    <izvorni_sadrzaj>
      <item>Igor Svilar, OIB 55678665212</item>
      <item>Marko Prosinečki, OIB 89674240099</item>
    </izvorni_sadrzaj>
    <derivirana_varijabla naziv="DomainObject.Predmet.OstaliListNazivFormatedOIB_1">
      <item>Igor Svilar, OIB 55678665212</item>
      <item>Marko Prosinečki, OIB 89674240099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DELTA-KAT d.o.o.</izvorni_sadrzaj>
    <derivirana_varijabla naziv="DomainObject.Predmet.StrankaIDrugi_1">DELTA-KAT d.o.o.</derivirana_varijabla>
  </DomainObject.Predmet.StrankaIDrugi>
  <DomainObject.Predmet.ProtustrankaIDrugi>
    <izvorni_sadrzaj>DELTA-KAT d.o.o.</izvorni_sadrzaj>
    <derivirana_varijabla naziv="DomainObject.Predmet.ProtustrankaIDrugi_1">DELTA-KAT d.o.o.</derivirana_varijabla>
  </DomainObject.Predmet.ProtustrankaIDrugi>
  <DomainObject.Predmet.StrankaIDrugiAdressOIB>
    <izvorni_sadrzaj>DELTA-KAT d.o.o., OIB 45336532168, Donje Vrapče 53, 10000 Zagreb</izvorni_sadrzaj>
    <derivirana_varijabla naziv="DomainObject.Predmet.StrankaIDrugiAdressOIB_1">DELTA-KAT d.o.o., OIB 45336532168, Donje Vrapče 53, 10000 Zagreb</derivirana_varijabla>
  </DomainObject.Predmet.StrankaIDrugiAdressOIB>
  <DomainObject.Predmet.ProtustrankaIDrugiAdressOIB>
    <izvorni_sadrzaj>DELTA-KAT d.o.o., OIB 45336532168, Donje Vrapče 53, 10000 Zagreb</izvorni_sadrzaj>
    <derivirana_varijabla naziv="DomainObject.Predmet.ProtustrankaIDrugiAdressOIB_1">DELTA-KAT d.o.o., OIB 45336532168, Donje Vrapče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DELTA-KAT d.o.o.</item>
      <item>DELTA-KAT d.o.o.</item>
      <item>Igor Svilar</item>
      <item>Marko Prosinečki</item>
    </izvorni_sadrzaj>
    <derivirana_varijabla naziv="DomainObject.Predmet.SudioniciListNaziv_1">
      <item>DELTA-KAT d.o.o.</item>
      <item>DELTA-KAT d.o.o.</item>
      <item>Igor Svilar</item>
      <item>Marko Prosinečki</item>
    </derivirana_varijabla>
  </DomainObject.Predmet.SudioniciListNaziv>
  <DomainObject.Predmet.SudioniciListAdressOIB>
    <izvorni_sadrzaj>
      <item>DELTA-KAT d.o.o., OIB 45336532168, Donje Vrapče 53,10000 Zagreb</item>
      <item>DELTA-KAT d.o.o., OIB 45336532168, Donje Vrapče 53,10000 Zagreb</item>
      <item>Igor Svilar, OIB 55678665212, Gredička 23,10000 Zagreb</item>
      <item>Marko Prosinečki, OIB 89674240099, Dominika Mandića 24,10000 Zagreb</item>
    </izvorni_sadrzaj>
    <derivirana_varijabla naziv="DomainObject.Predmet.SudioniciListAdressOIB_1">
      <item>DELTA-KAT d.o.o., OIB 45336532168, Donje Vrapče 53,10000 Zagreb</item>
      <item>DELTA-KAT d.o.o., OIB 45336532168, Donje Vrapče 53,10000 Zagreb</item>
      <item>Igor Svilar, OIB 55678665212, Gredička 23,10000 Zagreb</item>
      <item>Marko Prosinečki, OIB 89674240099, Dominika Mandića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45336532168</item>
      <item>, OIB 45336532168</item>
      <item>, OIB 55678665212</item>
      <item>, OIB 89674240099</item>
    </izvorni_sadrzaj>
    <derivirana_varijabla naziv="DomainObject.Predmet.SudioniciListNazivOIB_1">
      <item>, OIB 45336532168</item>
      <item>, OIB 45336532168</item>
      <item>, OIB 55678665212</item>
      <item>, OIB 89674240099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74D416-D0B7-467A-B9AA-90BB745577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6</properties:Pages>
  <properties:Words>1400</properties:Words>
  <properties:Characters>8330</properties:Characters>
  <properties:Lines>523</properties:Lines>
  <properties:Paragraphs>235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Vts</vt:lpstr>
    </vt:vector>
  </properties:TitlesOfParts>
  <properties:LinksUpToDate>false</properties:LinksUpToDate>
  <properties:CharactersWithSpaces>9627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2016-05-13T07:33:00Z</dcterms:created>
  <dc:creator>agalic</dc:creator>
  <cp:lastModifiedBy>Valentina Delač</cp:lastModifiedBy>
  <cp:lastPrinted>2016-05-17T09:52:00Z</cp:lastPrinted>
  <dcterms:modified xmlns:xsi="http://www.w3.org/2001/XMLSchema-instance" xsi:type="dcterms:W3CDTF">2016-05-17T11:04:00Z</dcterms:modified>
  <cp:revision>7</cp:revision>
  <dc:title>Vts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