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42d5d4" w14:paraId="642d5d4" w:rsidRDefault="00EF311F" w:rsidP="00126F44" w:rsidR="00E543AD">
      <w:pPr>
        <w15:collapsed w:val="false"/>
      </w:pPr>
      <w:bookmarkStart w:name="_GoBack" w:id="0"/>
      <w:bookmarkEnd w:id="0"/>
      <w:r>
        <w:tab/>
      </w:r>
      <w:r>
        <w:tab/>
      </w:r>
      <w:r>
        <w:tab/>
      </w:r>
      <w:r>
        <w:tab/>
      </w:r>
      <w:r>
        <w:tab/>
      </w:r>
      <w:r>
        <w:tab/>
      </w:r>
      <w:r>
        <w:tab/>
      </w:r>
      <w:r>
        <w:tab/>
      </w:r>
      <w:r>
        <w:tab/>
      </w:r>
      <w:r>
        <w:tab/>
        <w:t>14 St-</w:t>
      </w:r>
      <w:r w:rsidR="00AB6B7F">
        <w:t>1</w:t>
      </w:r>
      <w:r w:rsidR="00255A48">
        <w:t>2</w:t>
      </w:r>
      <w:r w:rsidR="00390B1D">
        <w:t>3</w:t>
      </w:r>
      <w:r w:rsidR="00941451">
        <w:t>1</w:t>
      </w:r>
      <w:r>
        <w:t>/1</w:t>
      </w:r>
      <w:r w:rsidR="00255A48">
        <w:t>7</w:t>
      </w:r>
      <w:r>
        <w:t>-</w:t>
      </w:r>
      <w:r w:rsidR="003474EC">
        <w:t>2</w:t>
      </w:r>
      <w:r w:rsidR="00390B1D">
        <w:t>8</w:t>
      </w:r>
    </w:p>
    <w:p w:rsidRDefault="00E543AD" w:rsidR="00E543AD">
      <w:pPr>
        <w:pStyle w:val="Zaglavlje"/>
        <w:tabs>
          <w:tab w:pos="4536" w:val="clear"/>
          <w:tab w:pos="9072" w:val="clear"/>
        </w:tabs>
      </w:pPr>
    </w:p>
    <w:p w:rsidRDefault="0034231B" w:rsidP="0034231B" w:rsidR="0034231B">
      <w:r>
        <w:rPr>
          <w:rStyle w:val="Naglaeno"/>
        </w:rPr>
        <w:t xml:space="preserve">           </w:t>
      </w:r>
      <w:r w:rsidR="00EE0571">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34231B" w:rsidP="0034231B" w:rsidR="0034231B" w:rsidRPr="00D21A2C"/>
    <w:p w:rsidRDefault="0034231B" w:rsidP="0034231B" w:rsidR="0034231B" w:rsidRPr="00B82754">
      <w:pPr>
        <w:ind w:hanging="720" w:left="360"/>
        <w:rPr>
          <w:b/>
        </w:rPr>
      </w:pPr>
      <w:r w:rsidRPr="00B82754">
        <w:rPr>
          <w:b/>
        </w:rPr>
        <w:t xml:space="preserve">     REPUBLIKA HRVATSKA</w:t>
      </w:r>
    </w:p>
    <w:p w:rsidRDefault="0034231B" w:rsidP="0034231B" w:rsidR="002B27B2"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064EFD" w:rsidR="00064EFD">
      <w:pPr>
        <w:pStyle w:val="Zaglavlje"/>
        <w:tabs>
          <w:tab w:pos="4536" w:val="clear"/>
          <w:tab w:pos="9072" w:val="clear"/>
        </w:tabs>
      </w:pPr>
    </w:p>
    <w:p w:rsidRDefault="00CF4E0A" w:rsidR="00703147">
      <w:pPr>
        <w:pStyle w:val="Naslov2"/>
        <w:rPr>
          <w:b w:val="false"/>
          <w:bCs w:val="false"/>
        </w:rPr>
      </w:pPr>
      <w:r>
        <w:t xml:space="preserve"> </w:t>
      </w:r>
      <w:r w:rsidR="00703147">
        <w:rPr>
          <w:b w:val="false"/>
          <w:bCs w:val="false"/>
        </w:rPr>
        <w:t>U IME REPUBLIKE HRVATSKE</w:t>
      </w:r>
    </w:p>
    <w:p w:rsidRDefault="00E543AD" w:rsidR="00E543AD" w:rsidRPr="00703147">
      <w:pPr>
        <w:pStyle w:val="Naslov2"/>
        <w:rPr>
          <w:b w:val="false"/>
          <w:bCs w:val="false"/>
        </w:rPr>
      </w:pPr>
      <w:r w:rsidRPr="00703147">
        <w:rPr>
          <w:b w:val="false"/>
          <w:bCs w:val="false"/>
        </w:rPr>
        <w:t>R J E Š E N J E</w:t>
      </w:r>
    </w:p>
    <w:p w:rsidRDefault="00064EFD" w:rsidP="00625D51" w:rsidR="00064EFD">
      <w:pPr>
        <w:ind w:firstLine="720"/>
        <w:jc w:val="both"/>
        <w:rPr>
          <w:b/>
          <w:bCs/>
        </w:rPr>
      </w:pPr>
    </w:p>
    <w:p w:rsidRDefault="00A72827" w:rsidP="00A72827" w:rsidR="00A72827">
      <w:pPr>
        <w:jc w:val="both"/>
      </w:pPr>
      <w:r>
        <w:tab/>
      </w:r>
      <w:r w:rsidR="00941451">
        <w:t>Trgovački sud u Osijeku, po sucu mr. sc. Tihomiru Kovačeviću, kao stečajnom sucu, povodom prijedloga FINANCIJSKE AGENCIJE ZAGREB, Regionalni centar Zagreb, Podružnica Karlovac, Ul. Pavla Vitezovića 1, OIB 85821130368 za otvaranje stečajnog postupka nad dužnikom INTERIJERI društvo s ograničenom odgovornošću za završne radove u građevinarstvu, proizvodnju i trgovinu, Karlovac, Rakovac 39, MBS 020048151 OIB 86785941201</w:t>
      </w:r>
      <w:r w:rsidR="002A15EB">
        <w:t xml:space="preserve">, </w:t>
      </w:r>
      <w:r w:rsidR="00DB2D45" w:rsidRPr="0041082E">
        <w:t xml:space="preserve">dana </w:t>
      </w:r>
      <w:r w:rsidR="00941451">
        <w:t>24</w:t>
      </w:r>
      <w:r w:rsidR="00DB2D45" w:rsidRPr="00DB2D45">
        <w:t xml:space="preserve">. svibnja </w:t>
      </w:r>
      <w:r w:rsidR="00DB2D45" w:rsidRPr="0041082E">
        <w:t>201</w:t>
      </w:r>
      <w:r w:rsidR="00DB2D45">
        <w:t>8</w:t>
      </w:r>
      <w:r w:rsidR="00DB2D45" w:rsidRPr="0041082E">
        <w:t>.</w:t>
      </w:r>
    </w:p>
    <w:p w:rsidRDefault="00064EFD" w:rsidP="00A275FE" w:rsidR="00064EFD">
      <w:pPr>
        <w:jc w:val="both"/>
      </w:pPr>
    </w:p>
    <w:p w:rsidRDefault="00A275FE" w:rsidP="00A275FE" w:rsidR="00A275FE" w:rsidRPr="00703147">
      <w:pPr>
        <w:jc w:val="center"/>
      </w:pPr>
      <w:r w:rsidRPr="00703147">
        <w:t>r i j e š i o  j e</w:t>
      </w:r>
    </w:p>
    <w:p w:rsidRDefault="00064EFD" w:rsidP="00A275FE" w:rsidR="00064EFD">
      <w:pPr>
        <w:rPr>
          <w:b/>
          <w:bCs/>
        </w:rPr>
      </w:pPr>
    </w:p>
    <w:p w:rsidRDefault="00A1107A" w:rsidP="00941451" w:rsidR="00A1107A">
      <w:pPr>
        <w:numPr>
          <w:ilvl w:val="0"/>
          <w:numId w:val="1"/>
        </w:numPr>
        <w:jc w:val="both"/>
        <w:rPr>
          <w:bCs/>
        </w:rPr>
      </w:pPr>
      <w:r w:rsidRPr="00692327">
        <w:rPr>
          <w:bCs/>
        </w:rPr>
        <w:t>OTVARA</w:t>
      </w:r>
      <w:r w:rsidRPr="00557979">
        <w:t xml:space="preserve"> se stečajni postupak nad dužnikom</w:t>
      </w:r>
      <w:r>
        <w:t>:</w:t>
      </w:r>
      <w:r w:rsidRPr="00557979">
        <w:t xml:space="preserve"> </w:t>
      </w:r>
      <w:r w:rsidR="00941451" w:rsidRPr="00941451">
        <w:rPr>
          <w:bCs/>
        </w:rPr>
        <w:t>INTERIJERI društvo s ograničenom odgovornošću za završne radove u građevinarstvu, proizvodnju i trgovinu, Karlovac, Rakovac 39, MBS 020048151 OIB 86785941201</w:t>
      </w:r>
      <w:r w:rsidRPr="00557979">
        <w:rPr>
          <w:bCs/>
        </w:rPr>
        <w:t>.</w:t>
      </w:r>
    </w:p>
    <w:p w:rsidRDefault="00A1107A" w:rsidP="00A1107A" w:rsidR="00A1107A">
      <w:pPr>
        <w:ind w:left="1065"/>
        <w:jc w:val="both"/>
        <w:rPr>
          <w:bCs/>
        </w:rPr>
      </w:pPr>
    </w:p>
    <w:p w:rsidRDefault="00A1107A" w:rsidP="005905CE" w:rsidR="00A1107A" w:rsidRPr="00B66849">
      <w:pPr>
        <w:numPr>
          <w:ilvl w:val="0"/>
          <w:numId w:val="1"/>
        </w:numPr>
        <w:jc w:val="both"/>
      </w:pPr>
      <w:r w:rsidRPr="001209D9">
        <w:t>Za stečajn</w:t>
      </w:r>
      <w:r>
        <w:t>og</w:t>
      </w:r>
      <w:r w:rsidRPr="001209D9">
        <w:t xml:space="preserve"> upravitelj</w:t>
      </w:r>
      <w:r>
        <w:t>a</w:t>
      </w:r>
      <w:r w:rsidRPr="001209D9">
        <w:t xml:space="preserve"> imenuje se </w:t>
      </w:r>
      <w:r w:rsidR="005905CE" w:rsidRPr="005905CE">
        <w:rPr>
          <w:bCs/>
        </w:rPr>
        <w:t>Tomac Krešimir, Slavonski Brod, Tome Bakača 35, OIB 89208179103</w:t>
      </w:r>
      <w:r w:rsidR="00E72CE1">
        <w:t xml:space="preserve"> </w:t>
      </w:r>
      <w:r>
        <w:t>automatskom dodjelom</w:t>
      </w:r>
      <w:r w:rsidR="003B3048">
        <w:t xml:space="preserve"> – promjenom uloge</w:t>
      </w:r>
      <w:r>
        <w:t xml:space="preserve">.                            </w:t>
      </w:r>
    </w:p>
    <w:p w:rsidRDefault="00A1107A" w:rsidP="00A1107A" w:rsidR="00A1107A">
      <w:pPr>
        <w:ind w:left="705"/>
        <w:jc w:val="both"/>
      </w:pPr>
    </w:p>
    <w:p w:rsidRDefault="00A1107A" w:rsidP="005905CE" w:rsidR="00A1107A" w:rsidRPr="00A8678A">
      <w:pPr>
        <w:numPr>
          <w:ilvl w:val="0"/>
          <w:numId w:val="1"/>
        </w:numPr>
        <w:jc w:val="both"/>
      </w:pPr>
      <w:r w:rsidRPr="00692327">
        <w:rPr>
          <w:bCs/>
        </w:rPr>
        <w:t>ZAKLJUČUJE</w:t>
      </w:r>
      <w:r w:rsidRPr="00557979">
        <w:t xml:space="preserve"> se stečajni postupak nad dužnikom: </w:t>
      </w:r>
      <w:r w:rsidR="005905CE" w:rsidRPr="005905CE">
        <w:rPr>
          <w:bCs/>
        </w:rPr>
        <w:t>INTERIJERI društvo s ograničenom odgovornošću za završne radove u građevinarstvu, proizvodnju i trgovinu, Karlovac, Rakovac 39, MBS 020048151 OIB 86785941201</w:t>
      </w:r>
      <w:r>
        <w:rPr>
          <w:bCs/>
        </w:rPr>
        <w:t>,</w:t>
      </w:r>
      <w:r>
        <w:rPr>
          <w:b/>
          <w:bCs/>
        </w:rPr>
        <w:t xml:space="preserve"> </w:t>
      </w:r>
      <w:r w:rsidRPr="00AD2ACF">
        <w:rPr>
          <w:bCs/>
        </w:rPr>
        <w:t>jer</w:t>
      </w:r>
      <w:r>
        <w:rPr>
          <w:bCs/>
        </w:rPr>
        <w:t xml:space="preserve"> stečajna masa nije dovoljna ni za namirenje troškova postupka.</w:t>
      </w:r>
    </w:p>
    <w:p w:rsidRDefault="00A1107A" w:rsidP="00A1107A" w:rsidR="00A1107A">
      <w:pPr>
        <w:jc w:val="both"/>
      </w:pPr>
    </w:p>
    <w:p w:rsidRDefault="00A1107A" w:rsidP="005905CE" w:rsidR="002774C8">
      <w:pPr>
        <w:numPr>
          <w:ilvl w:val="0"/>
          <w:numId w:val="1"/>
        </w:numPr>
        <w:jc w:val="both"/>
      </w:pPr>
      <w:r>
        <w:t xml:space="preserve">Nalaže se bivšem zakonskom zastupniku </w:t>
      </w:r>
      <w:r w:rsidR="005905CE" w:rsidRPr="005905CE">
        <w:t>Marija Franušić, Karlovac, Gornje Mekušje 49, OIB 29799289984</w:t>
      </w:r>
      <w:r>
        <w:rPr>
          <w:bCs/>
        </w:rPr>
        <w:t>,</w:t>
      </w:r>
      <w:r>
        <w:t xml:space="preserve"> da izvrši pregled, izlučivanje i pohranu arhivskog i registraturnog gradiva dužnika sukladno pozitivnim propisima, te o istom u roku od 15 dana dostavi dokaz u spis.</w:t>
      </w:r>
    </w:p>
    <w:p w:rsidRDefault="002774C8" w:rsidP="002774C8" w:rsidR="002774C8">
      <w:pPr>
        <w:pStyle w:val="Odlomakpopisa"/>
      </w:pPr>
    </w:p>
    <w:p w:rsidRDefault="00A1107A" w:rsidP="00D932C4" w:rsidR="00A1107A">
      <w:pPr>
        <w:numPr>
          <w:ilvl w:val="0"/>
          <w:numId w:val="1"/>
        </w:numPr>
        <w:jc w:val="both"/>
      </w:pPr>
      <w:r>
        <w:t xml:space="preserve">Ovo rješenje objaviti će se na  </w:t>
      </w:r>
      <w:r w:rsidRPr="005A6B71">
        <w:t>mrežn</w:t>
      </w:r>
      <w:r>
        <w:t>oj</w:t>
      </w:r>
      <w:r w:rsidRPr="005A6B71">
        <w:t xml:space="preserve"> stranic</w:t>
      </w:r>
      <w:r>
        <w:t>i</w:t>
      </w:r>
      <w:r w:rsidRPr="005A6B71">
        <w:t xml:space="preserve"> e-Oglasna ploča sudova</w:t>
      </w:r>
      <w:r>
        <w:t xml:space="preserve">, a nakon pravomoćnosti dostaviti sudskom registru radi brisanja dužnika iz sudskog registra. </w:t>
      </w:r>
    </w:p>
    <w:p w:rsidRDefault="00A1107A" w:rsidP="00A1107A" w:rsidR="00A1107A">
      <w:pPr>
        <w:jc w:val="both"/>
      </w:pPr>
    </w:p>
    <w:p w:rsidRDefault="00A1107A" w:rsidP="00A1107A" w:rsidR="00A1107A" w:rsidRPr="00D9767E">
      <w:pPr>
        <w:pStyle w:val="Naslov1"/>
        <w:jc w:val="center"/>
        <w:rPr>
          <w:b w:val="false"/>
          <w:bCs w:val="false"/>
        </w:rPr>
      </w:pPr>
      <w:r w:rsidRPr="00703147">
        <w:rPr>
          <w:b w:val="false"/>
          <w:bCs w:val="false"/>
        </w:rPr>
        <w:t>Obrazloženje</w:t>
      </w:r>
    </w:p>
    <w:p w:rsidRDefault="00A1107A" w:rsidP="00A1107A" w:rsidR="00A1107A">
      <w:pPr>
        <w:ind w:firstLine="720"/>
        <w:jc w:val="both"/>
      </w:pPr>
    </w:p>
    <w:p w:rsidRDefault="004A21FF" w:rsidP="004A21FF" w:rsidR="004A21FF">
      <w:pPr>
        <w:jc w:val="both"/>
      </w:pPr>
    </w:p>
    <w:p w:rsidRDefault="005905CE" w:rsidP="005905CE" w:rsidR="005905CE">
      <w:pPr>
        <w:ind w:firstLine="720"/>
        <w:jc w:val="both"/>
      </w:pPr>
      <w:r>
        <w:t xml:space="preserve">Dana 25.01.2017. zaprimljen je na Trgovačkom sudu u Zagrebu Stalna služba u Karlovcu prijedlog FINE Regionalni centar Zagreb, Podružnica Karlovac, Klasa: 110-07/17-01/04 Ur. broj 04-06-17-345 od 20.01.2017. godine, za otvaranje stečajnog postupka nad dužnikom </w:t>
      </w:r>
      <w:r w:rsidRPr="0089092B">
        <w:t xml:space="preserve">INTERIJERI društvo s ograničenom odgovornošću za završne radove u građevinarstvu, proizvodnju i trgovinu, </w:t>
      </w:r>
      <w:r w:rsidRPr="0089092B">
        <w:lastRenderedPageBreak/>
        <w:t>Karlovac, Rakovac 39, MBS 020048151 OIB 86785941201</w:t>
      </w:r>
      <w:r>
        <w:t>, temeljem odredbe čl. 110. st. 1. Stečajnog zakona (NN 71/15 i 104/17, dalje: SZ).</w:t>
      </w:r>
    </w:p>
    <w:p w:rsidRDefault="005905CE" w:rsidP="005905CE" w:rsidR="005905CE">
      <w:pPr>
        <w:ind w:firstLine="720"/>
        <w:jc w:val="both"/>
      </w:pPr>
    </w:p>
    <w:p w:rsidRDefault="005905CE" w:rsidP="005905CE" w:rsidR="005905CE">
      <w:pPr>
        <w:ind w:firstLine="720"/>
        <w:jc w:val="both"/>
      </w:pPr>
      <w:r>
        <w:t>U prijedlogu je navela da na dan 19.01.2017. dužnik u Očevidniku redoslijeda osnova za plaćanje ima evidentirane neizvršene osnove za plaćanje u neprekinutom razdoblju od 120 dana, u ukupnom iznosu od 65.748,04 kn, u koji iznos je uračunata kamata i naknada FINE za provedbe ovrhe na novčanim sredstvima dužnika. Navodi da dužnik ima 5 zaposlenih radnika.</w:t>
      </w:r>
    </w:p>
    <w:p w:rsidRDefault="005905CE" w:rsidP="005905CE" w:rsidR="005905CE">
      <w:pPr>
        <w:ind w:firstLine="720"/>
        <w:jc w:val="both"/>
      </w:pPr>
    </w:p>
    <w:p w:rsidRDefault="005905CE" w:rsidP="005905CE" w:rsidR="005905CE">
      <w:pPr>
        <w:ind w:firstLine="720"/>
        <w:jc w:val="both"/>
      </w:pPr>
      <w:r>
        <w:t>Dostavlja popis računa i oročenih novčanih sredstava dužnika na dan 19</w:t>
      </w:r>
      <w:r w:rsidRPr="001C7CF7">
        <w:t>.</w:t>
      </w:r>
      <w:r>
        <w:t>01</w:t>
      </w:r>
      <w:r w:rsidRPr="001C7CF7">
        <w:t>.201</w:t>
      </w:r>
      <w:r>
        <w:t>7., te navodi da na temelju čl. 112. st. 5. SZ dužnik na ime predujma za namirenje troškova stečajnog postupka ima zaplijenjena novčana sredstva na dan 19</w:t>
      </w:r>
      <w:r w:rsidRPr="007B5BFB">
        <w:t>.01.2017</w:t>
      </w:r>
      <w:r>
        <w:t>. u iznosu od 5.000,00 kn.</w:t>
      </w:r>
    </w:p>
    <w:p w:rsidRDefault="005905CE" w:rsidP="005905CE" w:rsidR="005905CE">
      <w:pPr>
        <w:ind w:firstLine="720"/>
        <w:jc w:val="both"/>
      </w:pPr>
    </w:p>
    <w:p w:rsidRDefault="005905CE" w:rsidP="005905CE" w:rsidR="005905CE">
      <w:pPr>
        <w:ind w:firstLine="720"/>
        <w:jc w:val="both"/>
      </w:pPr>
      <w:r>
        <w:t>Predmetni stečajni predmet Trgovačkog suda u Zagrebu dana 13.07.2017. zaprimljen je na Trgovačkom sudu u Osijeku temeljem rješenja Visokog Trgovačkog suda Republike Hrvatske u Zagrebu poslovnog broja 31-Su-525/17-10 od 26.06.2017. o određivanju Trgovačkog suda u Osijeku kao drugog stvarno nadležnog suda za postupanje u ovom stečajnom predmetu.</w:t>
      </w:r>
    </w:p>
    <w:p w:rsidRDefault="00F37748" w:rsidP="00F37748" w:rsidR="00F37748">
      <w:pPr>
        <w:ind w:firstLine="720"/>
        <w:jc w:val="both"/>
      </w:pPr>
    </w:p>
    <w:p w:rsidRDefault="00F37748" w:rsidP="00A75D80" w:rsidR="00A75D80" w:rsidRPr="000625B3">
      <w:pPr>
        <w:ind w:firstLine="720"/>
        <w:jc w:val="both"/>
      </w:pPr>
      <w:r w:rsidRPr="00F37748">
        <w:t xml:space="preserve">Sud je utvrdio da je predlagatelj ovlašten za podnošenje predmetnoga prijedloga temeljem odredbe čl. 110. st. </w:t>
      </w:r>
      <w:r w:rsidR="00625592">
        <w:t>1</w:t>
      </w:r>
      <w:r w:rsidRPr="00F37748">
        <w:t>. SZ, te je donio rješenje o pokretanju prethodnog postupka i imenovao privremenog stečajnog upravitelja (čl. 115. st. 1. i 2. SZ-a), odredio mu dužnosti (čl. 119. st. 2. i 3. SZ-a) i zakazao ročište (čl. 123. i čl. 128. st.1. SZ-a).</w:t>
      </w:r>
    </w:p>
    <w:p w:rsidRDefault="00B23762" w:rsidP="00263420" w:rsidR="00B23762">
      <w:pPr>
        <w:jc w:val="both"/>
        <w:rPr>
          <w:color w:val="000000"/>
        </w:rPr>
      </w:pPr>
    </w:p>
    <w:p w:rsidRDefault="00263420" w:rsidP="001B0464" w:rsidR="001B0464">
      <w:pPr>
        <w:pStyle w:val="Bezproreda"/>
        <w:rPr>
          <w:szCs w:val="24"/>
        </w:rPr>
      </w:pPr>
      <w:r>
        <w:rPr>
          <w:color w:val="000000"/>
        </w:rPr>
        <w:t xml:space="preserve">U određenom </w:t>
      </w:r>
      <w:r w:rsidR="000D7970">
        <w:rPr>
          <w:color w:val="000000"/>
        </w:rPr>
        <w:t>mu</w:t>
      </w:r>
      <w:r w:rsidR="00F37748">
        <w:rPr>
          <w:color w:val="000000"/>
        </w:rPr>
        <w:t xml:space="preserve"> </w:t>
      </w:r>
      <w:r>
        <w:rPr>
          <w:color w:val="000000"/>
        </w:rPr>
        <w:t>roku privremen</w:t>
      </w:r>
      <w:r w:rsidR="000D7970">
        <w:rPr>
          <w:color w:val="000000"/>
        </w:rPr>
        <w:t>i</w:t>
      </w:r>
      <w:r>
        <w:rPr>
          <w:color w:val="000000"/>
        </w:rPr>
        <w:t xml:space="preserve"> stečajn</w:t>
      </w:r>
      <w:r w:rsidR="000D7970">
        <w:rPr>
          <w:color w:val="000000"/>
        </w:rPr>
        <w:t>i</w:t>
      </w:r>
      <w:r>
        <w:rPr>
          <w:color w:val="000000"/>
        </w:rPr>
        <w:t xml:space="preserve"> upravitelj dostavi</w:t>
      </w:r>
      <w:r w:rsidR="000D7970">
        <w:rPr>
          <w:color w:val="000000"/>
        </w:rPr>
        <w:t>o</w:t>
      </w:r>
      <w:r>
        <w:rPr>
          <w:color w:val="000000"/>
        </w:rPr>
        <w:t xml:space="preserve"> je svoje pisano izvješće u kojem navodi</w:t>
      </w:r>
      <w:r w:rsidRPr="00CA1CB5">
        <w:t xml:space="preserve"> </w:t>
      </w:r>
      <w:r w:rsidRPr="009C5736">
        <w:t>da</w:t>
      </w:r>
      <w:r>
        <w:t xml:space="preserve"> </w:t>
      </w:r>
      <w:r w:rsidR="001B0464">
        <w:rPr>
          <w:rFonts w:cstheme="minorHAnsi"/>
          <w:szCs w:val="24"/>
        </w:rPr>
        <w:t>i</w:t>
      </w:r>
      <w:r w:rsidR="001B0464" w:rsidRPr="005C255C">
        <w:rPr>
          <w:rFonts w:cstheme="minorHAnsi"/>
          <w:szCs w:val="24"/>
        </w:rPr>
        <w:t xml:space="preserve">z potvrde Financijske agencije od 8.02.2018. godine proizlazi da je dužnik u neprekinutoj blokadi 504 dana, s iznosom blokade od 232.546,12 kn, iz čega proizlazi da </w:t>
      </w:r>
      <w:r w:rsidR="001B0464" w:rsidRPr="005C255C">
        <w:rPr>
          <w:szCs w:val="24"/>
        </w:rPr>
        <w:t>kod dužnika postoji stečajni razlog nesposobnosti za plaćanje iz čl. 6. st. 1. crtica 1. Stečajnog zakona.</w:t>
      </w:r>
    </w:p>
    <w:p w:rsidRDefault="001B0464" w:rsidP="001B0464" w:rsidR="001B0464">
      <w:pPr>
        <w:pStyle w:val="Bezproreda"/>
        <w:rPr>
          <w:szCs w:val="24"/>
        </w:rPr>
      </w:pPr>
    </w:p>
    <w:p w:rsidRDefault="001B0464" w:rsidP="001B0464" w:rsidR="001B0464" w:rsidRPr="001C71D5">
      <w:pPr>
        <w:pStyle w:val="Bezproreda"/>
        <w:rPr>
          <w:szCs w:val="24"/>
        </w:rPr>
      </w:pPr>
      <w:r>
        <w:rPr>
          <w:szCs w:val="24"/>
        </w:rPr>
        <w:tab/>
      </w:r>
      <w:r w:rsidRPr="001C71D5">
        <w:rPr>
          <w:szCs w:val="24"/>
        </w:rPr>
        <w:t>Uvidom u knjigovodstvene podatke društva – bilancu na dan 31.12.2017., vidljivo je da dužnik radnicima za plaće i za neisplaćene doprinose na plaću i iz plaće duguje:</w:t>
      </w:r>
    </w:p>
    <w:p w:rsidRDefault="001B0464" w:rsidP="001B0464" w:rsidR="001B0464">
      <w:pPr>
        <w:pStyle w:val="Bezproreda"/>
        <w:jc w:val="center"/>
        <w:rPr>
          <w:sz w:val="20"/>
          <w:szCs w:val="20"/>
        </w:rPr>
      </w:pPr>
    </w:p>
    <w:tbl>
      <w:tblPr>
        <w:tblW w:type="dxa" w:w="5480"/>
        <w:jc w:val="center"/>
        <w:tblLook w:val="04A0" w:noVBand="1" w:noHBand="0" w:lastColumn="0" w:firstColumn="1" w:lastRow="0" w:firstRow="1"/>
      </w:tblPr>
      <w:tblGrid>
        <w:gridCol w:w="4060"/>
        <w:gridCol w:w="1420"/>
      </w:tblGrid>
      <w:tr w:rsidTr="004A1770" w:rsidR="001B0464">
        <w:trPr>
          <w:trHeight w:val="510"/>
          <w:jc w:val="center"/>
        </w:trPr>
        <w:tc>
          <w:tcPr>
            <w:tcW w:type="dxa" w:w="4060"/>
            <w:tcBorders>
              <w:top w:space="0" w:sz="4" w:color="auto" w:val="single"/>
              <w:left w:space="0" w:sz="4" w:color="auto" w:val="single"/>
              <w:bottom w:space="0" w:sz="4" w:color="auto" w:val="single"/>
              <w:right w:space="0" w:sz="4" w:color="auto" w:val="single"/>
            </w:tcBorders>
            <w:vAlign w:val="center"/>
            <w:hideMark/>
          </w:tcPr>
          <w:p w:rsidRDefault="001B0464" w:rsidP="004A1770" w:rsidR="001B0464" w:rsidRPr="001C71D5">
            <w:pPr>
              <w:rPr>
                <w:sz w:val="20"/>
                <w:szCs w:val="20"/>
              </w:rPr>
            </w:pPr>
            <w:r w:rsidRPr="001C71D5">
              <w:rPr>
                <w:sz w:val="20"/>
                <w:szCs w:val="20"/>
              </w:rPr>
              <w:t xml:space="preserve">Obveze prema zaposlenicima </w:t>
            </w:r>
            <w:r w:rsidRPr="001C71D5">
              <w:rPr>
                <w:sz w:val="20"/>
                <w:szCs w:val="20"/>
              </w:rPr>
              <w:br/>
              <w:t>(bilanca, D - kratkoročne obveze, t. 10.)</w:t>
            </w:r>
          </w:p>
        </w:tc>
        <w:tc>
          <w:tcPr>
            <w:tcW w:type="dxa" w:w="1420"/>
            <w:tcBorders>
              <w:top w:space="0" w:sz="4" w:color="auto" w:val="single"/>
              <w:left w:val="nil"/>
              <w:bottom w:space="0" w:sz="4" w:color="auto" w:val="single"/>
              <w:right w:space="0" w:sz="4" w:color="auto" w:val="single"/>
            </w:tcBorders>
            <w:noWrap/>
            <w:vAlign w:val="center"/>
            <w:hideMark/>
          </w:tcPr>
          <w:p w:rsidRDefault="001B0464" w:rsidP="004A1770" w:rsidR="001B0464" w:rsidRPr="001C71D5">
            <w:pPr>
              <w:jc w:val="center"/>
              <w:rPr>
                <w:color w:val="000000"/>
                <w:sz w:val="20"/>
                <w:szCs w:val="20"/>
              </w:rPr>
            </w:pPr>
            <w:r w:rsidRPr="001C71D5">
              <w:rPr>
                <w:color w:val="000000"/>
                <w:sz w:val="20"/>
                <w:szCs w:val="20"/>
              </w:rPr>
              <w:t>390.084,00 kn</w:t>
            </w:r>
          </w:p>
        </w:tc>
      </w:tr>
      <w:tr w:rsidTr="004A1770" w:rsidR="001B0464">
        <w:trPr>
          <w:trHeight w:val="510"/>
          <w:jc w:val="center"/>
        </w:trPr>
        <w:tc>
          <w:tcPr>
            <w:tcW w:type="dxa" w:w="4060"/>
            <w:tcBorders>
              <w:top w:val="nil"/>
              <w:left w:space="0" w:sz="4" w:color="auto" w:val="single"/>
              <w:bottom w:space="0" w:sz="4" w:color="auto" w:val="single"/>
              <w:right w:space="0" w:sz="4" w:color="auto" w:val="single"/>
            </w:tcBorders>
            <w:vAlign w:val="center"/>
            <w:hideMark/>
          </w:tcPr>
          <w:p w:rsidRDefault="001B0464" w:rsidP="004A1770" w:rsidR="001B0464" w:rsidRPr="001C71D5">
            <w:pPr>
              <w:rPr>
                <w:color w:val="000000"/>
                <w:sz w:val="20"/>
                <w:szCs w:val="20"/>
              </w:rPr>
            </w:pPr>
            <w:r w:rsidRPr="001C71D5">
              <w:rPr>
                <w:color w:val="000000"/>
                <w:sz w:val="20"/>
                <w:szCs w:val="20"/>
              </w:rPr>
              <w:t>Obveze za poreze, doprinose i slična davanja</w:t>
            </w:r>
            <w:r w:rsidRPr="001C71D5">
              <w:rPr>
                <w:color w:val="000000"/>
                <w:sz w:val="20"/>
                <w:szCs w:val="20"/>
              </w:rPr>
              <w:br/>
            </w:r>
            <w:r w:rsidRPr="001C71D5">
              <w:rPr>
                <w:sz w:val="20"/>
                <w:szCs w:val="20"/>
              </w:rPr>
              <w:t>(bilanca, D - kratkoročne obveze, t. 11.)</w:t>
            </w:r>
          </w:p>
        </w:tc>
        <w:tc>
          <w:tcPr>
            <w:tcW w:type="dxa" w:w="1420"/>
            <w:tcBorders>
              <w:top w:val="nil"/>
              <w:left w:val="nil"/>
              <w:bottom w:space="0" w:sz="4" w:color="auto" w:val="single"/>
              <w:right w:space="0" w:sz="4" w:color="auto" w:val="single"/>
            </w:tcBorders>
            <w:noWrap/>
            <w:vAlign w:val="center"/>
            <w:hideMark/>
          </w:tcPr>
          <w:p w:rsidRDefault="001B0464" w:rsidP="004A1770" w:rsidR="001B0464" w:rsidRPr="001C71D5">
            <w:pPr>
              <w:jc w:val="center"/>
              <w:rPr>
                <w:color w:val="000000"/>
                <w:sz w:val="20"/>
                <w:szCs w:val="20"/>
              </w:rPr>
            </w:pPr>
            <w:r w:rsidRPr="001C71D5">
              <w:rPr>
                <w:color w:val="000000"/>
                <w:sz w:val="20"/>
                <w:szCs w:val="20"/>
              </w:rPr>
              <w:t>117.441,00 kn</w:t>
            </w:r>
          </w:p>
        </w:tc>
      </w:tr>
    </w:tbl>
    <w:p w:rsidRDefault="001B0464" w:rsidP="001B0464" w:rsidR="001B0464">
      <w:pPr>
        <w:pStyle w:val="Bezproreda"/>
        <w:jc w:val="center"/>
        <w:rPr>
          <w:rFonts w:cstheme="minorBidi" w:hAnsiTheme="minorHAnsi" w:asciiTheme="minorHAnsi"/>
          <w:sz w:val="20"/>
          <w:szCs w:val="20"/>
        </w:rPr>
      </w:pPr>
    </w:p>
    <w:p w:rsidRDefault="001B0464" w:rsidP="001B0464" w:rsidR="001B0464" w:rsidRPr="00583F4C">
      <w:pPr>
        <w:pStyle w:val="Bezproreda"/>
        <w:rPr>
          <w:szCs w:val="24"/>
        </w:rPr>
      </w:pPr>
      <w:r>
        <w:rPr>
          <w:szCs w:val="24"/>
        </w:rPr>
        <w:tab/>
      </w:r>
      <w:r w:rsidRPr="00EE6784">
        <w:rPr>
          <w:szCs w:val="24"/>
        </w:rPr>
        <w:t>Nadalje, uvidom u analitičke kartice plaća utvrđeno je da dužnik pojedinačnim radnicima u 2017. godini nije isplatio plaće (koje plaće do danas nisu plaćene), i to:</w:t>
      </w:r>
    </w:p>
    <w:p w:rsidRDefault="001B0464" w:rsidP="001B0464" w:rsidR="001B0464">
      <w:pPr>
        <w:pStyle w:val="Bezproreda"/>
        <w:rPr>
          <w:sz w:val="20"/>
          <w:szCs w:val="20"/>
        </w:rPr>
      </w:pPr>
    </w:p>
    <w:tbl>
      <w:tblPr>
        <w:tblW w:type="dxa" w:w="7621"/>
        <w:jc w:val="center"/>
        <w:tblLook w:val="04A0" w:noVBand="1" w:noHBand="0" w:lastColumn="0" w:firstColumn="1" w:lastRow="0" w:firstRow="1"/>
      </w:tblPr>
      <w:tblGrid>
        <w:gridCol w:w="4141"/>
        <w:gridCol w:w="1820"/>
        <w:gridCol w:w="1660"/>
      </w:tblGrid>
      <w:tr w:rsidTr="004A1770" w:rsidR="001B0464" w:rsidRPr="00E40303">
        <w:trPr>
          <w:trHeight w:val="645"/>
          <w:jc w:val="center"/>
        </w:trPr>
        <w:tc>
          <w:tcPr>
            <w:tcW w:type="dxa" w:w="4141"/>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1B0464" w:rsidP="004A1770" w:rsidR="001B0464" w:rsidRPr="00E40303">
            <w:pPr>
              <w:jc w:val="center"/>
              <w:rPr>
                <w:bCs/>
                <w:sz w:val="20"/>
                <w:szCs w:val="20"/>
              </w:rPr>
            </w:pPr>
            <w:r w:rsidRPr="00E40303">
              <w:rPr>
                <w:bCs/>
                <w:sz w:val="20"/>
                <w:szCs w:val="20"/>
              </w:rPr>
              <w:t>Radnik/ca</w:t>
            </w:r>
          </w:p>
        </w:tc>
        <w:tc>
          <w:tcPr>
            <w:tcW w:type="dxa" w:w="1820"/>
            <w:tcBorders>
              <w:top w:space="0" w:sz="4" w:color="auto" w:val="single"/>
              <w:left w:val="nil"/>
              <w:bottom w:space="0" w:sz="4" w:color="auto" w:val="single"/>
              <w:right w:space="0" w:sz="4" w:color="auto" w:val="single"/>
            </w:tcBorders>
            <w:shd w:fill="auto" w:color="auto" w:val="clear"/>
            <w:vAlign w:val="center"/>
            <w:hideMark/>
          </w:tcPr>
          <w:p w:rsidRDefault="001B0464" w:rsidP="004A1770" w:rsidR="001B0464" w:rsidRPr="00E40303">
            <w:pPr>
              <w:jc w:val="center"/>
              <w:rPr>
                <w:bCs/>
                <w:sz w:val="20"/>
                <w:szCs w:val="20"/>
              </w:rPr>
            </w:pPr>
            <w:r w:rsidRPr="00E40303">
              <w:rPr>
                <w:bCs/>
                <w:sz w:val="20"/>
                <w:szCs w:val="20"/>
              </w:rPr>
              <w:t>Neplaćenih plaća</w:t>
            </w:r>
            <w:r w:rsidRPr="00E40303">
              <w:rPr>
                <w:bCs/>
                <w:sz w:val="20"/>
                <w:szCs w:val="20"/>
              </w:rPr>
              <w:br/>
              <w:t>u 2017. godini</w:t>
            </w:r>
          </w:p>
        </w:tc>
        <w:tc>
          <w:tcPr>
            <w:tcW w:type="dxa" w:w="1660"/>
            <w:tcBorders>
              <w:top w:space="0" w:sz="4" w:color="auto" w:val="single"/>
              <w:left w:val="nil"/>
              <w:bottom w:space="0" w:sz="4" w:color="auto" w:val="single"/>
              <w:right w:space="0" w:sz="4" w:color="auto" w:val="single"/>
            </w:tcBorders>
            <w:shd w:fill="auto" w:color="auto" w:val="clear"/>
            <w:vAlign w:val="center"/>
            <w:hideMark/>
          </w:tcPr>
          <w:p w:rsidRDefault="001B0464" w:rsidP="004A1770" w:rsidR="001B0464" w:rsidRPr="00E40303">
            <w:pPr>
              <w:jc w:val="center"/>
              <w:rPr>
                <w:bCs/>
                <w:sz w:val="20"/>
                <w:szCs w:val="20"/>
              </w:rPr>
            </w:pPr>
            <w:r w:rsidRPr="00E40303">
              <w:rPr>
                <w:bCs/>
                <w:sz w:val="20"/>
                <w:szCs w:val="20"/>
              </w:rPr>
              <w:t>Broj uzastopno</w:t>
            </w:r>
            <w:r w:rsidRPr="00E40303">
              <w:rPr>
                <w:bCs/>
                <w:sz w:val="20"/>
                <w:szCs w:val="20"/>
              </w:rPr>
              <w:br/>
              <w:t>neplaćenih plaća</w:t>
            </w:r>
          </w:p>
        </w:tc>
      </w:tr>
      <w:tr w:rsidTr="004A1770" w:rsidR="001B0464" w:rsidRPr="00E40303">
        <w:trPr>
          <w:trHeight w:val="300"/>
          <w:jc w:val="center"/>
        </w:trPr>
        <w:tc>
          <w:tcPr>
            <w:tcW w:type="dxa" w:w="4141"/>
            <w:tcBorders>
              <w:top w:val="nil"/>
              <w:left w:space="0" w:sz="4" w:color="auto" w:val="single"/>
              <w:bottom w:space="0" w:sz="4" w:color="auto" w:val="single"/>
              <w:right w:space="0" w:sz="4" w:color="auto" w:val="single"/>
            </w:tcBorders>
            <w:noWrap/>
            <w:vAlign w:val="bottom"/>
            <w:hideMark/>
          </w:tcPr>
          <w:p w:rsidRDefault="001B0464" w:rsidP="004A1770" w:rsidR="001B0464" w:rsidRPr="00E40303">
            <w:pPr>
              <w:rPr>
                <w:color w:themeColor="text1" w:val="000000"/>
                <w:sz w:val="20"/>
                <w:szCs w:val="20"/>
              </w:rPr>
            </w:pPr>
            <w:r w:rsidRPr="00E40303">
              <w:rPr>
                <w:color w:themeColor="text1" w:val="000000"/>
                <w:sz w:val="20"/>
                <w:szCs w:val="20"/>
              </w:rPr>
              <w:t>Marija Franušić (analitička kartica plaće 1)</w:t>
            </w:r>
          </w:p>
        </w:tc>
        <w:tc>
          <w:tcPr>
            <w:tcW w:type="dxa" w:w="1820"/>
            <w:tcBorders>
              <w:top w:val="nil"/>
              <w:left w:val="nil"/>
              <w:bottom w:space="0" w:sz="4" w:color="auto" w:val="single"/>
              <w:right w:space="0" w:sz="4" w:color="auto" w:val="single"/>
            </w:tcBorders>
            <w:noWrap/>
            <w:vAlign w:val="bottom"/>
            <w:hideMark/>
          </w:tcPr>
          <w:p w:rsidRDefault="001B0464" w:rsidP="004A1770" w:rsidR="001B0464" w:rsidRPr="00E40303">
            <w:pPr>
              <w:jc w:val="center"/>
              <w:rPr>
                <w:color w:themeColor="text1" w:val="000000"/>
                <w:sz w:val="20"/>
                <w:szCs w:val="20"/>
              </w:rPr>
            </w:pPr>
            <w:r w:rsidRPr="00E40303">
              <w:rPr>
                <w:color w:themeColor="text1" w:val="000000"/>
                <w:sz w:val="20"/>
                <w:szCs w:val="20"/>
              </w:rPr>
              <w:t>11</w:t>
            </w:r>
          </w:p>
        </w:tc>
        <w:tc>
          <w:tcPr>
            <w:tcW w:type="dxa" w:w="1660"/>
            <w:tcBorders>
              <w:top w:val="nil"/>
              <w:left w:val="nil"/>
              <w:bottom w:space="0" w:sz="4" w:color="auto" w:val="single"/>
              <w:right w:space="0" w:sz="4" w:color="auto" w:val="single"/>
            </w:tcBorders>
            <w:noWrap/>
            <w:vAlign w:val="bottom"/>
            <w:hideMark/>
          </w:tcPr>
          <w:p w:rsidRDefault="001B0464" w:rsidP="004A1770" w:rsidR="001B0464" w:rsidRPr="00E40303">
            <w:pPr>
              <w:jc w:val="center"/>
              <w:rPr>
                <w:color w:themeColor="text1" w:val="000000"/>
                <w:sz w:val="20"/>
                <w:szCs w:val="20"/>
              </w:rPr>
            </w:pPr>
            <w:r w:rsidRPr="00E40303">
              <w:rPr>
                <w:color w:themeColor="text1" w:val="000000"/>
                <w:sz w:val="20"/>
                <w:szCs w:val="20"/>
              </w:rPr>
              <w:t>4</w:t>
            </w:r>
          </w:p>
        </w:tc>
      </w:tr>
      <w:tr w:rsidTr="004A1770" w:rsidR="001B0464" w:rsidRPr="00E40303">
        <w:trPr>
          <w:trHeight w:val="300"/>
          <w:jc w:val="center"/>
        </w:trPr>
        <w:tc>
          <w:tcPr>
            <w:tcW w:type="dxa" w:w="4141"/>
            <w:tcBorders>
              <w:top w:val="nil"/>
              <w:left w:space="0" w:sz="4" w:color="auto" w:val="single"/>
              <w:bottom w:space="0" w:sz="4" w:color="auto" w:val="single"/>
              <w:right w:space="0" w:sz="4" w:color="auto" w:val="single"/>
            </w:tcBorders>
            <w:noWrap/>
            <w:vAlign w:val="bottom"/>
            <w:hideMark/>
          </w:tcPr>
          <w:p w:rsidRDefault="001B0464" w:rsidP="004A1770" w:rsidR="001B0464" w:rsidRPr="00E40303">
            <w:pPr>
              <w:rPr>
                <w:color w:themeColor="text1" w:val="000000"/>
                <w:sz w:val="20"/>
                <w:szCs w:val="20"/>
              </w:rPr>
            </w:pPr>
            <w:r w:rsidRPr="00E40303">
              <w:rPr>
                <w:color w:themeColor="text1" w:val="000000"/>
                <w:sz w:val="20"/>
                <w:szCs w:val="20"/>
              </w:rPr>
              <w:t>Jana Franušić (analitička kartica plaće 2)</w:t>
            </w:r>
          </w:p>
        </w:tc>
        <w:tc>
          <w:tcPr>
            <w:tcW w:type="dxa" w:w="1820"/>
            <w:tcBorders>
              <w:top w:val="nil"/>
              <w:left w:val="nil"/>
              <w:bottom w:space="0" w:sz="4" w:color="auto" w:val="single"/>
              <w:right w:space="0" w:sz="4" w:color="auto" w:val="single"/>
            </w:tcBorders>
            <w:noWrap/>
            <w:vAlign w:val="bottom"/>
            <w:hideMark/>
          </w:tcPr>
          <w:p w:rsidRDefault="001B0464" w:rsidP="004A1770" w:rsidR="001B0464" w:rsidRPr="00E40303">
            <w:pPr>
              <w:jc w:val="center"/>
              <w:rPr>
                <w:color w:themeColor="text1" w:val="000000"/>
                <w:sz w:val="20"/>
                <w:szCs w:val="20"/>
              </w:rPr>
            </w:pPr>
            <w:r w:rsidRPr="00E40303">
              <w:rPr>
                <w:color w:themeColor="text1" w:val="000000"/>
                <w:sz w:val="20"/>
                <w:szCs w:val="20"/>
              </w:rPr>
              <w:t>7</w:t>
            </w:r>
          </w:p>
        </w:tc>
        <w:tc>
          <w:tcPr>
            <w:tcW w:type="dxa" w:w="1660"/>
            <w:tcBorders>
              <w:top w:val="nil"/>
              <w:left w:val="nil"/>
              <w:bottom w:space="0" w:sz="4" w:color="auto" w:val="single"/>
              <w:right w:space="0" w:sz="4" w:color="auto" w:val="single"/>
            </w:tcBorders>
            <w:noWrap/>
            <w:vAlign w:val="bottom"/>
            <w:hideMark/>
          </w:tcPr>
          <w:p w:rsidRDefault="001B0464" w:rsidP="004A1770" w:rsidR="001B0464" w:rsidRPr="00E40303">
            <w:pPr>
              <w:jc w:val="center"/>
              <w:rPr>
                <w:color w:themeColor="text1" w:val="000000"/>
                <w:sz w:val="20"/>
                <w:szCs w:val="20"/>
              </w:rPr>
            </w:pPr>
            <w:r w:rsidRPr="00E40303">
              <w:rPr>
                <w:color w:themeColor="text1" w:val="000000"/>
                <w:sz w:val="20"/>
                <w:szCs w:val="20"/>
              </w:rPr>
              <w:t>0</w:t>
            </w:r>
          </w:p>
        </w:tc>
      </w:tr>
      <w:tr w:rsidTr="004A1770" w:rsidR="001B0464" w:rsidRPr="00E40303">
        <w:trPr>
          <w:trHeight w:val="300"/>
          <w:jc w:val="center"/>
        </w:trPr>
        <w:tc>
          <w:tcPr>
            <w:tcW w:type="dxa" w:w="4141"/>
            <w:tcBorders>
              <w:top w:val="nil"/>
              <w:left w:space="0" w:sz="4" w:color="auto" w:val="single"/>
              <w:bottom w:space="0" w:sz="4" w:color="auto" w:val="single"/>
              <w:right w:space="0" w:sz="4" w:color="auto" w:val="single"/>
            </w:tcBorders>
            <w:noWrap/>
            <w:vAlign w:val="bottom"/>
            <w:hideMark/>
          </w:tcPr>
          <w:p w:rsidRDefault="001B0464" w:rsidP="004A1770" w:rsidR="001B0464" w:rsidRPr="00E40303">
            <w:pPr>
              <w:rPr>
                <w:color w:themeColor="text1" w:val="000000"/>
                <w:sz w:val="20"/>
                <w:szCs w:val="20"/>
              </w:rPr>
            </w:pPr>
            <w:r w:rsidRPr="00E40303">
              <w:rPr>
                <w:color w:themeColor="text1" w:val="000000"/>
                <w:sz w:val="20"/>
                <w:szCs w:val="20"/>
              </w:rPr>
              <w:t>Kristijan Samardžija (analitička kartica plaće 3)</w:t>
            </w:r>
          </w:p>
        </w:tc>
        <w:tc>
          <w:tcPr>
            <w:tcW w:type="dxa" w:w="1820"/>
            <w:tcBorders>
              <w:top w:val="nil"/>
              <w:left w:val="nil"/>
              <w:bottom w:space="0" w:sz="4" w:color="auto" w:val="single"/>
              <w:right w:space="0" w:sz="4" w:color="auto" w:val="single"/>
            </w:tcBorders>
            <w:noWrap/>
            <w:vAlign w:val="bottom"/>
            <w:hideMark/>
          </w:tcPr>
          <w:p w:rsidRDefault="001B0464" w:rsidP="004A1770" w:rsidR="001B0464" w:rsidRPr="00E40303">
            <w:pPr>
              <w:jc w:val="center"/>
              <w:rPr>
                <w:color w:themeColor="text1" w:val="000000"/>
                <w:sz w:val="20"/>
                <w:szCs w:val="20"/>
              </w:rPr>
            </w:pPr>
            <w:r w:rsidRPr="00E40303">
              <w:rPr>
                <w:color w:themeColor="text1" w:val="000000"/>
                <w:sz w:val="20"/>
                <w:szCs w:val="20"/>
              </w:rPr>
              <w:t>1</w:t>
            </w:r>
          </w:p>
        </w:tc>
        <w:tc>
          <w:tcPr>
            <w:tcW w:type="dxa" w:w="1660"/>
            <w:tcBorders>
              <w:top w:val="nil"/>
              <w:left w:val="nil"/>
              <w:bottom w:space="0" w:sz="4" w:color="auto" w:val="single"/>
              <w:right w:space="0" w:sz="4" w:color="auto" w:val="single"/>
            </w:tcBorders>
            <w:noWrap/>
            <w:vAlign w:val="bottom"/>
            <w:hideMark/>
          </w:tcPr>
          <w:p w:rsidRDefault="001B0464" w:rsidP="004A1770" w:rsidR="001B0464" w:rsidRPr="00E40303">
            <w:pPr>
              <w:jc w:val="center"/>
              <w:rPr>
                <w:color w:themeColor="text1" w:val="000000"/>
                <w:sz w:val="20"/>
                <w:szCs w:val="20"/>
              </w:rPr>
            </w:pPr>
            <w:r w:rsidRPr="00E40303">
              <w:rPr>
                <w:color w:themeColor="text1" w:val="000000"/>
                <w:sz w:val="20"/>
                <w:szCs w:val="20"/>
              </w:rPr>
              <w:t>0</w:t>
            </w:r>
          </w:p>
        </w:tc>
      </w:tr>
      <w:tr w:rsidTr="004A1770" w:rsidR="001B0464" w:rsidRPr="00E40303">
        <w:trPr>
          <w:trHeight w:val="300"/>
          <w:jc w:val="center"/>
        </w:trPr>
        <w:tc>
          <w:tcPr>
            <w:tcW w:type="dxa" w:w="4141"/>
            <w:tcBorders>
              <w:top w:val="nil"/>
              <w:left w:space="0" w:sz="4" w:color="auto" w:val="single"/>
              <w:bottom w:space="0" w:sz="4" w:color="auto" w:val="single"/>
              <w:right w:space="0" w:sz="4" w:color="auto" w:val="single"/>
            </w:tcBorders>
            <w:noWrap/>
            <w:vAlign w:val="bottom"/>
            <w:hideMark/>
          </w:tcPr>
          <w:p w:rsidRDefault="001B0464" w:rsidP="004A1770" w:rsidR="001B0464" w:rsidRPr="00E40303">
            <w:pPr>
              <w:rPr>
                <w:color w:themeColor="text1" w:val="000000"/>
                <w:sz w:val="20"/>
                <w:szCs w:val="20"/>
              </w:rPr>
            </w:pPr>
            <w:r w:rsidRPr="00E40303">
              <w:rPr>
                <w:color w:themeColor="text1" w:val="000000"/>
                <w:sz w:val="20"/>
                <w:szCs w:val="20"/>
              </w:rPr>
              <w:t>Renata Štefanac (analitička kartica plaće 4)</w:t>
            </w:r>
          </w:p>
        </w:tc>
        <w:tc>
          <w:tcPr>
            <w:tcW w:type="dxa" w:w="1820"/>
            <w:tcBorders>
              <w:top w:val="nil"/>
              <w:left w:val="nil"/>
              <w:bottom w:space="0" w:sz="4" w:color="auto" w:val="single"/>
              <w:right w:space="0" w:sz="4" w:color="auto" w:val="single"/>
            </w:tcBorders>
            <w:noWrap/>
            <w:vAlign w:val="bottom"/>
            <w:hideMark/>
          </w:tcPr>
          <w:p w:rsidRDefault="001B0464" w:rsidP="004A1770" w:rsidR="001B0464" w:rsidRPr="00E40303">
            <w:pPr>
              <w:jc w:val="center"/>
              <w:rPr>
                <w:color w:themeColor="text1" w:val="000000"/>
                <w:sz w:val="20"/>
                <w:szCs w:val="20"/>
              </w:rPr>
            </w:pPr>
            <w:r w:rsidRPr="00E40303">
              <w:rPr>
                <w:color w:themeColor="text1" w:val="000000"/>
                <w:sz w:val="20"/>
                <w:szCs w:val="20"/>
              </w:rPr>
              <w:t>11</w:t>
            </w:r>
          </w:p>
        </w:tc>
        <w:tc>
          <w:tcPr>
            <w:tcW w:type="dxa" w:w="1660"/>
            <w:tcBorders>
              <w:top w:val="nil"/>
              <w:left w:val="nil"/>
              <w:bottom w:space="0" w:sz="4" w:color="auto" w:val="single"/>
              <w:right w:space="0" w:sz="4" w:color="auto" w:val="single"/>
            </w:tcBorders>
            <w:noWrap/>
            <w:vAlign w:val="bottom"/>
            <w:hideMark/>
          </w:tcPr>
          <w:p w:rsidRDefault="001B0464" w:rsidP="004A1770" w:rsidR="001B0464" w:rsidRPr="00E40303">
            <w:pPr>
              <w:jc w:val="center"/>
              <w:rPr>
                <w:color w:themeColor="text1" w:val="000000"/>
                <w:sz w:val="20"/>
                <w:szCs w:val="20"/>
              </w:rPr>
            </w:pPr>
            <w:r w:rsidRPr="00E40303">
              <w:rPr>
                <w:color w:themeColor="text1" w:val="000000"/>
                <w:sz w:val="20"/>
                <w:szCs w:val="20"/>
              </w:rPr>
              <w:t>4</w:t>
            </w:r>
          </w:p>
        </w:tc>
      </w:tr>
      <w:tr w:rsidTr="004A1770" w:rsidR="001B0464" w:rsidRPr="00E40303">
        <w:trPr>
          <w:trHeight w:val="300"/>
          <w:jc w:val="center"/>
        </w:trPr>
        <w:tc>
          <w:tcPr>
            <w:tcW w:type="dxa" w:w="4141"/>
            <w:tcBorders>
              <w:top w:val="nil"/>
              <w:left w:space="0" w:sz="4" w:color="auto" w:val="single"/>
              <w:bottom w:space="0" w:sz="4" w:color="auto" w:val="single"/>
              <w:right w:space="0" w:sz="4" w:color="auto" w:val="single"/>
            </w:tcBorders>
            <w:noWrap/>
            <w:vAlign w:val="bottom"/>
            <w:hideMark/>
          </w:tcPr>
          <w:p w:rsidRDefault="001B0464" w:rsidP="004A1770" w:rsidR="001B0464" w:rsidRPr="00E40303">
            <w:pPr>
              <w:rPr>
                <w:color w:themeColor="text1" w:val="000000"/>
                <w:sz w:val="20"/>
                <w:szCs w:val="20"/>
              </w:rPr>
            </w:pPr>
            <w:r w:rsidRPr="00E40303">
              <w:rPr>
                <w:color w:themeColor="text1" w:val="000000"/>
                <w:sz w:val="20"/>
                <w:szCs w:val="20"/>
              </w:rPr>
              <w:t>Zvonko Vidak (analitička kartica plaće 5)</w:t>
            </w:r>
          </w:p>
        </w:tc>
        <w:tc>
          <w:tcPr>
            <w:tcW w:type="dxa" w:w="1820"/>
            <w:tcBorders>
              <w:top w:val="nil"/>
              <w:left w:val="nil"/>
              <w:bottom w:space="0" w:sz="4" w:color="auto" w:val="single"/>
              <w:right w:space="0" w:sz="4" w:color="auto" w:val="single"/>
            </w:tcBorders>
            <w:noWrap/>
            <w:vAlign w:val="bottom"/>
            <w:hideMark/>
          </w:tcPr>
          <w:p w:rsidRDefault="001B0464" w:rsidP="004A1770" w:rsidR="001B0464" w:rsidRPr="00E40303">
            <w:pPr>
              <w:jc w:val="center"/>
              <w:rPr>
                <w:color w:themeColor="text1" w:val="000000"/>
                <w:sz w:val="20"/>
                <w:szCs w:val="20"/>
              </w:rPr>
            </w:pPr>
            <w:r w:rsidRPr="00E40303">
              <w:rPr>
                <w:color w:themeColor="text1" w:val="000000"/>
                <w:sz w:val="20"/>
                <w:szCs w:val="20"/>
              </w:rPr>
              <w:t>11</w:t>
            </w:r>
          </w:p>
        </w:tc>
        <w:tc>
          <w:tcPr>
            <w:tcW w:type="dxa" w:w="1660"/>
            <w:tcBorders>
              <w:top w:val="nil"/>
              <w:left w:val="nil"/>
              <w:bottom w:space="0" w:sz="4" w:color="auto" w:val="single"/>
              <w:right w:space="0" w:sz="4" w:color="auto" w:val="single"/>
            </w:tcBorders>
            <w:noWrap/>
            <w:vAlign w:val="bottom"/>
            <w:hideMark/>
          </w:tcPr>
          <w:p w:rsidRDefault="001B0464" w:rsidP="004A1770" w:rsidR="001B0464" w:rsidRPr="00E40303">
            <w:pPr>
              <w:jc w:val="center"/>
              <w:rPr>
                <w:color w:themeColor="text1" w:val="000000"/>
                <w:sz w:val="20"/>
                <w:szCs w:val="20"/>
              </w:rPr>
            </w:pPr>
            <w:r w:rsidRPr="00E40303">
              <w:rPr>
                <w:color w:themeColor="text1" w:val="000000"/>
                <w:sz w:val="20"/>
                <w:szCs w:val="20"/>
              </w:rPr>
              <w:t>4</w:t>
            </w:r>
          </w:p>
        </w:tc>
      </w:tr>
    </w:tbl>
    <w:p w:rsidRDefault="001B0464" w:rsidP="001B0464" w:rsidR="001B0464">
      <w:pPr>
        <w:pStyle w:val="Bezproreda"/>
        <w:rPr>
          <w:sz w:val="20"/>
          <w:szCs w:val="20"/>
        </w:rPr>
      </w:pPr>
    </w:p>
    <w:p w:rsidRDefault="001B0464" w:rsidP="001B0464" w:rsidR="001B0464" w:rsidRPr="007A0581">
      <w:pPr>
        <w:pStyle w:val="Bezproreda"/>
        <w:rPr>
          <w:szCs w:val="24"/>
        </w:rPr>
      </w:pPr>
      <w:r>
        <w:rPr>
          <w:szCs w:val="24"/>
        </w:rPr>
        <w:tab/>
      </w:r>
      <w:r w:rsidRPr="007A0581">
        <w:rPr>
          <w:szCs w:val="24"/>
        </w:rPr>
        <w:t>Nesporno je da je dužnik radnicima nije platio višestruke plaće, od kojih za makar tri radnika (Marija Franušić, Renata Štefanac i Zvonko Vidak) plaće nisu plaćene više od tri mjeseca uzastopno, iz čega proizlazi da kod dužnika postoji stečajni razlog nesposobnosti za plaćanje iz čl. 6. st</w:t>
      </w:r>
      <w:r w:rsidR="00E54B2F">
        <w:rPr>
          <w:szCs w:val="24"/>
        </w:rPr>
        <w:t>. 1. crtica 2. Stečajnog zakon</w:t>
      </w:r>
    </w:p>
    <w:p w:rsidRDefault="001B0464" w:rsidP="001B0464" w:rsidR="001B0464" w:rsidRPr="007A0581">
      <w:pPr>
        <w:pStyle w:val="Bezproreda"/>
        <w:rPr>
          <w:szCs w:val="24"/>
        </w:rPr>
      </w:pPr>
      <w:r>
        <w:rPr>
          <w:szCs w:val="24"/>
        </w:rPr>
        <w:lastRenderedPageBreak/>
        <w:tab/>
      </w:r>
      <w:r w:rsidRPr="007A0581">
        <w:rPr>
          <w:szCs w:val="24"/>
        </w:rPr>
        <w:t xml:space="preserve">Vezano uz utvrđenje postojanja stečajnog razloga prezaduženosti </w:t>
      </w:r>
      <w:r w:rsidR="00793781">
        <w:rPr>
          <w:szCs w:val="24"/>
        </w:rPr>
        <w:t>privremeni stečajni upravitelj je analizirao podatke</w:t>
      </w:r>
      <w:r w:rsidRPr="007A0581">
        <w:rPr>
          <w:szCs w:val="24"/>
        </w:rPr>
        <w:t xml:space="preserve"> o stanju imovine i obveza iz podataka bilance društva za 2016. i 2017. godinu, kako bi se utvrdio indeks razlike vrijednosti imovine i obveza, te kako bi se dobila slika o trendu kretanja ovog indeksa. Posebno se napominje da su podatci izrađeni na temelju dostupne financijske i poslovne dokumentacije dužnika, bez mogućnosti dubinske provjere točnosti danih podataka, uz isticanje ograde obzirom se podatci za 2016. djelomično razlikuju u bilanci za 2016. godinu (stupac „tekuća godina“) i bilanci za 2017. (stupac „prethodna godina“), pa su kao relevantni podatci uzeti podatci bilance za 2017. godinu.</w:t>
      </w:r>
    </w:p>
    <w:p w:rsidRDefault="001B0464" w:rsidP="001B0464" w:rsidR="001B0464">
      <w:pPr>
        <w:pStyle w:val="Bezproreda"/>
        <w:rPr>
          <w:sz w:val="20"/>
          <w:szCs w:val="20"/>
        </w:rPr>
      </w:pPr>
    </w:p>
    <w:tbl>
      <w:tblPr>
        <w:tblW w:type="dxa" w:w="6620"/>
        <w:jc w:val="center"/>
        <w:tblLook w:val="04A0" w:noVBand="1" w:noHBand="0" w:lastColumn="0" w:firstColumn="1" w:lastRow="0" w:firstRow="1"/>
      </w:tblPr>
      <w:tblGrid>
        <w:gridCol w:w="3300"/>
        <w:gridCol w:w="1660"/>
        <w:gridCol w:w="1660"/>
      </w:tblGrid>
      <w:tr w:rsidTr="004A1770" w:rsidR="001B0464">
        <w:trPr>
          <w:trHeight w:val="384"/>
          <w:jc w:val="center"/>
        </w:trPr>
        <w:tc>
          <w:tcPr>
            <w:tcW w:type="dxa" w:w="3300"/>
            <w:tcBorders>
              <w:top w:space="0" w:sz="4" w:color="auto" w:val="single"/>
              <w:left w:space="0" w:sz="4" w:color="auto" w:val="single"/>
              <w:bottom w:space="0" w:sz="4" w:color="auto" w:val="single"/>
              <w:right w:space="0" w:sz="4" w:color="auto" w:val="single"/>
            </w:tcBorders>
            <w:noWrap/>
            <w:vAlign w:val="center"/>
            <w:hideMark/>
          </w:tcPr>
          <w:p w:rsidRDefault="001B0464" w:rsidP="004A1770" w:rsidR="001B0464" w:rsidRPr="00EE6784">
            <w:pPr>
              <w:jc w:val="center"/>
              <w:rPr>
                <w:bCs/>
                <w:color w:val="000000"/>
                <w:sz w:val="20"/>
                <w:szCs w:val="20"/>
              </w:rPr>
            </w:pPr>
            <w:r w:rsidRPr="00EE6784">
              <w:rPr>
                <w:bCs/>
                <w:color w:val="000000"/>
                <w:sz w:val="20"/>
                <w:szCs w:val="20"/>
              </w:rPr>
              <w:t>Stanje na dan</w:t>
            </w:r>
          </w:p>
        </w:tc>
        <w:tc>
          <w:tcPr>
            <w:tcW w:type="dxa" w:w="1660"/>
            <w:tcBorders>
              <w:top w:space="0" w:sz="4" w:color="auto" w:val="single"/>
              <w:left w:val="nil"/>
              <w:bottom w:space="0" w:sz="4" w:color="auto" w:val="single"/>
              <w:right w:space="0" w:sz="4" w:color="auto" w:val="single"/>
            </w:tcBorders>
            <w:noWrap/>
            <w:vAlign w:val="center"/>
            <w:hideMark/>
          </w:tcPr>
          <w:p w:rsidRDefault="001B0464" w:rsidP="004A1770" w:rsidR="001B0464" w:rsidRPr="00EE6784">
            <w:pPr>
              <w:jc w:val="center"/>
              <w:rPr>
                <w:bCs/>
                <w:color w:val="000000"/>
                <w:sz w:val="20"/>
                <w:szCs w:val="20"/>
              </w:rPr>
            </w:pPr>
            <w:r w:rsidRPr="00EE6784">
              <w:rPr>
                <w:bCs/>
                <w:color w:val="000000"/>
                <w:sz w:val="20"/>
                <w:szCs w:val="20"/>
              </w:rPr>
              <w:t>31.12.2016.</w:t>
            </w:r>
          </w:p>
        </w:tc>
        <w:tc>
          <w:tcPr>
            <w:tcW w:type="dxa" w:w="1660"/>
            <w:tcBorders>
              <w:top w:space="0" w:sz="4" w:color="auto" w:val="single"/>
              <w:left w:val="nil"/>
              <w:bottom w:space="0" w:sz="4" w:color="auto" w:val="single"/>
              <w:right w:space="0" w:sz="4" w:color="auto" w:val="single"/>
            </w:tcBorders>
            <w:noWrap/>
            <w:vAlign w:val="center"/>
            <w:hideMark/>
          </w:tcPr>
          <w:p w:rsidRDefault="001B0464" w:rsidP="004A1770" w:rsidR="001B0464" w:rsidRPr="00EE6784">
            <w:pPr>
              <w:jc w:val="center"/>
              <w:rPr>
                <w:bCs/>
                <w:color w:val="000000"/>
                <w:sz w:val="20"/>
                <w:szCs w:val="20"/>
              </w:rPr>
            </w:pPr>
            <w:r w:rsidRPr="00EE6784">
              <w:rPr>
                <w:bCs/>
                <w:color w:val="000000"/>
                <w:sz w:val="20"/>
                <w:szCs w:val="20"/>
              </w:rPr>
              <w:t>31.12.2017.</w:t>
            </w:r>
          </w:p>
        </w:tc>
      </w:tr>
      <w:tr w:rsidTr="004A1770" w:rsidR="001B0464">
        <w:trPr>
          <w:trHeight w:val="134"/>
          <w:jc w:val="center"/>
        </w:trPr>
        <w:tc>
          <w:tcPr>
            <w:tcW w:type="dxa" w:w="3300"/>
            <w:noWrap/>
            <w:vAlign w:val="bottom"/>
            <w:hideMark/>
          </w:tcPr>
          <w:p w:rsidRDefault="001B0464" w:rsidP="004A1770" w:rsidR="001B0464" w:rsidRPr="00EE6784">
            <w:pPr>
              <w:spacing w:lineRule="auto" w:line="256"/>
              <w:rPr>
                <w:sz w:val="22"/>
                <w:szCs w:val="22"/>
                <w:lang w:eastAsia="en-US"/>
              </w:rPr>
            </w:pPr>
          </w:p>
        </w:tc>
        <w:tc>
          <w:tcPr>
            <w:tcW w:type="dxa" w:w="1660"/>
            <w:noWrap/>
            <w:vAlign w:val="center"/>
            <w:hideMark/>
          </w:tcPr>
          <w:p w:rsidRDefault="001B0464" w:rsidP="004A1770" w:rsidR="001B0464" w:rsidRPr="00EE6784">
            <w:pPr>
              <w:spacing w:lineRule="auto" w:line="256"/>
              <w:rPr>
                <w:sz w:val="22"/>
                <w:szCs w:val="22"/>
                <w:lang w:eastAsia="en-US"/>
              </w:rPr>
            </w:pPr>
          </w:p>
        </w:tc>
        <w:tc>
          <w:tcPr>
            <w:tcW w:type="dxa" w:w="1660"/>
            <w:noWrap/>
            <w:vAlign w:val="center"/>
            <w:hideMark/>
          </w:tcPr>
          <w:p w:rsidRDefault="001B0464" w:rsidP="004A1770" w:rsidR="001B0464" w:rsidRPr="00EE6784">
            <w:pPr>
              <w:spacing w:lineRule="auto" w:line="256"/>
              <w:rPr>
                <w:sz w:val="22"/>
                <w:szCs w:val="22"/>
                <w:lang w:eastAsia="en-US"/>
              </w:rPr>
            </w:pPr>
          </w:p>
        </w:tc>
      </w:tr>
      <w:tr w:rsidTr="004A1770" w:rsidR="001B0464">
        <w:trPr>
          <w:trHeight w:val="300"/>
          <w:jc w:val="center"/>
        </w:trPr>
        <w:tc>
          <w:tcPr>
            <w:tcW w:type="dxa" w:w="3300"/>
            <w:tcBorders>
              <w:top w:space="0" w:sz="4" w:color="auto" w:val="single"/>
              <w:left w:space="0" w:sz="4" w:color="auto" w:val="single"/>
              <w:bottom w:space="0" w:sz="4" w:color="auto" w:val="single"/>
              <w:right w:space="0" w:sz="4" w:color="auto" w:val="single"/>
            </w:tcBorders>
            <w:noWrap/>
            <w:vAlign w:val="bottom"/>
            <w:hideMark/>
          </w:tcPr>
          <w:p w:rsidRDefault="001B0464" w:rsidP="004A1770" w:rsidR="001B0464" w:rsidRPr="00EE6784">
            <w:pPr>
              <w:rPr>
                <w:color w:val="000000"/>
                <w:sz w:val="20"/>
                <w:szCs w:val="20"/>
              </w:rPr>
            </w:pPr>
            <w:r w:rsidRPr="00EE6784">
              <w:rPr>
                <w:color w:val="000000"/>
                <w:sz w:val="20"/>
                <w:szCs w:val="20"/>
              </w:rPr>
              <w:t xml:space="preserve">Vrijednost dugotrajne imovine </w:t>
            </w:r>
          </w:p>
        </w:tc>
        <w:tc>
          <w:tcPr>
            <w:tcW w:type="dxa" w:w="1660"/>
            <w:tcBorders>
              <w:top w:space="0" w:sz="4" w:color="auto" w:val="single"/>
              <w:left w:val="nil"/>
              <w:bottom w:space="0" w:sz="4" w:color="auto" w:val="single"/>
              <w:right w:space="0" w:sz="4" w:color="auto" w:val="single"/>
            </w:tcBorders>
            <w:noWrap/>
            <w:vAlign w:val="bottom"/>
            <w:hideMark/>
          </w:tcPr>
          <w:p w:rsidRDefault="001B0464" w:rsidP="004A1770" w:rsidR="001B0464" w:rsidRPr="00EE6784">
            <w:pPr>
              <w:jc w:val="right"/>
              <w:rPr>
                <w:color w:val="000000"/>
                <w:sz w:val="20"/>
                <w:szCs w:val="20"/>
              </w:rPr>
            </w:pPr>
            <w:r w:rsidRPr="00EE6784">
              <w:rPr>
                <w:color w:val="000000"/>
                <w:sz w:val="20"/>
                <w:szCs w:val="20"/>
              </w:rPr>
              <w:t>8.125,00 kn</w:t>
            </w:r>
          </w:p>
        </w:tc>
        <w:tc>
          <w:tcPr>
            <w:tcW w:type="dxa" w:w="1660"/>
            <w:tcBorders>
              <w:top w:space="0" w:sz="4" w:color="auto" w:val="single"/>
              <w:left w:val="nil"/>
              <w:bottom w:space="0" w:sz="4" w:color="auto" w:val="single"/>
              <w:right w:space="0" w:sz="4" w:color="auto" w:val="single"/>
            </w:tcBorders>
            <w:noWrap/>
            <w:vAlign w:val="bottom"/>
            <w:hideMark/>
          </w:tcPr>
          <w:p w:rsidRDefault="001B0464" w:rsidP="004A1770" w:rsidR="001B0464" w:rsidRPr="00EE6784">
            <w:pPr>
              <w:jc w:val="right"/>
              <w:rPr>
                <w:color w:val="000000"/>
                <w:sz w:val="20"/>
                <w:szCs w:val="20"/>
              </w:rPr>
            </w:pPr>
            <w:r w:rsidRPr="00EE6784">
              <w:rPr>
                <w:color w:val="000000"/>
                <w:sz w:val="20"/>
                <w:szCs w:val="20"/>
              </w:rPr>
              <w:t>625,00 kn</w:t>
            </w:r>
          </w:p>
        </w:tc>
      </w:tr>
      <w:tr w:rsidTr="004A1770" w:rsidR="001B0464">
        <w:trPr>
          <w:trHeight w:val="300"/>
          <w:jc w:val="center"/>
        </w:trPr>
        <w:tc>
          <w:tcPr>
            <w:tcW w:type="dxa" w:w="3300"/>
            <w:tcBorders>
              <w:top w:val="nil"/>
              <w:left w:space="0" w:sz="4" w:color="auto" w:val="single"/>
              <w:bottom w:space="0" w:sz="4" w:color="auto" w:val="single"/>
              <w:right w:space="0" w:sz="4" w:color="auto" w:val="single"/>
            </w:tcBorders>
            <w:noWrap/>
            <w:vAlign w:val="bottom"/>
            <w:hideMark/>
          </w:tcPr>
          <w:p w:rsidRDefault="001B0464" w:rsidP="004A1770" w:rsidR="001B0464" w:rsidRPr="00EE6784">
            <w:pPr>
              <w:rPr>
                <w:color w:val="000000"/>
                <w:sz w:val="20"/>
                <w:szCs w:val="20"/>
              </w:rPr>
            </w:pPr>
            <w:r w:rsidRPr="00EE6784">
              <w:rPr>
                <w:color w:val="000000"/>
                <w:sz w:val="20"/>
                <w:szCs w:val="20"/>
              </w:rPr>
              <w:t>Vrijednost kratkotrajne imovine</w:t>
            </w:r>
          </w:p>
        </w:tc>
        <w:tc>
          <w:tcPr>
            <w:tcW w:type="dxa" w:w="1660"/>
            <w:tcBorders>
              <w:top w:val="nil"/>
              <w:left w:val="nil"/>
              <w:bottom w:space="0" w:sz="4" w:color="auto" w:val="single"/>
              <w:right w:space="0" w:sz="4" w:color="auto" w:val="single"/>
            </w:tcBorders>
            <w:noWrap/>
            <w:vAlign w:val="bottom"/>
            <w:hideMark/>
          </w:tcPr>
          <w:p w:rsidRDefault="001B0464" w:rsidP="004A1770" w:rsidR="001B0464" w:rsidRPr="00EE6784">
            <w:pPr>
              <w:jc w:val="right"/>
              <w:rPr>
                <w:color w:val="000000"/>
                <w:sz w:val="20"/>
                <w:szCs w:val="20"/>
              </w:rPr>
            </w:pPr>
            <w:r w:rsidRPr="00EE6784">
              <w:rPr>
                <w:color w:val="000000"/>
                <w:sz w:val="20"/>
                <w:szCs w:val="20"/>
              </w:rPr>
              <w:t>188.212,00 kn</w:t>
            </w:r>
          </w:p>
        </w:tc>
        <w:tc>
          <w:tcPr>
            <w:tcW w:type="dxa" w:w="1660"/>
            <w:tcBorders>
              <w:top w:val="nil"/>
              <w:left w:val="nil"/>
              <w:bottom w:space="0" w:sz="4" w:color="auto" w:val="single"/>
              <w:right w:space="0" w:sz="4" w:color="auto" w:val="single"/>
            </w:tcBorders>
            <w:noWrap/>
            <w:vAlign w:val="bottom"/>
            <w:hideMark/>
          </w:tcPr>
          <w:p w:rsidRDefault="001B0464" w:rsidP="004A1770" w:rsidR="001B0464" w:rsidRPr="00EE6784">
            <w:pPr>
              <w:jc w:val="right"/>
              <w:rPr>
                <w:color w:val="000000"/>
                <w:sz w:val="20"/>
                <w:szCs w:val="20"/>
              </w:rPr>
            </w:pPr>
            <w:r w:rsidRPr="00EE6784">
              <w:rPr>
                <w:color w:val="000000"/>
                <w:sz w:val="20"/>
                <w:szCs w:val="20"/>
              </w:rPr>
              <w:t>219.108,00 kn</w:t>
            </w:r>
          </w:p>
        </w:tc>
      </w:tr>
      <w:tr w:rsidTr="004A1770" w:rsidR="001B0464">
        <w:trPr>
          <w:trHeight w:val="300"/>
          <w:jc w:val="center"/>
        </w:trPr>
        <w:tc>
          <w:tcPr>
            <w:tcW w:type="dxa" w:w="3300"/>
            <w:tcBorders>
              <w:top w:val="nil"/>
              <w:left w:space="0" w:sz="4" w:color="auto" w:val="single"/>
              <w:bottom w:space="0" w:sz="4" w:color="auto" w:val="single"/>
              <w:right w:space="0" w:sz="4" w:color="auto" w:val="single"/>
            </w:tcBorders>
            <w:noWrap/>
            <w:vAlign w:val="bottom"/>
            <w:hideMark/>
          </w:tcPr>
          <w:p w:rsidRDefault="001B0464" w:rsidP="004A1770" w:rsidR="001B0464" w:rsidRPr="00EE6784">
            <w:pPr>
              <w:rPr>
                <w:bCs/>
                <w:color w:val="000000"/>
                <w:sz w:val="20"/>
                <w:szCs w:val="20"/>
              </w:rPr>
            </w:pPr>
            <w:r w:rsidRPr="00EE6784">
              <w:rPr>
                <w:bCs/>
                <w:color w:val="000000"/>
                <w:sz w:val="20"/>
                <w:szCs w:val="20"/>
              </w:rPr>
              <w:t>Ukupno vrijednost imovine</w:t>
            </w:r>
          </w:p>
        </w:tc>
        <w:tc>
          <w:tcPr>
            <w:tcW w:type="dxa" w:w="1660"/>
            <w:tcBorders>
              <w:top w:val="nil"/>
              <w:left w:val="nil"/>
              <w:bottom w:space="0" w:sz="4" w:color="auto" w:val="single"/>
              <w:right w:space="0" w:sz="4" w:color="auto" w:val="single"/>
            </w:tcBorders>
            <w:noWrap/>
            <w:vAlign w:val="bottom"/>
            <w:hideMark/>
          </w:tcPr>
          <w:p w:rsidRDefault="001B0464" w:rsidP="004A1770" w:rsidR="001B0464" w:rsidRPr="00EE6784">
            <w:pPr>
              <w:jc w:val="right"/>
              <w:rPr>
                <w:bCs/>
                <w:color w:val="000000"/>
                <w:sz w:val="20"/>
                <w:szCs w:val="20"/>
              </w:rPr>
            </w:pPr>
            <w:r w:rsidRPr="00EE6784">
              <w:rPr>
                <w:bCs/>
                <w:color w:val="000000"/>
                <w:sz w:val="20"/>
                <w:szCs w:val="20"/>
              </w:rPr>
              <w:t>196.337,00 kn</w:t>
            </w:r>
          </w:p>
        </w:tc>
        <w:tc>
          <w:tcPr>
            <w:tcW w:type="dxa" w:w="1660"/>
            <w:tcBorders>
              <w:top w:val="nil"/>
              <w:left w:val="nil"/>
              <w:bottom w:space="0" w:sz="4" w:color="auto" w:val="single"/>
              <w:right w:space="0" w:sz="4" w:color="auto" w:val="single"/>
            </w:tcBorders>
            <w:noWrap/>
            <w:vAlign w:val="bottom"/>
            <w:hideMark/>
          </w:tcPr>
          <w:p w:rsidRDefault="001B0464" w:rsidP="004A1770" w:rsidR="001B0464" w:rsidRPr="00EE6784">
            <w:pPr>
              <w:jc w:val="right"/>
              <w:rPr>
                <w:bCs/>
                <w:color w:val="000000"/>
                <w:sz w:val="20"/>
                <w:szCs w:val="20"/>
              </w:rPr>
            </w:pPr>
            <w:r w:rsidRPr="00EE6784">
              <w:rPr>
                <w:bCs/>
                <w:color w:val="000000"/>
                <w:sz w:val="20"/>
                <w:szCs w:val="20"/>
              </w:rPr>
              <w:t>219.733,00 kn</w:t>
            </w:r>
          </w:p>
        </w:tc>
      </w:tr>
      <w:tr w:rsidTr="004A1770" w:rsidR="001B0464">
        <w:trPr>
          <w:trHeight w:val="192"/>
          <w:jc w:val="center"/>
        </w:trPr>
        <w:tc>
          <w:tcPr>
            <w:tcW w:type="dxa" w:w="3300"/>
            <w:noWrap/>
            <w:vAlign w:val="bottom"/>
            <w:hideMark/>
          </w:tcPr>
          <w:p w:rsidRDefault="001B0464" w:rsidP="004A1770" w:rsidR="001B0464" w:rsidRPr="00EE6784">
            <w:pPr>
              <w:spacing w:lineRule="auto" w:line="256"/>
              <w:rPr>
                <w:sz w:val="22"/>
                <w:szCs w:val="22"/>
                <w:lang w:eastAsia="en-US"/>
              </w:rPr>
            </w:pPr>
          </w:p>
        </w:tc>
        <w:tc>
          <w:tcPr>
            <w:tcW w:type="dxa" w:w="1660"/>
            <w:noWrap/>
            <w:vAlign w:val="bottom"/>
            <w:hideMark/>
          </w:tcPr>
          <w:p w:rsidRDefault="001B0464" w:rsidP="004A1770" w:rsidR="001B0464" w:rsidRPr="00EE6784">
            <w:pPr>
              <w:spacing w:lineRule="auto" w:line="256"/>
              <w:rPr>
                <w:sz w:val="22"/>
                <w:szCs w:val="22"/>
                <w:lang w:eastAsia="en-US"/>
              </w:rPr>
            </w:pPr>
          </w:p>
        </w:tc>
        <w:tc>
          <w:tcPr>
            <w:tcW w:type="dxa" w:w="1660"/>
            <w:noWrap/>
            <w:vAlign w:val="bottom"/>
            <w:hideMark/>
          </w:tcPr>
          <w:p w:rsidRDefault="001B0464" w:rsidP="004A1770" w:rsidR="001B0464" w:rsidRPr="00EE6784">
            <w:pPr>
              <w:spacing w:lineRule="auto" w:line="256"/>
              <w:rPr>
                <w:sz w:val="22"/>
                <w:szCs w:val="22"/>
                <w:lang w:eastAsia="en-US"/>
              </w:rPr>
            </w:pPr>
          </w:p>
        </w:tc>
      </w:tr>
      <w:tr w:rsidTr="004A1770" w:rsidR="001B0464">
        <w:trPr>
          <w:trHeight w:val="300"/>
          <w:jc w:val="center"/>
        </w:trPr>
        <w:tc>
          <w:tcPr>
            <w:tcW w:type="dxa" w:w="3300"/>
            <w:tcBorders>
              <w:top w:space="0" w:sz="4" w:color="auto" w:val="single"/>
              <w:left w:space="0" w:sz="4" w:color="auto" w:val="single"/>
              <w:bottom w:space="0" w:sz="4" w:color="auto" w:val="single"/>
              <w:right w:space="0" w:sz="4" w:color="auto" w:val="single"/>
            </w:tcBorders>
            <w:noWrap/>
            <w:vAlign w:val="bottom"/>
            <w:hideMark/>
          </w:tcPr>
          <w:p w:rsidRDefault="001B0464" w:rsidP="004A1770" w:rsidR="001B0464" w:rsidRPr="00EE6784">
            <w:pPr>
              <w:rPr>
                <w:color w:val="000000"/>
                <w:sz w:val="20"/>
                <w:szCs w:val="20"/>
              </w:rPr>
            </w:pPr>
            <w:r w:rsidRPr="00EE6784">
              <w:rPr>
                <w:color w:val="000000"/>
                <w:sz w:val="20"/>
                <w:szCs w:val="20"/>
              </w:rPr>
              <w:t>Kratkoročne obveze</w:t>
            </w:r>
          </w:p>
        </w:tc>
        <w:tc>
          <w:tcPr>
            <w:tcW w:type="dxa" w:w="1660"/>
            <w:tcBorders>
              <w:top w:space="0" w:sz="4" w:color="auto" w:val="single"/>
              <w:left w:val="nil"/>
              <w:bottom w:space="0" w:sz="4" w:color="auto" w:val="single"/>
              <w:right w:space="0" w:sz="4" w:color="auto" w:val="single"/>
            </w:tcBorders>
            <w:noWrap/>
            <w:vAlign w:val="bottom"/>
            <w:hideMark/>
          </w:tcPr>
          <w:p w:rsidRDefault="001B0464" w:rsidP="004A1770" w:rsidR="001B0464" w:rsidRPr="00EE6784">
            <w:pPr>
              <w:jc w:val="right"/>
              <w:rPr>
                <w:color w:val="000000"/>
                <w:sz w:val="20"/>
                <w:szCs w:val="20"/>
              </w:rPr>
            </w:pPr>
            <w:r w:rsidRPr="00EE6784">
              <w:rPr>
                <w:color w:val="000000"/>
                <w:sz w:val="20"/>
                <w:szCs w:val="20"/>
              </w:rPr>
              <w:t>512.909,00 kn</w:t>
            </w:r>
          </w:p>
        </w:tc>
        <w:tc>
          <w:tcPr>
            <w:tcW w:type="dxa" w:w="1660"/>
            <w:tcBorders>
              <w:top w:space="0" w:sz="4" w:color="auto" w:val="single"/>
              <w:left w:val="nil"/>
              <w:bottom w:space="0" w:sz="4" w:color="auto" w:val="single"/>
              <w:right w:space="0" w:sz="4" w:color="auto" w:val="single"/>
            </w:tcBorders>
            <w:noWrap/>
            <w:vAlign w:val="bottom"/>
            <w:hideMark/>
          </w:tcPr>
          <w:p w:rsidRDefault="001B0464" w:rsidP="004A1770" w:rsidR="001B0464" w:rsidRPr="00EE6784">
            <w:pPr>
              <w:jc w:val="right"/>
              <w:rPr>
                <w:color w:val="000000"/>
                <w:sz w:val="20"/>
                <w:szCs w:val="20"/>
              </w:rPr>
            </w:pPr>
            <w:r w:rsidRPr="00EE6784">
              <w:rPr>
                <w:color w:val="000000"/>
                <w:sz w:val="20"/>
                <w:szCs w:val="20"/>
              </w:rPr>
              <w:t>750.615,00 kn</w:t>
            </w:r>
          </w:p>
        </w:tc>
      </w:tr>
      <w:tr w:rsidTr="004A1770" w:rsidR="001B0464">
        <w:trPr>
          <w:trHeight w:val="300"/>
          <w:jc w:val="center"/>
        </w:trPr>
        <w:tc>
          <w:tcPr>
            <w:tcW w:type="dxa" w:w="3300"/>
            <w:tcBorders>
              <w:top w:val="nil"/>
              <w:left w:space="0" w:sz="4" w:color="auto" w:val="single"/>
              <w:bottom w:space="0" w:sz="4" w:color="auto" w:val="single"/>
              <w:right w:space="0" w:sz="4" w:color="auto" w:val="single"/>
            </w:tcBorders>
            <w:noWrap/>
            <w:vAlign w:val="bottom"/>
            <w:hideMark/>
          </w:tcPr>
          <w:p w:rsidRDefault="001B0464" w:rsidP="004A1770" w:rsidR="001B0464" w:rsidRPr="00EE6784">
            <w:pPr>
              <w:rPr>
                <w:color w:val="000000"/>
                <w:sz w:val="20"/>
                <w:szCs w:val="20"/>
              </w:rPr>
            </w:pPr>
            <w:r w:rsidRPr="00EE6784">
              <w:rPr>
                <w:color w:val="000000"/>
                <w:sz w:val="20"/>
                <w:szCs w:val="20"/>
              </w:rPr>
              <w:t>Dugoročne obveze</w:t>
            </w:r>
          </w:p>
        </w:tc>
        <w:tc>
          <w:tcPr>
            <w:tcW w:type="dxa" w:w="1660"/>
            <w:tcBorders>
              <w:top w:val="nil"/>
              <w:left w:val="nil"/>
              <w:bottom w:space="0" w:sz="4" w:color="auto" w:val="single"/>
              <w:right w:space="0" w:sz="4" w:color="auto" w:val="single"/>
            </w:tcBorders>
            <w:noWrap/>
            <w:vAlign w:val="bottom"/>
            <w:hideMark/>
          </w:tcPr>
          <w:p w:rsidRDefault="001B0464" w:rsidP="004A1770" w:rsidR="001B0464" w:rsidRPr="00EE6784">
            <w:pPr>
              <w:jc w:val="right"/>
              <w:rPr>
                <w:color w:val="000000"/>
                <w:sz w:val="20"/>
                <w:szCs w:val="20"/>
              </w:rPr>
            </w:pPr>
            <w:r w:rsidRPr="00EE6784">
              <w:rPr>
                <w:color w:val="000000"/>
                <w:sz w:val="20"/>
                <w:szCs w:val="20"/>
              </w:rPr>
              <w:t>0,00 kn</w:t>
            </w:r>
          </w:p>
        </w:tc>
        <w:tc>
          <w:tcPr>
            <w:tcW w:type="dxa" w:w="1660"/>
            <w:tcBorders>
              <w:top w:val="nil"/>
              <w:left w:val="nil"/>
              <w:bottom w:space="0" w:sz="4" w:color="auto" w:val="single"/>
              <w:right w:space="0" w:sz="4" w:color="auto" w:val="single"/>
            </w:tcBorders>
            <w:noWrap/>
            <w:vAlign w:val="bottom"/>
            <w:hideMark/>
          </w:tcPr>
          <w:p w:rsidRDefault="001B0464" w:rsidP="004A1770" w:rsidR="001B0464" w:rsidRPr="00EE6784">
            <w:pPr>
              <w:jc w:val="right"/>
              <w:rPr>
                <w:color w:val="000000"/>
                <w:sz w:val="20"/>
                <w:szCs w:val="20"/>
              </w:rPr>
            </w:pPr>
            <w:r w:rsidRPr="00EE6784">
              <w:rPr>
                <w:color w:val="000000"/>
                <w:sz w:val="20"/>
                <w:szCs w:val="20"/>
              </w:rPr>
              <w:t>0,00 kn</w:t>
            </w:r>
          </w:p>
        </w:tc>
      </w:tr>
      <w:tr w:rsidTr="004A1770" w:rsidR="001B0464">
        <w:trPr>
          <w:trHeight w:val="300"/>
          <w:jc w:val="center"/>
        </w:trPr>
        <w:tc>
          <w:tcPr>
            <w:tcW w:type="dxa" w:w="3300"/>
            <w:tcBorders>
              <w:top w:val="nil"/>
              <w:left w:space="0" w:sz="4" w:color="auto" w:val="single"/>
              <w:bottom w:space="0" w:sz="4" w:color="auto" w:val="single"/>
              <w:right w:space="0" w:sz="4" w:color="auto" w:val="single"/>
            </w:tcBorders>
            <w:noWrap/>
            <w:vAlign w:val="bottom"/>
            <w:hideMark/>
          </w:tcPr>
          <w:p w:rsidRDefault="001B0464" w:rsidP="004A1770" w:rsidR="001B0464" w:rsidRPr="00EE6784">
            <w:pPr>
              <w:rPr>
                <w:bCs/>
                <w:sz w:val="20"/>
                <w:szCs w:val="20"/>
              </w:rPr>
            </w:pPr>
            <w:r w:rsidRPr="00EE6784">
              <w:rPr>
                <w:bCs/>
                <w:sz w:val="20"/>
                <w:szCs w:val="20"/>
              </w:rPr>
              <w:t xml:space="preserve">Ukupno obveze </w:t>
            </w:r>
          </w:p>
        </w:tc>
        <w:tc>
          <w:tcPr>
            <w:tcW w:type="dxa" w:w="1660"/>
            <w:tcBorders>
              <w:top w:val="nil"/>
              <w:left w:val="nil"/>
              <w:bottom w:space="0" w:sz="4" w:color="auto" w:val="single"/>
              <w:right w:space="0" w:sz="4" w:color="auto" w:val="single"/>
            </w:tcBorders>
            <w:noWrap/>
            <w:vAlign w:val="bottom"/>
            <w:hideMark/>
          </w:tcPr>
          <w:p w:rsidRDefault="001B0464" w:rsidP="004A1770" w:rsidR="001B0464" w:rsidRPr="00EE6784">
            <w:pPr>
              <w:jc w:val="right"/>
              <w:rPr>
                <w:bCs/>
                <w:sz w:val="20"/>
                <w:szCs w:val="20"/>
              </w:rPr>
            </w:pPr>
            <w:r w:rsidRPr="00EE6784">
              <w:rPr>
                <w:bCs/>
                <w:sz w:val="20"/>
                <w:szCs w:val="20"/>
              </w:rPr>
              <w:t>512.909,00 kn</w:t>
            </w:r>
          </w:p>
        </w:tc>
        <w:tc>
          <w:tcPr>
            <w:tcW w:type="dxa" w:w="1660"/>
            <w:tcBorders>
              <w:top w:val="nil"/>
              <w:left w:val="nil"/>
              <w:bottom w:space="0" w:sz="4" w:color="auto" w:val="single"/>
              <w:right w:space="0" w:sz="4" w:color="auto" w:val="single"/>
            </w:tcBorders>
            <w:noWrap/>
            <w:vAlign w:val="bottom"/>
            <w:hideMark/>
          </w:tcPr>
          <w:p w:rsidRDefault="001B0464" w:rsidP="004A1770" w:rsidR="001B0464" w:rsidRPr="00EE6784">
            <w:pPr>
              <w:jc w:val="right"/>
              <w:rPr>
                <w:bCs/>
                <w:sz w:val="20"/>
                <w:szCs w:val="20"/>
              </w:rPr>
            </w:pPr>
            <w:r w:rsidRPr="00EE6784">
              <w:rPr>
                <w:bCs/>
                <w:sz w:val="20"/>
                <w:szCs w:val="20"/>
              </w:rPr>
              <w:t>750.615,00 kn</w:t>
            </w:r>
          </w:p>
        </w:tc>
      </w:tr>
      <w:tr w:rsidTr="004A1770" w:rsidR="001B0464">
        <w:trPr>
          <w:trHeight w:val="300"/>
          <w:jc w:val="center"/>
        </w:trPr>
        <w:tc>
          <w:tcPr>
            <w:tcW w:type="dxa" w:w="3300"/>
            <w:tcBorders>
              <w:bottom w:space="0" w:sz="4" w:color="auto" w:val="single"/>
            </w:tcBorders>
            <w:noWrap/>
            <w:vAlign w:val="bottom"/>
            <w:hideMark/>
          </w:tcPr>
          <w:p w:rsidRDefault="001B0464" w:rsidP="004A1770" w:rsidR="001B0464" w:rsidRPr="00EE6784">
            <w:pPr>
              <w:spacing w:lineRule="auto" w:line="256"/>
              <w:rPr>
                <w:sz w:val="22"/>
                <w:szCs w:val="22"/>
                <w:lang w:eastAsia="en-US"/>
              </w:rPr>
            </w:pPr>
          </w:p>
        </w:tc>
        <w:tc>
          <w:tcPr>
            <w:tcW w:type="dxa" w:w="1660"/>
            <w:tcBorders>
              <w:bottom w:space="0" w:sz="4" w:color="auto" w:val="single"/>
            </w:tcBorders>
            <w:noWrap/>
            <w:vAlign w:val="bottom"/>
            <w:hideMark/>
          </w:tcPr>
          <w:p w:rsidRDefault="001B0464" w:rsidP="004A1770" w:rsidR="001B0464" w:rsidRPr="00EE6784">
            <w:pPr>
              <w:spacing w:lineRule="auto" w:line="256"/>
              <w:rPr>
                <w:sz w:val="22"/>
                <w:szCs w:val="22"/>
                <w:lang w:eastAsia="en-US"/>
              </w:rPr>
            </w:pPr>
          </w:p>
        </w:tc>
        <w:tc>
          <w:tcPr>
            <w:tcW w:type="dxa" w:w="1660"/>
            <w:tcBorders>
              <w:bottom w:space="0" w:sz="4" w:color="auto" w:val="single"/>
            </w:tcBorders>
            <w:noWrap/>
            <w:vAlign w:val="bottom"/>
            <w:hideMark/>
          </w:tcPr>
          <w:p w:rsidRDefault="001B0464" w:rsidP="004A1770" w:rsidR="001B0464" w:rsidRPr="00EE6784">
            <w:pPr>
              <w:spacing w:lineRule="auto" w:line="256"/>
              <w:rPr>
                <w:sz w:val="22"/>
                <w:szCs w:val="22"/>
                <w:lang w:eastAsia="en-US"/>
              </w:rPr>
            </w:pPr>
          </w:p>
        </w:tc>
      </w:tr>
      <w:tr w:rsidTr="004A1770" w:rsidR="001B0464">
        <w:trPr>
          <w:trHeight w:val="300"/>
          <w:jc w:val="center"/>
        </w:trPr>
        <w:tc>
          <w:tcPr>
            <w:tcW w:type="dxa" w:w="330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1B0464" w:rsidP="004A1770" w:rsidR="001B0464" w:rsidRPr="00EE6784">
            <w:pPr>
              <w:rPr>
                <w:bCs/>
                <w:color w:val="000000"/>
                <w:sz w:val="20"/>
                <w:szCs w:val="20"/>
              </w:rPr>
            </w:pPr>
            <w:r w:rsidRPr="00EE6784">
              <w:rPr>
                <w:bCs/>
                <w:color w:val="000000"/>
                <w:sz w:val="20"/>
                <w:szCs w:val="20"/>
              </w:rPr>
              <w:t>Razlika vrijednosti imovine i obveza</w:t>
            </w:r>
          </w:p>
        </w:tc>
        <w:tc>
          <w:tcPr>
            <w:tcW w:type="dxa" w:w="1660"/>
            <w:tcBorders>
              <w:top w:space="0" w:sz="4" w:color="auto" w:val="single"/>
              <w:left w:val="nil"/>
              <w:bottom w:space="0" w:sz="4" w:color="auto" w:val="single"/>
              <w:right w:space="0" w:sz="4" w:color="auto" w:val="single"/>
            </w:tcBorders>
            <w:shd w:fill="auto" w:color="auto" w:val="clear"/>
            <w:noWrap/>
            <w:vAlign w:val="bottom"/>
            <w:hideMark/>
          </w:tcPr>
          <w:p w:rsidRDefault="001B0464" w:rsidP="004A1770" w:rsidR="001B0464" w:rsidRPr="00EE6784">
            <w:pPr>
              <w:jc w:val="right"/>
              <w:rPr>
                <w:bCs/>
                <w:color w:val="000000"/>
                <w:sz w:val="20"/>
                <w:szCs w:val="20"/>
              </w:rPr>
            </w:pPr>
            <w:r w:rsidRPr="00EE6784">
              <w:rPr>
                <w:bCs/>
                <w:color w:val="000000"/>
                <w:sz w:val="20"/>
                <w:szCs w:val="20"/>
              </w:rPr>
              <w:t>-316.572,00 kn</w:t>
            </w:r>
          </w:p>
        </w:tc>
        <w:tc>
          <w:tcPr>
            <w:tcW w:type="dxa" w:w="1660"/>
            <w:tcBorders>
              <w:top w:space="0" w:sz="4" w:color="auto" w:val="single"/>
              <w:left w:val="nil"/>
              <w:bottom w:space="0" w:sz="4" w:color="auto" w:val="single"/>
              <w:right w:space="0" w:sz="4" w:color="auto" w:val="single"/>
            </w:tcBorders>
            <w:shd w:fill="auto" w:color="auto" w:val="clear"/>
            <w:noWrap/>
            <w:vAlign w:val="bottom"/>
            <w:hideMark/>
          </w:tcPr>
          <w:p w:rsidRDefault="001B0464" w:rsidP="004A1770" w:rsidR="001B0464" w:rsidRPr="00EE6784">
            <w:pPr>
              <w:jc w:val="right"/>
              <w:rPr>
                <w:bCs/>
                <w:color w:val="000000"/>
                <w:sz w:val="20"/>
                <w:szCs w:val="20"/>
              </w:rPr>
            </w:pPr>
            <w:r w:rsidRPr="00EE6784">
              <w:rPr>
                <w:bCs/>
                <w:color w:val="000000"/>
                <w:sz w:val="20"/>
                <w:szCs w:val="20"/>
              </w:rPr>
              <w:t>-530.882,00 kn</w:t>
            </w:r>
          </w:p>
        </w:tc>
      </w:tr>
    </w:tbl>
    <w:p w:rsidRDefault="001B0464" w:rsidP="001B0464" w:rsidR="001B0464">
      <w:pPr>
        <w:pStyle w:val="Bezproreda"/>
        <w:rPr>
          <w:sz w:val="20"/>
          <w:szCs w:val="20"/>
        </w:rPr>
      </w:pPr>
    </w:p>
    <w:p w:rsidRDefault="001B0464" w:rsidP="001B0464" w:rsidR="001B0464" w:rsidRPr="00424E71">
      <w:pPr>
        <w:pStyle w:val="Bezproreda"/>
        <w:rPr>
          <w:szCs w:val="24"/>
        </w:rPr>
      </w:pPr>
      <w:r>
        <w:rPr>
          <w:szCs w:val="24"/>
        </w:rPr>
        <w:tab/>
      </w:r>
      <w:r w:rsidRPr="00424E71">
        <w:rPr>
          <w:szCs w:val="24"/>
        </w:rPr>
        <w:t xml:space="preserve">Vrijednost imovine društva je na dan 31.12.2016. bila za 316.572,00 kn manja od obveza društva, a na dan 31.12.2017. vrijednost imovine društva je bila za 530.882,00 kn manja od obveza društva (rast negativne razlike od 214.310,00 kn za godinu dana). </w:t>
      </w:r>
    </w:p>
    <w:p w:rsidRDefault="001B0464" w:rsidP="001B0464" w:rsidR="001B0464" w:rsidRPr="00424E71">
      <w:pPr>
        <w:pStyle w:val="Bezproreda"/>
        <w:rPr>
          <w:szCs w:val="24"/>
        </w:rPr>
      </w:pPr>
    </w:p>
    <w:p w:rsidRDefault="001B0464" w:rsidP="001B0464" w:rsidR="001B0464" w:rsidRPr="00424E71">
      <w:pPr>
        <w:pStyle w:val="Bezproreda"/>
        <w:rPr>
          <w:szCs w:val="24"/>
        </w:rPr>
      </w:pPr>
      <w:r>
        <w:rPr>
          <w:szCs w:val="24"/>
        </w:rPr>
        <w:tab/>
      </w:r>
      <w:r w:rsidRPr="00424E71">
        <w:rPr>
          <w:szCs w:val="24"/>
        </w:rPr>
        <w:t xml:space="preserve">Vrijednost dužnikove imovine je na dan 31.12.2017. za 530.882,00 kn manja od obveza koje dužnik ima, slijedom čega kod dužnika postoji stečajni razlog prezaduženosti iz čl. 7. Stečajnog zakona. </w:t>
      </w:r>
    </w:p>
    <w:p w:rsidRDefault="001B0464" w:rsidP="001B0464" w:rsidR="001B0464" w:rsidRPr="00424E71">
      <w:pPr>
        <w:pStyle w:val="Bezproreda"/>
        <w:rPr>
          <w:szCs w:val="24"/>
        </w:rPr>
      </w:pPr>
    </w:p>
    <w:p w:rsidRDefault="001B0464" w:rsidP="001B0464" w:rsidR="001B0464" w:rsidRPr="00424E71">
      <w:pPr>
        <w:pStyle w:val="Bezproreda"/>
        <w:rPr>
          <w:szCs w:val="24"/>
        </w:rPr>
      </w:pPr>
      <w:r>
        <w:rPr>
          <w:szCs w:val="24"/>
        </w:rPr>
        <w:tab/>
      </w:r>
      <w:r w:rsidRPr="00424E71">
        <w:rPr>
          <w:szCs w:val="24"/>
        </w:rPr>
        <w:t>Kod dužnika je utvrđeno postojanje stečajnih razloga nesposobnosti za plaćanje i prezaduženosti.</w:t>
      </w:r>
    </w:p>
    <w:p w:rsidRDefault="001B0464" w:rsidP="001B0464" w:rsidR="001B0464">
      <w:pPr>
        <w:pStyle w:val="Bezproreda"/>
        <w:rPr>
          <w:sz w:val="20"/>
          <w:szCs w:val="20"/>
        </w:rPr>
      </w:pPr>
    </w:p>
    <w:p w:rsidRDefault="001B0464" w:rsidP="001B0464" w:rsidR="001B0464" w:rsidRPr="00424E71">
      <w:pPr>
        <w:pStyle w:val="Bezproreda"/>
        <w:rPr>
          <w:szCs w:val="24"/>
        </w:rPr>
      </w:pPr>
      <w:r>
        <w:rPr>
          <w:szCs w:val="24"/>
        </w:rPr>
        <w:tab/>
      </w:r>
      <w:r w:rsidRPr="00424E71">
        <w:rPr>
          <w:szCs w:val="24"/>
        </w:rPr>
        <w:t>Nekretnine: dužnik u svojim poslovnim knjigama ne prikazuje vlasništvo nekretnina (zemljište, građevinski objekti ili postrojenja), a činjenica da dužnik nije upisan kao vlasnik nekretnina proizlazi i iz Potvrde Općinskog suda u Karlovcu od 9.</w:t>
      </w:r>
      <w:r>
        <w:rPr>
          <w:szCs w:val="24"/>
        </w:rPr>
        <w:t>0</w:t>
      </w:r>
      <w:r w:rsidRPr="00424E71">
        <w:rPr>
          <w:szCs w:val="24"/>
        </w:rPr>
        <w:t>1.2018</w:t>
      </w:r>
      <w:r w:rsidR="00793781">
        <w:rPr>
          <w:szCs w:val="24"/>
        </w:rPr>
        <w:t>.</w:t>
      </w:r>
    </w:p>
    <w:p w:rsidRDefault="001B0464" w:rsidP="001B0464" w:rsidR="001B0464" w:rsidRPr="00424E71">
      <w:pPr>
        <w:pStyle w:val="Bezproreda"/>
        <w:rPr>
          <w:szCs w:val="24"/>
        </w:rPr>
      </w:pPr>
    </w:p>
    <w:p w:rsidRDefault="00793781" w:rsidP="001B0464" w:rsidR="001B0464">
      <w:pPr>
        <w:pStyle w:val="Bezproreda"/>
        <w:rPr>
          <w:szCs w:val="24"/>
        </w:rPr>
      </w:pPr>
      <w:r>
        <w:rPr>
          <w:szCs w:val="24"/>
        </w:rPr>
        <w:tab/>
      </w:r>
      <w:r w:rsidR="001B0464" w:rsidRPr="00424E71">
        <w:rPr>
          <w:szCs w:val="24"/>
        </w:rPr>
        <w:t>Pokretnine/osnovna sredstva</w:t>
      </w:r>
      <w:r w:rsidR="001B0464" w:rsidRPr="00AC2BD0">
        <w:rPr>
          <w:szCs w:val="24"/>
        </w:rPr>
        <w:t>:</w:t>
      </w:r>
      <w:r w:rsidR="001B0464" w:rsidRPr="00424E71">
        <w:rPr>
          <w:i/>
          <w:szCs w:val="24"/>
        </w:rPr>
        <w:t xml:space="preserve"> </w:t>
      </w:r>
      <w:r w:rsidR="001B0464" w:rsidRPr="00424E71">
        <w:rPr>
          <w:szCs w:val="24"/>
        </w:rPr>
        <w:t>Iz popisa dugotrajne imovine društva proizlazi da je sadašnja vrijednost dugotrajne imovine 625,00 kn (ukupna nabavna vrijednost 31.000,00 kn</w:t>
      </w:r>
      <w:r>
        <w:rPr>
          <w:szCs w:val="24"/>
        </w:rPr>
        <w:t>)</w:t>
      </w:r>
      <w:r w:rsidR="001B0464" w:rsidRPr="00424E71">
        <w:rPr>
          <w:szCs w:val="24"/>
        </w:rPr>
        <w:t xml:space="preserve">. Predmetno se odnosi na </w:t>
      </w:r>
      <w:r w:rsidR="001B0464">
        <w:rPr>
          <w:szCs w:val="24"/>
        </w:rPr>
        <w:t>dva vozila u vlasništvu društva</w:t>
      </w:r>
      <w:r w:rsidR="001B0464" w:rsidRPr="00424E71">
        <w:rPr>
          <w:szCs w:val="24"/>
        </w:rPr>
        <w:t xml:space="preserve"> i to:</w:t>
      </w:r>
    </w:p>
    <w:p w:rsidRDefault="001B0464" w:rsidP="001B0464" w:rsidR="001B0464" w:rsidRPr="00424E71">
      <w:pPr>
        <w:pStyle w:val="Bezproreda"/>
        <w:rPr>
          <w:szCs w:val="24"/>
        </w:rPr>
      </w:pPr>
    </w:p>
    <w:p w:rsidRDefault="001B0464" w:rsidP="001B0464" w:rsidR="001B0464" w:rsidRPr="00624375">
      <w:pPr>
        <w:pStyle w:val="Bezproreda"/>
        <w:numPr>
          <w:ilvl w:val="0"/>
          <w:numId w:val="4"/>
        </w:numPr>
        <w:rPr>
          <w:szCs w:val="24"/>
        </w:rPr>
      </w:pPr>
      <w:r w:rsidRPr="00624375">
        <w:rPr>
          <w:szCs w:val="24"/>
        </w:rPr>
        <w:t>M1 (osobno vozilo) MAZDA 323 2,0 DIDT, 2003. god. proizvodnje, odjavljeno u listopadu 2017. Za vozilo je evidentirana zabrana otuđenja – razlučno pravo u korist Republike Hrvatske, Porezna uprava. (po navodima zakonskog zastupnika društva vozilo više nije u voznom stanju).</w:t>
      </w:r>
    </w:p>
    <w:p w:rsidRDefault="001B0464" w:rsidP="001B0464" w:rsidR="001B0464" w:rsidRPr="00624375">
      <w:pPr>
        <w:pStyle w:val="Bezproreda"/>
        <w:numPr>
          <w:ilvl w:val="0"/>
          <w:numId w:val="4"/>
        </w:numPr>
        <w:rPr>
          <w:szCs w:val="24"/>
        </w:rPr>
      </w:pPr>
      <w:r w:rsidRPr="00624375">
        <w:rPr>
          <w:szCs w:val="24"/>
        </w:rPr>
        <w:t>N1 (teretno vozilo) IVECO 35C 11 C-120700, godina proizvodnje 2003. Za vozilo je evidentirana zabrana otuđenja – razlučno pravo u korist Rep</w:t>
      </w:r>
      <w:r w:rsidR="00C51058">
        <w:rPr>
          <w:szCs w:val="24"/>
        </w:rPr>
        <w:t>ublike Hrvatske, Porezna uprava</w:t>
      </w:r>
      <w:r w:rsidRPr="00624375">
        <w:rPr>
          <w:szCs w:val="24"/>
        </w:rPr>
        <w:t xml:space="preserve"> (po navodima zakonskog zastupnika društva vozilo je u ispravnom i voznom stanju).</w:t>
      </w:r>
    </w:p>
    <w:p w:rsidRDefault="001B0464" w:rsidP="001B0464" w:rsidR="001B0464" w:rsidRPr="00624375">
      <w:pPr>
        <w:pStyle w:val="Bezproreda"/>
        <w:rPr>
          <w:szCs w:val="24"/>
        </w:rPr>
      </w:pPr>
    </w:p>
    <w:p w:rsidRDefault="001B0464" w:rsidP="001B0464" w:rsidR="001B0464" w:rsidRPr="00624375">
      <w:pPr>
        <w:pStyle w:val="Bezproreda"/>
        <w:rPr>
          <w:szCs w:val="24"/>
        </w:rPr>
      </w:pPr>
      <w:r>
        <w:rPr>
          <w:szCs w:val="24"/>
        </w:rPr>
        <w:tab/>
      </w:r>
      <w:r w:rsidRPr="00624375">
        <w:rPr>
          <w:szCs w:val="24"/>
        </w:rPr>
        <w:t xml:space="preserve">Procjena vrijednosti vozila nije dostupna, pa se na temelju usporednih podataka s auto oglasnika maksimalna tržišna cijena za vozilo Mazda 323 procjenjuje na 10.000,00 kn, a za kombi </w:t>
      </w:r>
      <w:r w:rsidRPr="00624375">
        <w:rPr>
          <w:szCs w:val="24"/>
        </w:rPr>
        <w:lastRenderedPageBreak/>
        <w:t>IVECO 35 C 20.000,00 kn, pa se ukupna vrijednost vozila procjenjuje u iznosu od 30.000,00 kn. Imajući na umu da je riječ o pokretninama opterećenim razlučnim pravom prodajom istih bi se u korist stečajne mase uprihodio maksimalni iznos od cca 3.000,00 kn, sukladno čl. 254. st. 2. i 3. Stečajnog zakona.</w:t>
      </w:r>
    </w:p>
    <w:p w:rsidRDefault="001B0464" w:rsidP="001B0464" w:rsidR="001B0464" w:rsidRPr="00624375">
      <w:pPr>
        <w:pStyle w:val="Bezproreda"/>
        <w:rPr>
          <w:szCs w:val="24"/>
        </w:rPr>
      </w:pPr>
    </w:p>
    <w:p w:rsidRDefault="001B0464" w:rsidP="001B0464" w:rsidR="001B0464" w:rsidRPr="00624375">
      <w:pPr>
        <w:pStyle w:val="Bezproreda"/>
        <w:rPr>
          <w:szCs w:val="24"/>
        </w:rPr>
      </w:pPr>
      <w:r>
        <w:rPr>
          <w:szCs w:val="24"/>
        </w:rPr>
        <w:tab/>
      </w:r>
      <w:r w:rsidRPr="00624375">
        <w:rPr>
          <w:szCs w:val="24"/>
        </w:rPr>
        <w:t>Potraživanja i prava</w:t>
      </w:r>
      <w:r w:rsidRPr="00624375">
        <w:rPr>
          <w:i/>
          <w:szCs w:val="24"/>
        </w:rPr>
        <w:t xml:space="preserve">: </w:t>
      </w:r>
      <w:r w:rsidRPr="00624375">
        <w:rPr>
          <w:szCs w:val="24"/>
        </w:rPr>
        <w:t xml:space="preserve">Dužnik bilancom na dan 31.12.2017. prikazuje potraživanja prema trećima u </w:t>
      </w:r>
      <w:r>
        <w:rPr>
          <w:szCs w:val="24"/>
        </w:rPr>
        <w:t>ukupnom iznosu od 184.450,00 kn</w:t>
      </w:r>
      <w:r w:rsidRPr="00624375">
        <w:rPr>
          <w:szCs w:val="24"/>
        </w:rPr>
        <w:t xml:space="preserve"> i to: 142.573,00 kn s osnove potraživanja prema kupcima i 41.877,00 kn s osnove potraživanja od države i drugih institucija. Dužnik potraživanja prema kupcima specificira kako slijedi:</w:t>
      </w:r>
    </w:p>
    <w:p w:rsidRDefault="001B0464" w:rsidP="001B0464" w:rsidR="001B0464">
      <w:pPr>
        <w:pStyle w:val="Bezproreda"/>
        <w:rPr>
          <w:sz w:val="20"/>
          <w:szCs w:val="20"/>
        </w:rPr>
      </w:pPr>
    </w:p>
    <w:tbl>
      <w:tblPr>
        <w:tblW w:type="dxa" w:w="4040"/>
        <w:jc w:val="center"/>
        <w:tblLook w:val="04A0" w:noVBand="1" w:noHBand="0" w:lastColumn="0" w:firstColumn="1" w:lastRow="0" w:firstRow="1"/>
      </w:tblPr>
      <w:tblGrid>
        <w:gridCol w:w="1840"/>
        <w:gridCol w:w="2200"/>
      </w:tblGrid>
      <w:tr w:rsidTr="004A1770" w:rsidR="001B0464">
        <w:trPr>
          <w:trHeight w:val="408"/>
          <w:jc w:val="center"/>
        </w:trPr>
        <w:tc>
          <w:tcPr>
            <w:tcW w:type="dxa" w:w="1840"/>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1B0464" w:rsidP="004A1770" w:rsidR="001B0464" w:rsidRPr="00E934F1">
            <w:pPr>
              <w:jc w:val="center"/>
              <w:rPr>
                <w:bCs/>
                <w:color w:val="000000"/>
                <w:sz w:val="20"/>
                <w:szCs w:val="20"/>
              </w:rPr>
            </w:pPr>
            <w:r w:rsidRPr="00E934F1">
              <w:rPr>
                <w:bCs/>
                <w:color w:val="000000"/>
                <w:sz w:val="20"/>
                <w:szCs w:val="20"/>
              </w:rPr>
              <w:t>Dužnik</w:t>
            </w:r>
          </w:p>
        </w:tc>
        <w:tc>
          <w:tcPr>
            <w:tcW w:type="dxa" w:w="2200"/>
            <w:tcBorders>
              <w:top w:space="0" w:sz="4" w:color="auto" w:val="single"/>
              <w:left w:val="nil"/>
              <w:bottom w:space="0" w:sz="4" w:color="auto" w:val="single"/>
              <w:right w:space="0" w:sz="4" w:color="auto" w:val="single"/>
            </w:tcBorders>
            <w:shd w:fill="auto" w:color="auto" w:val="clear"/>
            <w:noWrap/>
            <w:vAlign w:val="center"/>
            <w:hideMark/>
          </w:tcPr>
          <w:p w:rsidRDefault="001B0464" w:rsidP="004A1770" w:rsidR="001B0464" w:rsidRPr="00E934F1">
            <w:pPr>
              <w:jc w:val="center"/>
              <w:rPr>
                <w:bCs/>
                <w:color w:val="000000"/>
                <w:sz w:val="20"/>
                <w:szCs w:val="20"/>
              </w:rPr>
            </w:pPr>
            <w:r w:rsidRPr="00E934F1">
              <w:rPr>
                <w:bCs/>
                <w:color w:val="000000"/>
                <w:sz w:val="20"/>
                <w:szCs w:val="20"/>
              </w:rPr>
              <w:t>Iznos duga</w:t>
            </w:r>
          </w:p>
        </w:tc>
      </w:tr>
      <w:tr w:rsidTr="004A1770" w:rsidR="001B0464">
        <w:trPr>
          <w:trHeight w:val="300"/>
          <w:jc w:val="center"/>
        </w:trPr>
        <w:tc>
          <w:tcPr>
            <w:tcW w:type="dxa" w:w="1840"/>
            <w:tcBorders>
              <w:top w:val="nil"/>
              <w:left w:space="0" w:sz="4" w:color="auto" w:val="single"/>
              <w:bottom w:space="0" w:sz="4" w:color="auto" w:val="single"/>
              <w:right w:space="0" w:sz="4" w:color="auto" w:val="single"/>
            </w:tcBorders>
            <w:noWrap/>
            <w:vAlign w:val="bottom"/>
            <w:hideMark/>
          </w:tcPr>
          <w:p w:rsidRDefault="001B0464" w:rsidP="004A1770" w:rsidR="001B0464" w:rsidRPr="00E934F1">
            <w:pPr>
              <w:rPr>
                <w:color w:val="000000"/>
                <w:sz w:val="20"/>
                <w:szCs w:val="20"/>
              </w:rPr>
            </w:pPr>
            <w:r w:rsidRPr="00E934F1">
              <w:rPr>
                <w:color w:val="000000"/>
                <w:sz w:val="20"/>
                <w:szCs w:val="20"/>
              </w:rPr>
              <w:t>Obdura d.o.o.</w:t>
            </w:r>
          </w:p>
        </w:tc>
        <w:tc>
          <w:tcPr>
            <w:tcW w:type="dxa" w:w="2200"/>
            <w:tcBorders>
              <w:top w:val="nil"/>
              <w:left w:val="nil"/>
              <w:bottom w:space="0" w:sz="4" w:color="auto" w:val="single"/>
              <w:right w:space="0" w:sz="4" w:color="auto" w:val="single"/>
            </w:tcBorders>
            <w:noWrap/>
            <w:vAlign w:val="bottom"/>
            <w:hideMark/>
          </w:tcPr>
          <w:p w:rsidRDefault="001B0464" w:rsidP="004A1770" w:rsidR="001B0464" w:rsidRPr="00E934F1">
            <w:pPr>
              <w:jc w:val="right"/>
              <w:rPr>
                <w:color w:val="000000"/>
                <w:sz w:val="20"/>
                <w:szCs w:val="20"/>
              </w:rPr>
            </w:pPr>
            <w:r w:rsidRPr="00E934F1">
              <w:rPr>
                <w:color w:val="000000"/>
                <w:sz w:val="20"/>
                <w:szCs w:val="20"/>
              </w:rPr>
              <w:t>500,00 kn</w:t>
            </w:r>
          </w:p>
        </w:tc>
      </w:tr>
      <w:tr w:rsidTr="004A1770" w:rsidR="001B0464">
        <w:trPr>
          <w:trHeight w:val="300"/>
          <w:jc w:val="center"/>
        </w:trPr>
        <w:tc>
          <w:tcPr>
            <w:tcW w:type="dxa" w:w="1840"/>
            <w:tcBorders>
              <w:top w:val="nil"/>
              <w:left w:space="0" w:sz="4" w:color="auto" w:val="single"/>
              <w:bottom w:space="0" w:sz="4" w:color="auto" w:val="single"/>
              <w:right w:space="0" w:sz="4" w:color="auto" w:val="single"/>
            </w:tcBorders>
            <w:noWrap/>
            <w:vAlign w:val="bottom"/>
            <w:hideMark/>
          </w:tcPr>
          <w:p w:rsidRDefault="001B0464" w:rsidP="004A1770" w:rsidR="001B0464" w:rsidRPr="00E934F1">
            <w:pPr>
              <w:rPr>
                <w:color w:val="000000"/>
                <w:sz w:val="20"/>
                <w:szCs w:val="20"/>
              </w:rPr>
            </w:pPr>
            <w:r w:rsidRPr="00E934F1">
              <w:rPr>
                <w:color w:val="000000"/>
                <w:sz w:val="20"/>
                <w:szCs w:val="20"/>
              </w:rPr>
              <w:t>Nepoznati partner</w:t>
            </w:r>
          </w:p>
        </w:tc>
        <w:tc>
          <w:tcPr>
            <w:tcW w:type="dxa" w:w="2200"/>
            <w:tcBorders>
              <w:top w:val="nil"/>
              <w:left w:val="nil"/>
              <w:bottom w:space="0" w:sz="4" w:color="auto" w:val="single"/>
              <w:right w:space="0" w:sz="4" w:color="auto" w:val="single"/>
            </w:tcBorders>
            <w:noWrap/>
            <w:vAlign w:val="bottom"/>
            <w:hideMark/>
          </w:tcPr>
          <w:p w:rsidRDefault="001B0464" w:rsidP="004A1770" w:rsidR="001B0464" w:rsidRPr="00E934F1">
            <w:pPr>
              <w:jc w:val="right"/>
              <w:rPr>
                <w:color w:val="000000"/>
                <w:sz w:val="20"/>
                <w:szCs w:val="20"/>
              </w:rPr>
            </w:pPr>
            <w:r w:rsidRPr="00E934F1">
              <w:rPr>
                <w:color w:val="000000"/>
                <w:sz w:val="20"/>
                <w:szCs w:val="20"/>
              </w:rPr>
              <w:t>50.347,36 kn</w:t>
            </w:r>
          </w:p>
        </w:tc>
      </w:tr>
      <w:tr w:rsidTr="004A1770" w:rsidR="001B0464">
        <w:trPr>
          <w:trHeight w:val="300"/>
          <w:jc w:val="center"/>
        </w:trPr>
        <w:tc>
          <w:tcPr>
            <w:tcW w:type="dxa" w:w="1840"/>
            <w:tcBorders>
              <w:top w:val="nil"/>
              <w:left w:space="0" w:sz="4" w:color="auto" w:val="single"/>
              <w:bottom w:space="0" w:sz="4" w:color="auto" w:val="single"/>
              <w:right w:space="0" w:sz="4" w:color="auto" w:val="single"/>
            </w:tcBorders>
            <w:noWrap/>
            <w:vAlign w:val="bottom"/>
            <w:hideMark/>
          </w:tcPr>
          <w:p w:rsidRDefault="001B0464" w:rsidP="004A1770" w:rsidR="001B0464" w:rsidRPr="00E934F1">
            <w:pPr>
              <w:rPr>
                <w:color w:val="000000"/>
                <w:sz w:val="20"/>
                <w:szCs w:val="20"/>
              </w:rPr>
            </w:pPr>
            <w:r w:rsidRPr="00E934F1">
              <w:rPr>
                <w:color w:val="000000"/>
                <w:sz w:val="20"/>
                <w:szCs w:val="20"/>
              </w:rPr>
              <w:t>ETT d.o.o.</w:t>
            </w:r>
          </w:p>
        </w:tc>
        <w:tc>
          <w:tcPr>
            <w:tcW w:type="dxa" w:w="2200"/>
            <w:tcBorders>
              <w:top w:val="nil"/>
              <w:left w:val="nil"/>
              <w:bottom w:space="0" w:sz="4" w:color="auto" w:val="single"/>
              <w:right w:space="0" w:sz="4" w:color="auto" w:val="single"/>
            </w:tcBorders>
            <w:noWrap/>
            <w:vAlign w:val="bottom"/>
            <w:hideMark/>
          </w:tcPr>
          <w:p w:rsidRDefault="001B0464" w:rsidP="004A1770" w:rsidR="001B0464" w:rsidRPr="00E934F1">
            <w:pPr>
              <w:jc w:val="right"/>
              <w:rPr>
                <w:color w:val="000000"/>
                <w:sz w:val="20"/>
                <w:szCs w:val="20"/>
              </w:rPr>
            </w:pPr>
            <w:r w:rsidRPr="00E934F1">
              <w:rPr>
                <w:color w:val="000000"/>
                <w:sz w:val="20"/>
                <w:szCs w:val="20"/>
              </w:rPr>
              <w:t>1.625,00 kn</w:t>
            </w:r>
          </w:p>
        </w:tc>
      </w:tr>
      <w:tr w:rsidTr="004A1770" w:rsidR="001B0464">
        <w:trPr>
          <w:trHeight w:val="300"/>
          <w:jc w:val="center"/>
        </w:trPr>
        <w:tc>
          <w:tcPr>
            <w:tcW w:type="dxa" w:w="1840"/>
            <w:tcBorders>
              <w:top w:val="nil"/>
              <w:left w:space="0" w:sz="4" w:color="auto" w:val="single"/>
              <w:bottom w:space="0" w:sz="4" w:color="auto" w:val="single"/>
              <w:right w:space="0" w:sz="4" w:color="auto" w:val="single"/>
            </w:tcBorders>
            <w:noWrap/>
            <w:vAlign w:val="bottom"/>
            <w:hideMark/>
          </w:tcPr>
          <w:p w:rsidRDefault="001B0464" w:rsidP="004A1770" w:rsidR="001B0464" w:rsidRPr="00E934F1">
            <w:pPr>
              <w:rPr>
                <w:color w:val="000000"/>
                <w:sz w:val="20"/>
                <w:szCs w:val="20"/>
              </w:rPr>
            </w:pPr>
            <w:r w:rsidRPr="00E934F1">
              <w:rPr>
                <w:color w:val="000000"/>
                <w:sz w:val="20"/>
                <w:szCs w:val="20"/>
              </w:rPr>
              <w:t>ERRI d.o.o.</w:t>
            </w:r>
          </w:p>
        </w:tc>
        <w:tc>
          <w:tcPr>
            <w:tcW w:type="dxa" w:w="2200"/>
            <w:tcBorders>
              <w:top w:val="nil"/>
              <w:left w:val="nil"/>
              <w:bottom w:space="0" w:sz="4" w:color="auto" w:val="single"/>
              <w:right w:space="0" w:sz="4" w:color="auto" w:val="single"/>
            </w:tcBorders>
            <w:noWrap/>
            <w:vAlign w:val="bottom"/>
            <w:hideMark/>
          </w:tcPr>
          <w:p w:rsidRDefault="001B0464" w:rsidP="004A1770" w:rsidR="001B0464" w:rsidRPr="00E934F1">
            <w:pPr>
              <w:jc w:val="right"/>
              <w:rPr>
                <w:color w:val="000000"/>
                <w:sz w:val="20"/>
                <w:szCs w:val="20"/>
              </w:rPr>
            </w:pPr>
            <w:r w:rsidRPr="00E934F1">
              <w:rPr>
                <w:color w:val="000000"/>
                <w:sz w:val="20"/>
                <w:szCs w:val="20"/>
              </w:rPr>
              <w:t>942,25 kn</w:t>
            </w:r>
          </w:p>
        </w:tc>
      </w:tr>
      <w:tr w:rsidTr="004A1770" w:rsidR="001B0464">
        <w:trPr>
          <w:trHeight w:val="300"/>
          <w:jc w:val="center"/>
        </w:trPr>
        <w:tc>
          <w:tcPr>
            <w:tcW w:type="dxa" w:w="1840"/>
            <w:tcBorders>
              <w:top w:val="nil"/>
              <w:left w:space="0" w:sz="4" w:color="auto" w:val="single"/>
              <w:bottom w:space="0" w:sz="4" w:color="auto" w:val="single"/>
              <w:right w:space="0" w:sz="4" w:color="auto" w:val="single"/>
            </w:tcBorders>
            <w:noWrap/>
            <w:vAlign w:val="bottom"/>
            <w:hideMark/>
          </w:tcPr>
          <w:p w:rsidRDefault="001B0464" w:rsidP="004A1770" w:rsidR="001B0464" w:rsidRPr="00E934F1">
            <w:pPr>
              <w:rPr>
                <w:color w:val="000000"/>
                <w:sz w:val="20"/>
                <w:szCs w:val="20"/>
              </w:rPr>
            </w:pPr>
            <w:r w:rsidRPr="00E934F1">
              <w:rPr>
                <w:color w:val="000000"/>
                <w:sz w:val="20"/>
                <w:szCs w:val="20"/>
              </w:rPr>
              <w:t>TO Novalja</w:t>
            </w:r>
          </w:p>
        </w:tc>
        <w:tc>
          <w:tcPr>
            <w:tcW w:type="dxa" w:w="2200"/>
            <w:tcBorders>
              <w:top w:val="nil"/>
              <w:left w:val="nil"/>
              <w:bottom w:space="0" w:sz="4" w:color="auto" w:val="single"/>
              <w:right w:space="0" w:sz="4" w:color="auto" w:val="single"/>
            </w:tcBorders>
            <w:noWrap/>
            <w:vAlign w:val="bottom"/>
            <w:hideMark/>
          </w:tcPr>
          <w:p w:rsidRDefault="001B0464" w:rsidP="004A1770" w:rsidR="001B0464" w:rsidRPr="00E934F1">
            <w:pPr>
              <w:jc w:val="right"/>
              <w:rPr>
                <w:color w:val="000000"/>
                <w:sz w:val="20"/>
                <w:szCs w:val="20"/>
              </w:rPr>
            </w:pPr>
            <w:r w:rsidRPr="00E934F1">
              <w:rPr>
                <w:color w:val="000000"/>
                <w:sz w:val="20"/>
                <w:szCs w:val="20"/>
              </w:rPr>
              <w:t>7.575,00 kn</w:t>
            </w:r>
          </w:p>
        </w:tc>
      </w:tr>
      <w:tr w:rsidTr="004A1770" w:rsidR="001B0464">
        <w:trPr>
          <w:trHeight w:val="300"/>
          <w:jc w:val="center"/>
        </w:trPr>
        <w:tc>
          <w:tcPr>
            <w:tcW w:type="dxa" w:w="1840"/>
            <w:tcBorders>
              <w:top w:val="nil"/>
              <w:left w:space="0" w:sz="4" w:color="auto" w:val="single"/>
              <w:bottom w:space="0" w:sz="4" w:color="auto" w:val="single"/>
              <w:right w:space="0" w:sz="4" w:color="auto" w:val="single"/>
            </w:tcBorders>
            <w:noWrap/>
            <w:vAlign w:val="bottom"/>
            <w:hideMark/>
          </w:tcPr>
          <w:p w:rsidRDefault="001B0464" w:rsidP="004A1770" w:rsidR="001B0464" w:rsidRPr="00E934F1">
            <w:pPr>
              <w:rPr>
                <w:color w:val="000000"/>
                <w:sz w:val="20"/>
                <w:szCs w:val="20"/>
              </w:rPr>
            </w:pPr>
            <w:r w:rsidRPr="00E934F1">
              <w:rPr>
                <w:color w:val="000000"/>
                <w:sz w:val="20"/>
                <w:szCs w:val="20"/>
              </w:rPr>
              <w:t>Bull d.o.o.</w:t>
            </w:r>
          </w:p>
        </w:tc>
        <w:tc>
          <w:tcPr>
            <w:tcW w:type="dxa" w:w="2200"/>
            <w:tcBorders>
              <w:top w:val="nil"/>
              <w:left w:val="nil"/>
              <w:bottom w:space="0" w:sz="4" w:color="auto" w:val="single"/>
              <w:right w:space="0" w:sz="4" w:color="auto" w:val="single"/>
            </w:tcBorders>
            <w:noWrap/>
            <w:vAlign w:val="bottom"/>
            <w:hideMark/>
          </w:tcPr>
          <w:p w:rsidRDefault="001B0464" w:rsidP="004A1770" w:rsidR="001B0464" w:rsidRPr="00E934F1">
            <w:pPr>
              <w:jc w:val="right"/>
              <w:rPr>
                <w:color w:val="000000"/>
                <w:sz w:val="20"/>
                <w:szCs w:val="20"/>
              </w:rPr>
            </w:pPr>
            <w:r w:rsidRPr="00E934F1">
              <w:rPr>
                <w:color w:val="000000"/>
                <w:sz w:val="20"/>
                <w:szCs w:val="20"/>
              </w:rPr>
              <w:t>108,00 kn</w:t>
            </w:r>
          </w:p>
        </w:tc>
      </w:tr>
      <w:tr w:rsidTr="004A1770" w:rsidR="001B0464">
        <w:trPr>
          <w:trHeight w:val="300"/>
          <w:jc w:val="center"/>
        </w:trPr>
        <w:tc>
          <w:tcPr>
            <w:tcW w:type="dxa" w:w="1840"/>
            <w:tcBorders>
              <w:top w:val="nil"/>
              <w:left w:space="0" w:sz="4" w:color="auto" w:val="single"/>
              <w:bottom w:space="0" w:sz="4" w:color="auto" w:val="single"/>
              <w:right w:space="0" w:sz="4" w:color="auto" w:val="single"/>
            </w:tcBorders>
            <w:noWrap/>
            <w:vAlign w:val="bottom"/>
            <w:hideMark/>
          </w:tcPr>
          <w:p w:rsidRDefault="001B0464" w:rsidP="004A1770" w:rsidR="001B0464" w:rsidRPr="00E934F1">
            <w:pPr>
              <w:rPr>
                <w:color w:val="000000"/>
                <w:sz w:val="20"/>
                <w:szCs w:val="20"/>
              </w:rPr>
            </w:pPr>
            <w:r w:rsidRPr="00E934F1">
              <w:rPr>
                <w:color w:val="000000"/>
                <w:sz w:val="20"/>
                <w:szCs w:val="20"/>
              </w:rPr>
              <w:t>Arburoža d.o.o.</w:t>
            </w:r>
          </w:p>
        </w:tc>
        <w:tc>
          <w:tcPr>
            <w:tcW w:type="dxa" w:w="2200"/>
            <w:tcBorders>
              <w:top w:val="nil"/>
              <w:left w:val="nil"/>
              <w:bottom w:space="0" w:sz="4" w:color="auto" w:val="single"/>
              <w:right w:space="0" w:sz="4" w:color="auto" w:val="single"/>
            </w:tcBorders>
            <w:noWrap/>
            <w:vAlign w:val="bottom"/>
            <w:hideMark/>
          </w:tcPr>
          <w:p w:rsidRDefault="001B0464" w:rsidP="004A1770" w:rsidR="001B0464" w:rsidRPr="00E934F1">
            <w:pPr>
              <w:jc w:val="right"/>
              <w:rPr>
                <w:color w:val="000000"/>
                <w:sz w:val="20"/>
                <w:szCs w:val="20"/>
              </w:rPr>
            </w:pPr>
            <w:r w:rsidRPr="00E934F1">
              <w:rPr>
                <w:color w:val="000000"/>
                <w:sz w:val="20"/>
                <w:szCs w:val="20"/>
              </w:rPr>
              <w:t>10.850,00 kn</w:t>
            </w:r>
          </w:p>
        </w:tc>
      </w:tr>
      <w:tr w:rsidTr="004A1770" w:rsidR="001B0464">
        <w:trPr>
          <w:trHeight w:val="300"/>
          <w:jc w:val="center"/>
        </w:trPr>
        <w:tc>
          <w:tcPr>
            <w:tcW w:type="dxa" w:w="1840"/>
            <w:tcBorders>
              <w:top w:val="nil"/>
              <w:left w:space="0" w:sz="4" w:color="auto" w:val="single"/>
              <w:bottom w:space="0" w:sz="4" w:color="auto" w:val="single"/>
              <w:right w:space="0" w:sz="4" w:color="auto" w:val="single"/>
            </w:tcBorders>
            <w:noWrap/>
            <w:vAlign w:val="bottom"/>
            <w:hideMark/>
          </w:tcPr>
          <w:p w:rsidRDefault="001B0464" w:rsidP="004A1770" w:rsidR="001B0464" w:rsidRPr="00E934F1">
            <w:pPr>
              <w:rPr>
                <w:color w:val="000000"/>
                <w:sz w:val="20"/>
                <w:szCs w:val="20"/>
              </w:rPr>
            </w:pPr>
            <w:r w:rsidRPr="00E934F1">
              <w:rPr>
                <w:color w:val="000000"/>
                <w:sz w:val="20"/>
                <w:szCs w:val="20"/>
              </w:rPr>
              <w:t>Tomulich Linda</w:t>
            </w:r>
          </w:p>
        </w:tc>
        <w:tc>
          <w:tcPr>
            <w:tcW w:type="dxa" w:w="2200"/>
            <w:tcBorders>
              <w:top w:val="nil"/>
              <w:left w:val="nil"/>
              <w:bottom w:space="0" w:sz="4" w:color="auto" w:val="single"/>
              <w:right w:space="0" w:sz="4" w:color="auto" w:val="single"/>
            </w:tcBorders>
            <w:noWrap/>
            <w:vAlign w:val="bottom"/>
            <w:hideMark/>
          </w:tcPr>
          <w:p w:rsidRDefault="001B0464" w:rsidP="004A1770" w:rsidR="001B0464" w:rsidRPr="00E934F1">
            <w:pPr>
              <w:jc w:val="right"/>
              <w:rPr>
                <w:color w:val="000000"/>
                <w:sz w:val="20"/>
                <w:szCs w:val="20"/>
              </w:rPr>
            </w:pPr>
            <w:r w:rsidRPr="00E934F1">
              <w:rPr>
                <w:color w:val="000000"/>
                <w:sz w:val="20"/>
                <w:szCs w:val="20"/>
              </w:rPr>
              <w:t>15.500,00 kn</w:t>
            </w:r>
          </w:p>
        </w:tc>
      </w:tr>
      <w:tr w:rsidTr="004A1770" w:rsidR="001B0464">
        <w:trPr>
          <w:trHeight w:val="300"/>
          <w:jc w:val="center"/>
        </w:trPr>
        <w:tc>
          <w:tcPr>
            <w:tcW w:type="dxa" w:w="1840"/>
            <w:tcBorders>
              <w:top w:val="nil"/>
              <w:left w:space="0" w:sz="4" w:color="auto" w:val="single"/>
              <w:bottom w:space="0" w:sz="4" w:color="auto" w:val="single"/>
              <w:right w:space="0" w:sz="4" w:color="auto" w:val="single"/>
            </w:tcBorders>
            <w:noWrap/>
            <w:vAlign w:val="bottom"/>
            <w:hideMark/>
          </w:tcPr>
          <w:p w:rsidRDefault="001B0464" w:rsidP="004A1770" w:rsidR="001B0464" w:rsidRPr="00E934F1">
            <w:pPr>
              <w:rPr>
                <w:color w:val="000000"/>
                <w:sz w:val="20"/>
                <w:szCs w:val="20"/>
              </w:rPr>
            </w:pPr>
            <w:r w:rsidRPr="00E934F1">
              <w:rPr>
                <w:color w:val="000000"/>
                <w:sz w:val="20"/>
                <w:szCs w:val="20"/>
              </w:rPr>
              <w:t>Niko Pašalić</w:t>
            </w:r>
          </w:p>
        </w:tc>
        <w:tc>
          <w:tcPr>
            <w:tcW w:type="dxa" w:w="2200"/>
            <w:tcBorders>
              <w:top w:val="nil"/>
              <w:left w:val="nil"/>
              <w:bottom w:space="0" w:sz="4" w:color="auto" w:val="single"/>
              <w:right w:space="0" w:sz="4" w:color="auto" w:val="single"/>
            </w:tcBorders>
            <w:noWrap/>
            <w:vAlign w:val="bottom"/>
            <w:hideMark/>
          </w:tcPr>
          <w:p w:rsidRDefault="001B0464" w:rsidP="004A1770" w:rsidR="001B0464" w:rsidRPr="00E934F1">
            <w:pPr>
              <w:jc w:val="right"/>
              <w:rPr>
                <w:color w:val="000000"/>
                <w:sz w:val="20"/>
                <w:szCs w:val="20"/>
              </w:rPr>
            </w:pPr>
            <w:r w:rsidRPr="00E934F1">
              <w:rPr>
                <w:color w:val="000000"/>
                <w:sz w:val="20"/>
                <w:szCs w:val="20"/>
              </w:rPr>
              <w:t>55.125,00 kn</w:t>
            </w:r>
          </w:p>
        </w:tc>
      </w:tr>
      <w:tr w:rsidTr="004A1770" w:rsidR="001B0464">
        <w:trPr>
          <w:trHeight w:val="300"/>
          <w:jc w:val="center"/>
        </w:trPr>
        <w:tc>
          <w:tcPr>
            <w:tcW w:type="dxa" w:w="1840"/>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1B0464" w:rsidP="004A1770" w:rsidR="001B0464" w:rsidRPr="00E934F1">
            <w:pPr>
              <w:jc w:val="center"/>
              <w:rPr>
                <w:bCs/>
                <w:sz w:val="20"/>
                <w:szCs w:val="20"/>
              </w:rPr>
            </w:pPr>
            <w:r w:rsidRPr="00E934F1">
              <w:rPr>
                <w:bCs/>
                <w:sz w:val="20"/>
                <w:szCs w:val="20"/>
              </w:rPr>
              <w:t>UKUPNO</w:t>
            </w:r>
          </w:p>
        </w:tc>
        <w:tc>
          <w:tcPr>
            <w:tcW w:type="dxa" w:w="2200"/>
            <w:tcBorders>
              <w:top w:space="0" w:sz="4" w:color="auto" w:val="single"/>
              <w:left w:val="nil"/>
              <w:bottom w:space="0" w:sz="4" w:color="auto" w:val="single"/>
              <w:right w:space="0" w:sz="4" w:color="auto" w:val="single"/>
            </w:tcBorders>
            <w:shd w:fill="auto" w:color="auto" w:val="clear"/>
            <w:noWrap/>
            <w:vAlign w:val="center"/>
            <w:hideMark/>
          </w:tcPr>
          <w:p w:rsidRDefault="001B0464" w:rsidP="004A1770" w:rsidR="001B0464" w:rsidRPr="00E934F1">
            <w:pPr>
              <w:jc w:val="center"/>
              <w:rPr>
                <w:bCs/>
                <w:sz w:val="20"/>
                <w:szCs w:val="20"/>
              </w:rPr>
            </w:pPr>
            <w:r w:rsidRPr="00E934F1">
              <w:rPr>
                <w:bCs/>
                <w:sz w:val="20"/>
                <w:szCs w:val="20"/>
              </w:rPr>
              <w:t>142.572,61 kn</w:t>
            </w:r>
          </w:p>
        </w:tc>
      </w:tr>
    </w:tbl>
    <w:p w:rsidRDefault="001B0464" w:rsidP="001B0464" w:rsidR="001B0464">
      <w:pPr>
        <w:pStyle w:val="Bezproreda"/>
        <w:rPr>
          <w:sz w:val="20"/>
          <w:szCs w:val="20"/>
        </w:rPr>
      </w:pPr>
    </w:p>
    <w:p w:rsidRDefault="001B0464" w:rsidP="001B0464" w:rsidR="001B0464" w:rsidRPr="00BE5639">
      <w:pPr>
        <w:pStyle w:val="Bezproreda"/>
        <w:rPr>
          <w:szCs w:val="24"/>
        </w:rPr>
      </w:pPr>
      <w:r>
        <w:rPr>
          <w:szCs w:val="24"/>
        </w:rPr>
        <w:tab/>
      </w:r>
      <w:r w:rsidRPr="00BE5639">
        <w:rPr>
          <w:szCs w:val="24"/>
        </w:rPr>
        <w:t>Zakonski zastupnik dužnika se očitovao da, vezano uz gornje, da ista potraživanja efektivno ne postoje, obzirom je riječ o potraživanjima koja su do sada sva već plaćena i namirena, te da nema mogućnosti naplate po istima. Nadalje, ističe da društvo nije pokretalo niti vodi</w:t>
      </w:r>
      <w:r w:rsidR="00C51058">
        <w:rPr>
          <w:szCs w:val="24"/>
        </w:rPr>
        <w:t>l</w:t>
      </w:r>
      <w:r w:rsidRPr="00BE5639">
        <w:rPr>
          <w:szCs w:val="24"/>
        </w:rPr>
        <w:t>o nikakve ovršne ili parnične postupke, a radi naplate svojih potraživanja.</w:t>
      </w:r>
    </w:p>
    <w:p w:rsidRDefault="001B0464" w:rsidP="001B0464" w:rsidR="001B0464" w:rsidRPr="00BE5639">
      <w:pPr>
        <w:pStyle w:val="Bezproreda"/>
        <w:rPr>
          <w:szCs w:val="24"/>
        </w:rPr>
      </w:pPr>
    </w:p>
    <w:p w:rsidRDefault="001B0464" w:rsidP="001B0464" w:rsidR="001B0464" w:rsidRPr="00BE5639">
      <w:pPr>
        <w:pStyle w:val="Bezproreda"/>
        <w:rPr>
          <w:szCs w:val="24"/>
        </w:rPr>
      </w:pPr>
      <w:r>
        <w:rPr>
          <w:szCs w:val="24"/>
        </w:rPr>
        <w:tab/>
      </w:r>
      <w:r w:rsidRPr="00BE5639">
        <w:rPr>
          <w:szCs w:val="24"/>
        </w:rPr>
        <w:t xml:space="preserve">Privremeni stečajni upravitelj drži, slijedom navedenoga, da ne postoji realna šansa naplate bilo kojeg od potraživanja. </w:t>
      </w:r>
    </w:p>
    <w:p w:rsidRDefault="001B0464" w:rsidP="001B0464" w:rsidR="001B0464">
      <w:pPr>
        <w:pStyle w:val="Bezproreda"/>
        <w:rPr>
          <w:sz w:val="20"/>
          <w:szCs w:val="20"/>
        </w:rPr>
      </w:pPr>
    </w:p>
    <w:p w:rsidRDefault="001B0464" w:rsidP="001B0464" w:rsidR="001B0464" w:rsidRPr="00BE5639">
      <w:pPr>
        <w:pStyle w:val="Bezproreda"/>
        <w:rPr>
          <w:szCs w:val="24"/>
        </w:rPr>
      </w:pPr>
      <w:r>
        <w:rPr>
          <w:szCs w:val="24"/>
        </w:rPr>
        <w:tab/>
      </w:r>
      <w:r w:rsidRPr="00BE5639">
        <w:rPr>
          <w:szCs w:val="24"/>
        </w:rPr>
        <w:t>Imovina koja bi ušla u stečajnu masu bi se sastojala od maksimalno 3.000,00 kn, koji bi iznos bio ostvaren prodajom pokretnina na kojima postoji razlučno pravo.</w:t>
      </w:r>
    </w:p>
    <w:p w:rsidRDefault="001B0464" w:rsidP="001B0464" w:rsidR="001B0464" w:rsidRPr="00BE5639">
      <w:pPr>
        <w:pStyle w:val="Bezproreda"/>
        <w:rPr>
          <w:szCs w:val="24"/>
        </w:rPr>
      </w:pPr>
    </w:p>
    <w:p w:rsidRDefault="001B0464" w:rsidP="001B0464" w:rsidR="001B0464" w:rsidRPr="00BE5639">
      <w:pPr>
        <w:pStyle w:val="Bezproreda"/>
        <w:rPr>
          <w:szCs w:val="24"/>
        </w:rPr>
      </w:pPr>
      <w:r>
        <w:rPr>
          <w:szCs w:val="24"/>
        </w:rPr>
        <w:tab/>
      </w:r>
      <w:r w:rsidRPr="00BE5639">
        <w:rPr>
          <w:szCs w:val="24"/>
        </w:rPr>
        <w:t>Troškovi stečajnog postupka se, za godinu dana trajanja postupka, procjenjuju u ukupnom iznosu od 25.300,00 k</w:t>
      </w:r>
      <w:r>
        <w:rPr>
          <w:szCs w:val="24"/>
        </w:rPr>
        <w:t>n</w:t>
      </w:r>
      <w:r w:rsidRPr="00BE5639">
        <w:rPr>
          <w:szCs w:val="24"/>
        </w:rPr>
        <w:t>, po pojedinačnoj specifikaciji:</w:t>
      </w:r>
    </w:p>
    <w:p w:rsidRDefault="001B0464" w:rsidP="001B0464" w:rsidR="001B0464">
      <w:pPr>
        <w:pStyle w:val="Bezproreda"/>
        <w:rPr>
          <w:sz w:val="20"/>
          <w:szCs w:val="20"/>
        </w:rPr>
      </w:pPr>
    </w:p>
    <w:tbl>
      <w:tblPr>
        <w:tblW w:type="dxa" w:w="7553"/>
        <w:jc w:val="center"/>
        <w:tblLook w:val="04A0" w:noVBand="1" w:noHBand="0" w:lastColumn="0" w:firstColumn="1" w:lastRow="0" w:firstRow="1"/>
      </w:tblPr>
      <w:tblGrid>
        <w:gridCol w:w="573"/>
        <w:gridCol w:w="5700"/>
        <w:gridCol w:w="1280"/>
      </w:tblGrid>
      <w:tr w:rsidTr="004A1770" w:rsidR="001B0464">
        <w:trPr>
          <w:trHeight w:val="540"/>
          <w:jc w:val="center"/>
        </w:trPr>
        <w:tc>
          <w:tcPr>
            <w:tcW w:type="dxa" w:w="573"/>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1B0464" w:rsidP="004A1770" w:rsidR="001B0464" w:rsidRPr="00BE5639">
            <w:pPr>
              <w:jc w:val="center"/>
              <w:rPr>
                <w:bCs/>
                <w:color w:val="000000"/>
                <w:sz w:val="20"/>
                <w:szCs w:val="20"/>
              </w:rPr>
            </w:pPr>
            <w:r w:rsidRPr="00BE5639">
              <w:rPr>
                <w:bCs/>
                <w:color w:val="000000"/>
                <w:sz w:val="20"/>
                <w:szCs w:val="20"/>
              </w:rPr>
              <w:t>r.br.</w:t>
            </w:r>
          </w:p>
        </w:tc>
        <w:tc>
          <w:tcPr>
            <w:tcW w:type="dxa" w:w="5700"/>
            <w:tcBorders>
              <w:top w:space="0" w:sz="4" w:color="auto" w:val="single"/>
              <w:left w:val="nil"/>
              <w:bottom w:space="0" w:sz="4" w:color="auto" w:val="single"/>
              <w:right w:space="0" w:sz="4" w:color="auto" w:val="single"/>
            </w:tcBorders>
            <w:shd w:fill="auto" w:color="auto" w:val="clear"/>
            <w:noWrap/>
            <w:vAlign w:val="center"/>
            <w:hideMark/>
          </w:tcPr>
          <w:p w:rsidRDefault="001B0464" w:rsidP="004A1770" w:rsidR="001B0464" w:rsidRPr="00BE5639">
            <w:pPr>
              <w:jc w:val="center"/>
              <w:rPr>
                <w:bCs/>
                <w:color w:val="000000"/>
                <w:sz w:val="20"/>
                <w:szCs w:val="20"/>
              </w:rPr>
            </w:pPr>
            <w:r w:rsidRPr="00BE5639">
              <w:rPr>
                <w:bCs/>
                <w:color w:val="000000"/>
                <w:sz w:val="20"/>
                <w:szCs w:val="20"/>
              </w:rPr>
              <w:t>Opis troška</w:t>
            </w:r>
          </w:p>
        </w:tc>
        <w:tc>
          <w:tcPr>
            <w:tcW w:type="dxa" w:w="1280"/>
            <w:tcBorders>
              <w:top w:space="0" w:sz="4" w:color="auto" w:val="single"/>
              <w:left w:val="nil"/>
              <w:bottom w:space="0" w:sz="4" w:color="auto" w:val="single"/>
              <w:right w:space="0" w:sz="4" w:color="auto" w:val="single"/>
            </w:tcBorders>
            <w:shd w:fill="auto" w:color="auto" w:val="clear"/>
            <w:noWrap/>
            <w:vAlign w:val="center"/>
            <w:hideMark/>
          </w:tcPr>
          <w:p w:rsidRDefault="001B0464" w:rsidP="004A1770" w:rsidR="001B0464" w:rsidRPr="00BE5639">
            <w:pPr>
              <w:jc w:val="center"/>
              <w:rPr>
                <w:bCs/>
                <w:color w:val="000000"/>
                <w:sz w:val="20"/>
                <w:szCs w:val="20"/>
              </w:rPr>
            </w:pPr>
            <w:r w:rsidRPr="00BE5639">
              <w:rPr>
                <w:bCs/>
                <w:color w:val="000000"/>
                <w:sz w:val="20"/>
                <w:szCs w:val="20"/>
              </w:rPr>
              <w:t>Iznos troška</w:t>
            </w:r>
          </w:p>
        </w:tc>
      </w:tr>
      <w:tr w:rsidTr="004A1770" w:rsidR="001B0464">
        <w:trPr>
          <w:trHeight w:val="300"/>
          <w:jc w:val="center"/>
        </w:trPr>
        <w:tc>
          <w:tcPr>
            <w:tcW w:type="dxa" w:w="573"/>
            <w:tcBorders>
              <w:top w:val="nil"/>
              <w:left w:space="0" w:sz="4" w:color="auto" w:val="single"/>
              <w:bottom w:space="0" w:sz="4" w:color="auto" w:val="single"/>
              <w:right w:space="0" w:sz="4" w:color="auto" w:val="single"/>
            </w:tcBorders>
            <w:noWrap/>
            <w:vAlign w:val="center"/>
            <w:hideMark/>
          </w:tcPr>
          <w:p w:rsidRDefault="001B0464" w:rsidP="004A1770" w:rsidR="001B0464" w:rsidRPr="00BE5639">
            <w:pPr>
              <w:jc w:val="center"/>
              <w:rPr>
                <w:color w:val="000000"/>
                <w:sz w:val="20"/>
                <w:szCs w:val="20"/>
              </w:rPr>
            </w:pPr>
            <w:r w:rsidRPr="00BE5639">
              <w:rPr>
                <w:color w:val="000000"/>
                <w:sz w:val="20"/>
                <w:szCs w:val="20"/>
              </w:rPr>
              <w:t>1</w:t>
            </w:r>
          </w:p>
        </w:tc>
        <w:tc>
          <w:tcPr>
            <w:tcW w:type="dxa" w:w="5700"/>
            <w:tcBorders>
              <w:top w:val="nil"/>
              <w:left w:val="nil"/>
              <w:bottom w:space="0" w:sz="4" w:color="auto" w:val="single"/>
              <w:right w:space="0" w:sz="4" w:color="auto" w:val="single"/>
            </w:tcBorders>
            <w:noWrap/>
            <w:vAlign w:val="bottom"/>
            <w:hideMark/>
          </w:tcPr>
          <w:p w:rsidRDefault="001B0464" w:rsidP="004A1770" w:rsidR="001B0464" w:rsidRPr="00BE5639">
            <w:pPr>
              <w:rPr>
                <w:color w:val="000000"/>
                <w:sz w:val="20"/>
                <w:szCs w:val="20"/>
              </w:rPr>
            </w:pPr>
            <w:r w:rsidRPr="00BE5639">
              <w:rPr>
                <w:color w:val="000000"/>
                <w:sz w:val="20"/>
                <w:szCs w:val="20"/>
              </w:rPr>
              <w:t>Trošak  računovodstvenih usluga (600,00 kn + PDV mjesečno)</w:t>
            </w:r>
          </w:p>
        </w:tc>
        <w:tc>
          <w:tcPr>
            <w:tcW w:type="dxa" w:w="1280"/>
            <w:tcBorders>
              <w:top w:val="nil"/>
              <w:left w:val="nil"/>
              <w:bottom w:space="0" w:sz="4" w:color="auto" w:val="single"/>
              <w:right w:space="0" w:sz="4" w:color="auto" w:val="single"/>
            </w:tcBorders>
            <w:noWrap/>
            <w:vAlign w:val="bottom"/>
            <w:hideMark/>
          </w:tcPr>
          <w:p w:rsidRDefault="001B0464" w:rsidP="004A1770" w:rsidR="001B0464" w:rsidRPr="00BE5639">
            <w:pPr>
              <w:jc w:val="right"/>
              <w:rPr>
                <w:color w:val="000000"/>
                <w:sz w:val="20"/>
                <w:szCs w:val="20"/>
              </w:rPr>
            </w:pPr>
            <w:r w:rsidRPr="00BE5639">
              <w:rPr>
                <w:color w:val="000000"/>
                <w:sz w:val="20"/>
                <w:szCs w:val="20"/>
              </w:rPr>
              <w:t>9.000,00 kn</w:t>
            </w:r>
          </w:p>
        </w:tc>
      </w:tr>
      <w:tr w:rsidTr="004A1770" w:rsidR="001B0464">
        <w:trPr>
          <w:trHeight w:val="300"/>
          <w:jc w:val="center"/>
        </w:trPr>
        <w:tc>
          <w:tcPr>
            <w:tcW w:type="dxa" w:w="573"/>
            <w:tcBorders>
              <w:top w:val="nil"/>
              <w:left w:space="0" w:sz="4" w:color="auto" w:val="single"/>
              <w:bottom w:space="0" w:sz="4" w:color="auto" w:val="single"/>
              <w:right w:space="0" w:sz="4" w:color="auto" w:val="single"/>
            </w:tcBorders>
            <w:noWrap/>
            <w:vAlign w:val="center"/>
            <w:hideMark/>
          </w:tcPr>
          <w:p w:rsidRDefault="001B0464" w:rsidP="004A1770" w:rsidR="001B0464" w:rsidRPr="00BE5639">
            <w:pPr>
              <w:jc w:val="center"/>
              <w:rPr>
                <w:color w:val="000000"/>
                <w:sz w:val="20"/>
                <w:szCs w:val="20"/>
              </w:rPr>
            </w:pPr>
            <w:r w:rsidRPr="00BE5639">
              <w:rPr>
                <w:color w:val="000000"/>
                <w:sz w:val="20"/>
                <w:szCs w:val="20"/>
              </w:rPr>
              <w:t>2</w:t>
            </w:r>
          </w:p>
        </w:tc>
        <w:tc>
          <w:tcPr>
            <w:tcW w:type="dxa" w:w="5700"/>
            <w:tcBorders>
              <w:top w:val="nil"/>
              <w:left w:val="nil"/>
              <w:bottom w:space="0" w:sz="4" w:color="auto" w:val="single"/>
              <w:right w:space="0" w:sz="4" w:color="auto" w:val="single"/>
            </w:tcBorders>
            <w:noWrap/>
            <w:vAlign w:val="bottom"/>
            <w:hideMark/>
          </w:tcPr>
          <w:p w:rsidRDefault="001B0464" w:rsidP="004A1770" w:rsidR="001B0464" w:rsidRPr="00BE5639">
            <w:pPr>
              <w:rPr>
                <w:color w:val="000000"/>
                <w:sz w:val="20"/>
                <w:szCs w:val="20"/>
              </w:rPr>
            </w:pPr>
            <w:r w:rsidRPr="00BE5639">
              <w:rPr>
                <w:color w:val="000000"/>
                <w:sz w:val="20"/>
                <w:szCs w:val="20"/>
              </w:rPr>
              <w:t>Trošak otvaranja, vođenje i zatvaranja računa</w:t>
            </w:r>
          </w:p>
        </w:tc>
        <w:tc>
          <w:tcPr>
            <w:tcW w:type="dxa" w:w="1280"/>
            <w:tcBorders>
              <w:top w:val="nil"/>
              <w:left w:val="nil"/>
              <w:bottom w:space="0" w:sz="4" w:color="auto" w:val="single"/>
              <w:right w:space="0" w:sz="4" w:color="auto" w:val="single"/>
            </w:tcBorders>
            <w:noWrap/>
            <w:vAlign w:val="bottom"/>
            <w:hideMark/>
          </w:tcPr>
          <w:p w:rsidRDefault="001B0464" w:rsidP="004A1770" w:rsidR="001B0464" w:rsidRPr="00BE5639">
            <w:pPr>
              <w:jc w:val="right"/>
              <w:rPr>
                <w:color w:val="000000"/>
                <w:sz w:val="20"/>
                <w:szCs w:val="20"/>
              </w:rPr>
            </w:pPr>
            <w:r w:rsidRPr="00BE5639">
              <w:rPr>
                <w:color w:val="000000"/>
                <w:sz w:val="20"/>
                <w:szCs w:val="20"/>
              </w:rPr>
              <w:t>2.500,00 kn</w:t>
            </w:r>
          </w:p>
        </w:tc>
      </w:tr>
      <w:tr w:rsidTr="004A1770" w:rsidR="001B0464">
        <w:trPr>
          <w:trHeight w:val="525"/>
          <w:jc w:val="center"/>
        </w:trPr>
        <w:tc>
          <w:tcPr>
            <w:tcW w:type="dxa" w:w="573"/>
            <w:tcBorders>
              <w:top w:val="nil"/>
              <w:left w:space="0" w:sz="4" w:color="auto" w:val="single"/>
              <w:bottom w:space="0" w:sz="4" w:color="auto" w:val="single"/>
              <w:right w:space="0" w:sz="4" w:color="auto" w:val="single"/>
            </w:tcBorders>
            <w:noWrap/>
            <w:vAlign w:val="center"/>
            <w:hideMark/>
          </w:tcPr>
          <w:p w:rsidRDefault="001B0464" w:rsidP="004A1770" w:rsidR="001B0464" w:rsidRPr="00BE5639">
            <w:pPr>
              <w:jc w:val="center"/>
              <w:rPr>
                <w:color w:val="000000"/>
                <w:sz w:val="20"/>
                <w:szCs w:val="20"/>
              </w:rPr>
            </w:pPr>
            <w:r w:rsidRPr="00BE5639">
              <w:rPr>
                <w:color w:val="000000"/>
                <w:sz w:val="20"/>
                <w:szCs w:val="20"/>
              </w:rPr>
              <w:t>3</w:t>
            </w:r>
          </w:p>
        </w:tc>
        <w:tc>
          <w:tcPr>
            <w:tcW w:type="dxa" w:w="5700"/>
            <w:tcBorders>
              <w:top w:val="nil"/>
              <w:left w:val="nil"/>
              <w:bottom w:space="0" w:sz="4" w:color="auto" w:val="single"/>
              <w:right w:space="0" w:sz="4" w:color="auto" w:val="single"/>
            </w:tcBorders>
            <w:vAlign w:val="bottom"/>
            <w:hideMark/>
          </w:tcPr>
          <w:p w:rsidRDefault="001B0464" w:rsidP="004A1770" w:rsidR="001B0464" w:rsidRPr="00BE5639">
            <w:pPr>
              <w:rPr>
                <w:color w:val="000000"/>
                <w:sz w:val="20"/>
                <w:szCs w:val="20"/>
              </w:rPr>
            </w:pPr>
            <w:r w:rsidRPr="00BE5639">
              <w:rPr>
                <w:color w:val="000000"/>
                <w:sz w:val="20"/>
                <w:szCs w:val="20"/>
              </w:rPr>
              <w:t>Drugi materijalni troškovi (trošak žiga, certifikata, uredskog</w:t>
            </w:r>
            <w:r w:rsidRPr="00BE5639">
              <w:rPr>
                <w:color w:val="000000"/>
                <w:sz w:val="20"/>
                <w:szCs w:val="20"/>
              </w:rPr>
              <w:br/>
              <w:t>materijala, materijalni troškovi stečajnog upravitelja i dr.)</w:t>
            </w:r>
          </w:p>
        </w:tc>
        <w:tc>
          <w:tcPr>
            <w:tcW w:type="dxa" w:w="1280"/>
            <w:tcBorders>
              <w:top w:val="nil"/>
              <w:left w:val="nil"/>
              <w:bottom w:space="0" w:sz="4" w:color="auto" w:val="single"/>
              <w:right w:space="0" w:sz="4" w:color="auto" w:val="single"/>
            </w:tcBorders>
            <w:noWrap/>
            <w:vAlign w:val="bottom"/>
            <w:hideMark/>
          </w:tcPr>
          <w:p w:rsidRDefault="001B0464" w:rsidP="004A1770" w:rsidR="001B0464" w:rsidRPr="00BE5639">
            <w:pPr>
              <w:jc w:val="right"/>
              <w:rPr>
                <w:color w:val="000000"/>
                <w:sz w:val="20"/>
                <w:szCs w:val="20"/>
              </w:rPr>
            </w:pPr>
            <w:r w:rsidRPr="00BE5639">
              <w:rPr>
                <w:color w:val="000000"/>
                <w:sz w:val="20"/>
                <w:szCs w:val="20"/>
              </w:rPr>
              <w:t>6.000,00 kn</w:t>
            </w:r>
          </w:p>
        </w:tc>
      </w:tr>
      <w:tr w:rsidTr="004A1770" w:rsidR="001B0464">
        <w:trPr>
          <w:trHeight w:val="300"/>
          <w:jc w:val="center"/>
        </w:trPr>
        <w:tc>
          <w:tcPr>
            <w:tcW w:type="dxa" w:w="573"/>
            <w:tcBorders>
              <w:top w:val="nil"/>
              <w:left w:space="0" w:sz="4" w:color="auto" w:val="single"/>
              <w:bottom w:space="0" w:sz="4" w:color="auto" w:val="single"/>
              <w:right w:space="0" w:sz="4" w:color="auto" w:val="single"/>
            </w:tcBorders>
            <w:noWrap/>
            <w:vAlign w:val="center"/>
            <w:hideMark/>
          </w:tcPr>
          <w:p w:rsidRDefault="001B0464" w:rsidP="004A1770" w:rsidR="001B0464" w:rsidRPr="00BE5639">
            <w:pPr>
              <w:jc w:val="center"/>
              <w:rPr>
                <w:color w:val="000000"/>
                <w:sz w:val="20"/>
                <w:szCs w:val="20"/>
              </w:rPr>
            </w:pPr>
            <w:r w:rsidRPr="00BE5639">
              <w:rPr>
                <w:color w:val="000000"/>
                <w:sz w:val="20"/>
                <w:szCs w:val="20"/>
              </w:rPr>
              <w:t>4</w:t>
            </w:r>
          </w:p>
        </w:tc>
        <w:tc>
          <w:tcPr>
            <w:tcW w:type="dxa" w:w="5700"/>
            <w:tcBorders>
              <w:top w:val="nil"/>
              <w:left w:val="nil"/>
              <w:bottom w:space="0" w:sz="4" w:color="auto" w:val="single"/>
              <w:right w:space="0" w:sz="4" w:color="auto" w:val="single"/>
            </w:tcBorders>
            <w:noWrap/>
            <w:vAlign w:val="bottom"/>
            <w:hideMark/>
          </w:tcPr>
          <w:p w:rsidRDefault="001B0464" w:rsidP="004A1770" w:rsidR="001B0464" w:rsidRPr="00BE5639">
            <w:pPr>
              <w:rPr>
                <w:color w:val="000000"/>
                <w:sz w:val="20"/>
                <w:szCs w:val="20"/>
              </w:rPr>
            </w:pPr>
            <w:r w:rsidRPr="00BE5639">
              <w:rPr>
                <w:color w:val="000000"/>
                <w:sz w:val="20"/>
                <w:szCs w:val="20"/>
              </w:rPr>
              <w:t>Trošak arhiviranja dokumentacije</w:t>
            </w:r>
          </w:p>
        </w:tc>
        <w:tc>
          <w:tcPr>
            <w:tcW w:type="dxa" w:w="1280"/>
            <w:tcBorders>
              <w:top w:val="nil"/>
              <w:left w:val="nil"/>
              <w:bottom w:space="0" w:sz="4" w:color="auto" w:val="single"/>
              <w:right w:space="0" w:sz="4" w:color="auto" w:val="single"/>
            </w:tcBorders>
            <w:noWrap/>
            <w:vAlign w:val="bottom"/>
            <w:hideMark/>
          </w:tcPr>
          <w:p w:rsidRDefault="001B0464" w:rsidP="004A1770" w:rsidR="001B0464" w:rsidRPr="00BE5639">
            <w:pPr>
              <w:jc w:val="right"/>
              <w:rPr>
                <w:color w:val="000000"/>
                <w:sz w:val="20"/>
                <w:szCs w:val="20"/>
              </w:rPr>
            </w:pPr>
            <w:r w:rsidRPr="00BE5639">
              <w:rPr>
                <w:color w:val="000000"/>
                <w:sz w:val="20"/>
                <w:szCs w:val="20"/>
              </w:rPr>
              <w:t>3.000,00 kn</w:t>
            </w:r>
          </w:p>
        </w:tc>
      </w:tr>
      <w:tr w:rsidTr="004A1770" w:rsidR="001B0464">
        <w:trPr>
          <w:trHeight w:val="300"/>
          <w:jc w:val="center"/>
        </w:trPr>
        <w:tc>
          <w:tcPr>
            <w:tcW w:type="dxa" w:w="573"/>
            <w:tcBorders>
              <w:top w:val="nil"/>
              <w:left w:space="0" w:sz="4" w:color="auto" w:val="single"/>
              <w:bottom w:space="0" w:sz="4" w:color="auto" w:val="single"/>
              <w:right w:space="0" w:sz="4" w:color="auto" w:val="single"/>
            </w:tcBorders>
            <w:noWrap/>
            <w:vAlign w:val="center"/>
            <w:hideMark/>
          </w:tcPr>
          <w:p w:rsidRDefault="001B0464" w:rsidP="004A1770" w:rsidR="001B0464" w:rsidRPr="00BE5639">
            <w:pPr>
              <w:jc w:val="center"/>
              <w:rPr>
                <w:color w:val="000000"/>
                <w:sz w:val="20"/>
                <w:szCs w:val="20"/>
              </w:rPr>
            </w:pPr>
            <w:r w:rsidRPr="00BE5639">
              <w:rPr>
                <w:color w:val="000000"/>
                <w:sz w:val="20"/>
                <w:szCs w:val="20"/>
              </w:rPr>
              <w:t>5</w:t>
            </w:r>
          </w:p>
        </w:tc>
        <w:tc>
          <w:tcPr>
            <w:tcW w:type="dxa" w:w="5700"/>
            <w:tcBorders>
              <w:top w:val="nil"/>
              <w:left w:val="nil"/>
              <w:bottom w:space="0" w:sz="4" w:color="auto" w:val="single"/>
              <w:right w:space="0" w:sz="4" w:color="auto" w:val="single"/>
            </w:tcBorders>
            <w:noWrap/>
            <w:vAlign w:val="bottom"/>
            <w:hideMark/>
          </w:tcPr>
          <w:p w:rsidRDefault="001B0464" w:rsidP="004A1770" w:rsidR="001B0464" w:rsidRPr="00BE5639">
            <w:pPr>
              <w:rPr>
                <w:color w:val="000000"/>
                <w:sz w:val="20"/>
                <w:szCs w:val="20"/>
              </w:rPr>
            </w:pPr>
            <w:r w:rsidRPr="00BE5639">
              <w:rPr>
                <w:color w:val="000000"/>
                <w:sz w:val="20"/>
                <w:szCs w:val="20"/>
              </w:rPr>
              <w:t>Trošak nagrade stečajnom upravitelju (za unovčenje od 30.000 kn)</w:t>
            </w:r>
          </w:p>
        </w:tc>
        <w:tc>
          <w:tcPr>
            <w:tcW w:type="dxa" w:w="1280"/>
            <w:tcBorders>
              <w:top w:val="nil"/>
              <w:left w:val="nil"/>
              <w:bottom w:space="0" w:sz="4" w:color="auto" w:val="single"/>
              <w:right w:space="0" w:sz="4" w:color="auto" w:val="single"/>
            </w:tcBorders>
            <w:noWrap/>
            <w:vAlign w:val="bottom"/>
            <w:hideMark/>
          </w:tcPr>
          <w:p w:rsidRDefault="001B0464" w:rsidP="004A1770" w:rsidR="001B0464" w:rsidRPr="00BE5639">
            <w:pPr>
              <w:jc w:val="right"/>
              <w:rPr>
                <w:color w:val="000000"/>
                <w:sz w:val="20"/>
                <w:szCs w:val="20"/>
              </w:rPr>
            </w:pPr>
            <w:r w:rsidRPr="00BE5639">
              <w:rPr>
                <w:color w:val="000000"/>
                <w:sz w:val="20"/>
                <w:szCs w:val="20"/>
              </w:rPr>
              <w:t>4.800,00 kn</w:t>
            </w:r>
          </w:p>
        </w:tc>
      </w:tr>
      <w:tr w:rsidTr="004A1770" w:rsidR="001B0464">
        <w:trPr>
          <w:trHeight w:val="300"/>
          <w:jc w:val="center"/>
        </w:trPr>
        <w:tc>
          <w:tcPr>
            <w:tcW w:type="dxa" w:w="573"/>
            <w:noWrap/>
            <w:vAlign w:val="bottom"/>
            <w:hideMark/>
          </w:tcPr>
          <w:p w:rsidRDefault="001B0464" w:rsidP="004A1770" w:rsidR="001B0464">
            <w:pPr>
              <w:spacing w:lineRule="auto" w:line="256"/>
              <w:rPr>
                <w:sz w:val="22"/>
                <w:szCs w:val="22"/>
                <w:lang w:eastAsia="en-US"/>
              </w:rPr>
            </w:pPr>
          </w:p>
        </w:tc>
        <w:tc>
          <w:tcPr>
            <w:tcW w:type="dxa" w:w="5700"/>
            <w:noWrap/>
            <w:vAlign w:val="bottom"/>
            <w:hideMark/>
          </w:tcPr>
          <w:p w:rsidRDefault="001B0464" w:rsidP="004A1770" w:rsidR="001B0464">
            <w:pPr>
              <w:spacing w:lineRule="auto" w:line="256"/>
              <w:rPr>
                <w:sz w:val="22"/>
                <w:szCs w:val="22"/>
                <w:lang w:eastAsia="en-US"/>
              </w:rPr>
            </w:pPr>
          </w:p>
        </w:tc>
        <w:tc>
          <w:tcPr>
            <w:tcW w:type="dxa" w:w="1280"/>
            <w:noWrap/>
            <w:vAlign w:val="bottom"/>
            <w:hideMark/>
          </w:tcPr>
          <w:p w:rsidRDefault="001B0464" w:rsidP="004A1770" w:rsidR="001B0464">
            <w:pPr>
              <w:spacing w:lineRule="auto" w:line="256"/>
              <w:rPr>
                <w:sz w:val="22"/>
                <w:szCs w:val="22"/>
                <w:lang w:eastAsia="en-US"/>
              </w:rPr>
            </w:pPr>
          </w:p>
        </w:tc>
      </w:tr>
    </w:tbl>
    <w:p w:rsidRDefault="001B0464" w:rsidP="001B0464" w:rsidR="001B0464" w:rsidRPr="007542A8">
      <w:pPr>
        <w:pStyle w:val="Bezproreda"/>
        <w:rPr>
          <w:rFonts w:cstheme="minorBidi" w:hAnsiTheme="minorHAnsi" w:asciiTheme="minorHAnsi"/>
          <w:szCs w:val="24"/>
        </w:rPr>
      </w:pPr>
      <w:r>
        <w:rPr>
          <w:szCs w:val="24"/>
        </w:rPr>
        <w:tab/>
      </w:r>
      <w:r w:rsidRPr="007542A8">
        <w:rPr>
          <w:szCs w:val="24"/>
        </w:rPr>
        <w:t>Imovina stečajnog dužnika nije dovoljna za pokriće troškova stečajnog postupka.</w:t>
      </w:r>
    </w:p>
    <w:p w:rsidRDefault="001B0464" w:rsidP="001B0464" w:rsidR="001B0464" w:rsidRPr="007542A8">
      <w:pPr>
        <w:pStyle w:val="Bezproreda"/>
        <w:jc w:val="center"/>
        <w:rPr>
          <w:szCs w:val="24"/>
        </w:rPr>
      </w:pPr>
    </w:p>
    <w:p w:rsidRDefault="001B0464" w:rsidP="001B0464" w:rsidR="001B0464" w:rsidRPr="007542A8">
      <w:pPr>
        <w:pStyle w:val="Bezproreda"/>
        <w:rPr>
          <w:szCs w:val="24"/>
        </w:rPr>
      </w:pPr>
      <w:r>
        <w:rPr>
          <w:szCs w:val="24"/>
        </w:rPr>
        <w:tab/>
      </w:r>
      <w:r w:rsidRPr="007542A8">
        <w:rPr>
          <w:szCs w:val="24"/>
        </w:rPr>
        <w:t xml:space="preserve">Privremeni stečajni upravitelj ističe da se analizom dostupne financijske i poslovne dokumentacije nije moglo utvrditi postojanje pobojnih pravnih radnji, te da dužnik u razdoblju od 4 </w:t>
      </w:r>
      <w:r w:rsidRPr="007542A8">
        <w:rPr>
          <w:szCs w:val="24"/>
        </w:rPr>
        <w:lastRenderedPageBreak/>
        <w:t>godine prije podnošenja prijedloga za otvaranje stečajnog postupka nije vršio radnje raspolaganja nekretninama niti pokretninama veće vrijednosti.</w:t>
      </w:r>
      <w:r>
        <w:rPr>
          <w:szCs w:val="24"/>
        </w:rPr>
        <w:t xml:space="preserve"> </w:t>
      </w:r>
      <w:r w:rsidRPr="007542A8">
        <w:rPr>
          <w:szCs w:val="24"/>
        </w:rPr>
        <w:t>Navedeno je potvrđeno i izjavom dužnika od 8.</w:t>
      </w:r>
      <w:r>
        <w:rPr>
          <w:szCs w:val="24"/>
        </w:rPr>
        <w:t>0</w:t>
      </w:r>
      <w:r w:rsidRPr="007542A8">
        <w:rPr>
          <w:szCs w:val="24"/>
        </w:rPr>
        <w:t>2.2018.</w:t>
      </w:r>
    </w:p>
    <w:p w:rsidRDefault="001B0464" w:rsidP="001B0464" w:rsidR="001B0464" w:rsidRPr="007542A8">
      <w:pPr>
        <w:pStyle w:val="Bezproreda"/>
        <w:rPr>
          <w:b/>
          <w:sz w:val="20"/>
          <w:szCs w:val="20"/>
        </w:rPr>
      </w:pPr>
    </w:p>
    <w:p w:rsidRDefault="001B0464" w:rsidP="001B0464" w:rsidR="001B0464">
      <w:pPr>
        <w:pStyle w:val="Bezproreda"/>
        <w:rPr>
          <w:szCs w:val="24"/>
        </w:rPr>
      </w:pPr>
      <w:r>
        <w:rPr>
          <w:szCs w:val="24"/>
        </w:rPr>
        <w:tab/>
      </w:r>
      <w:r w:rsidRPr="007542A8">
        <w:rPr>
          <w:szCs w:val="24"/>
        </w:rPr>
        <w:t>Privremeni stečajni upravitelj, obzirom je nesporno utvrđeno postojanje stečajnih razloga iz čl. 6. i 7. Stečajnog zakona, te obzirom da je utvrđeno kako imovina stečajnog dužnika nije dovoljna za pokriće troškova stečajnog postupka, predlaže postupiti sukladno čl. 132. Stečajnog zakona.</w:t>
      </w:r>
    </w:p>
    <w:p w:rsidRDefault="004A07A0" w:rsidP="001B0464" w:rsidR="004A07A0">
      <w:pPr>
        <w:ind w:firstLine="708"/>
        <w:jc w:val="both"/>
      </w:pPr>
    </w:p>
    <w:p w:rsidRDefault="004A07A0" w:rsidP="00744242" w:rsidR="004A07A0">
      <w:pPr>
        <w:jc w:val="both"/>
      </w:pPr>
      <w:r>
        <w:tab/>
        <w:t xml:space="preserve">Na ročištu </w:t>
      </w:r>
      <w:r w:rsidRPr="007912A0">
        <w:t xml:space="preserve">radi </w:t>
      </w:r>
      <w:r>
        <w:t xml:space="preserve">očitovanja o prijedlogu za otvaranje stečajnog postupka i ročište radi </w:t>
      </w:r>
      <w:r w:rsidRPr="007912A0">
        <w:t xml:space="preserve">rasprave o </w:t>
      </w:r>
      <w:r>
        <w:t>pretpostavkama</w:t>
      </w:r>
      <w:r w:rsidRPr="007912A0">
        <w:t xml:space="preserve"> za otvaranje stečajnog postupka nad dužnikom</w:t>
      </w:r>
      <w:r>
        <w:t xml:space="preserve"> održanom </w:t>
      </w:r>
      <w:r w:rsidR="004D24EC">
        <w:t>1</w:t>
      </w:r>
      <w:r w:rsidR="001B0464">
        <w:t>5</w:t>
      </w:r>
      <w:r>
        <w:t>.0</w:t>
      </w:r>
      <w:r w:rsidR="001B0464">
        <w:t>2</w:t>
      </w:r>
      <w:r>
        <w:t>.2018. privremen</w:t>
      </w:r>
      <w:r w:rsidR="001B0464">
        <w:t>i</w:t>
      </w:r>
      <w:r>
        <w:t xml:space="preserve"> stečajn</w:t>
      </w:r>
      <w:r w:rsidR="001B0464">
        <w:t>i</w:t>
      </w:r>
      <w:r>
        <w:t xml:space="preserve"> upravitelj je </w:t>
      </w:r>
      <w:r w:rsidR="00EC5635">
        <w:t>osta</w:t>
      </w:r>
      <w:r w:rsidR="001B0464">
        <w:t>o</w:t>
      </w:r>
      <w:r w:rsidR="00EC5635">
        <w:t xml:space="preserve"> u cijelosti kod svog izvješća.</w:t>
      </w:r>
    </w:p>
    <w:p w:rsidRDefault="001B0464" w:rsidP="00744242" w:rsidR="001B0464">
      <w:pPr>
        <w:jc w:val="both"/>
      </w:pPr>
    </w:p>
    <w:p w:rsidRDefault="00333FA3" w:rsidP="001B0464" w:rsidR="001B0464">
      <w:pPr>
        <w:pStyle w:val="Bezproreda"/>
        <w:rPr>
          <w:szCs w:val="24"/>
        </w:rPr>
      </w:pPr>
      <w:r>
        <w:rPr>
          <w:szCs w:val="24"/>
        </w:rPr>
        <w:tab/>
        <w:t>Zakonski zastupnik i prokurista s</w:t>
      </w:r>
      <w:r w:rsidR="001B0464">
        <w:rPr>
          <w:szCs w:val="24"/>
        </w:rPr>
        <w:t xml:space="preserve">uglasno </w:t>
      </w:r>
      <w:r w:rsidR="00C51058">
        <w:rPr>
          <w:szCs w:val="24"/>
        </w:rPr>
        <w:t xml:space="preserve">su </w:t>
      </w:r>
      <w:r w:rsidR="00AC2BD0">
        <w:rPr>
          <w:szCs w:val="24"/>
        </w:rPr>
        <w:t>izjav</w:t>
      </w:r>
      <w:r w:rsidR="00C51058">
        <w:rPr>
          <w:szCs w:val="24"/>
        </w:rPr>
        <w:t>ili</w:t>
      </w:r>
      <w:r w:rsidR="001B0464">
        <w:rPr>
          <w:szCs w:val="24"/>
        </w:rPr>
        <w:t xml:space="preserve"> da nemaju primjedbe na izvješće privremenog stečajnog upravitelja, kao ni dodatna pitanja na isto. Suglasi</w:t>
      </w:r>
      <w:r w:rsidR="00C51058">
        <w:rPr>
          <w:szCs w:val="24"/>
        </w:rPr>
        <w:t>li</w:t>
      </w:r>
      <w:r w:rsidR="001B0464">
        <w:rPr>
          <w:szCs w:val="24"/>
        </w:rPr>
        <w:t xml:space="preserve"> s</w:t>
      </w:r>
      <w:r>
        <w:rPr>
          <w:szCs w:val="24"/>
        </w:rPr>
        <w:t>u</w:t>
      </w:r>
      <w:r w:rsidR="001B0464">
        <w:rPr>
          <w:szCs w:val="24"/>
        </w:rPr>
        <w:t xml:space="preserve"> </w:t>
      </w:r>
      <w:r>
        <w:rPr>
          <w:szCs w:val="24"/>
        </w:rPr>
        <w:t xml:space="preserve">se </w:t>
      </w:r>
      <w:r w:rsidR="001B0464">
        <w:rPr>
          <w:szCs w:val="24"/>
        </w:rPr>
        <w:t>arhivsko gradivo stečajnog dužnika pohran</w:t>
      </w:r>
      <w:r>
        <w:rPr>
          <w:szCs w:val="24"/>
        </w:rPr>
        <w:t>i</w:t>
      </w:r>
      <w:r w:rsidR="001B0464">
        <w:rPr>
          <w:szCs w:val="24"/>
        </w:rPr>
        <w:t xml:space="preserve"> sukladno zakonskim propisima, te o istom dostav</w:t>
      </w:r>
      <w:r>
        <w:rPr>
          <w:szCs w:val="24"/>
        </w:rPr>
        <w:t>e</w:t>
      </w:r>
      <w:r w:rsidR="001B0464">
        <w:rPr>
          <w:szCs w:val="24"/>
        </w:rPr>
        <w:t xml:space="preserve"> dokaz u spis.</w:t>
      </w:r>
    </w:p>
    <w:p w:rsidRDefault="00643027" w:rsidP="001B0464" w:rsidR="00643027">
      <w:pPr>
        <w:pStyle w:val="Bezproreda"/>
        <w:rPr>
          <w:szCs w:val="24"/>
        </w:rPr>
      </w:pPr>
    </w:p>
    <w:p w:rsidRDefault="00643027" w:rsidP="00643027" w:rsidR="00643027">
      <w:pPr>
        <w:ind w:firstLine="708"/>
        <w:jc w:val="both"/>
      </w:pPr>
      <w:r>
        <w:t>Zakonski zastupnik ŽDO GUO Osijek nije imao primjedbi ni dodatnih pitanja na izvješće privremenog stečajnog upravitelja, suglasan je s istim.</w:t>
      </w:r>
    </w:p>
    <w:p w:rsidRDefault="00744242" w:rsidP="00744242" w:rsidR="00744242">
      <w:pPr>
        <w:jc w:val="both"/>
      </w:pPr>
    </w:p>
    <w:p w:rsidRDefault="00263420" w:rsidP="00263420" w:rsidR="00263420">
      <w:pPr>
        <w:ind w:firstLine="708"/>
        <w:jc w:val="both"/>
      </w:pPr>
      <w:r>
        <w:t xml:space="preserve">Sud je svojim rješenjem od </w:t>
      </w:r>
      <w:r w:rsidR="004D24EC">
        <w:t>1</w:t>
      </w:r>
      <w:r w:rsidR="00643027">
        <w:t>5</w:t>
      </w:r>
      <w:r>
        <w:t>.</w:t>
      </w:r>
      <w:r w:rsidR="009C7B45">
        <w:t>0</w:t>
      </w:r>
      <w:r w:rsidR="00643027">
        <w:t>2</w:t>
      </w:r>
      <w:r>
        <w:t>.201</w:t>
      </w:r>
      <w:r w:rsidR="009C7B45">
        <w:t>8</w:t>
      </w:r>
      <w:r>
        <w:t xml:space="preserve">. pozvao osobe koje imaju pravni interes da se provede stečajni postupak nad ovim dužnikom na uplatu predujma u iznosu od </w:t>
      </w:r>
      <w:r w:rsidR="00643027">
        <w:t>25</w:t>
      </w:r>
      <w:r w:rsidR="007B5B96" w:rsidRPr="007B5B96">
        <w:t>.</w:t>
      </w:r>
      <w:r w:rsidR="00643027">
        <w:t>30</w:t>
      </w:r>
      <w:r w:rsidR="007B5B96" w:rsidRPr="007B5B96">
        <w:t xml:space="preserve">0,00 </w:t>
      </w:r>
      <w:r>
        <w:t xml:space="preserve">kn </w:t>
      </w:r>
      <w:r w:rsidR="00395094">
        <w:t xml:space="preserve">i to </w:t>
      </w:r>
      <w:r w:rsidR="00582768" w:rsidRPr="00582768">
        <w:t>Trošak  računovodstvenih usluga (600,00 kn + PDV mjesečno) u iznosu od 9.000,00 kn, Trošak otvaranja, vođenje i zatvaranja računa u iznosu od 2.500,00 kn, Drugi materijalni troškovi (trošak žiga, certifikata, uredskog</w:t>
      </w:r>
      <w:r w:rsidR="00582768">
        <w:t xml:space="preserve"> </w:t>
      </w:r>
      <w:r w:rsidR="00582768" w:rsidRPr="00582768">
        <w:t>materijala, materijalni troškovi stečajnog upravitelja i dr.) u iznosu o 6.000,00 kn, Trošak arhiviranja dokumentacije u iznosu od 3.000,00 kn i Trošak nagrade stečajnom upravitelju (za unovčenje od 30.000 kn) u iznosu od 4.800,00 kn</w:t>
      </w:r>
      <w:r w:rsidR="00582768">
        <w:t xml:space="preserve"> </w:t>
      </w:r>
      <w:r>
        <w:t xml:space="preserve">u roku od 15 dana. </w:t>
      </w:r>
    </w:p>
    <w:p w:rsidRDefault="00263420" w:rsidP="00263420" w:rsidR="00263420">
      <w:pPr>
        <w:ind w:firstLine="708"/>
        <w:jc w:val="both"/>
      </w:pPr>
    </w:p>
    <w:p w:rsidRDefault="00263420" w:rsidP="00A275FE" w:rsidR="00171372">
      <w:pPr>
        <w:ind w:firstLine="708"/>
        <w:jc w:val="both"/>
      </w:pPr>
      <w:r>
        <w:t xml:space="preserve">Nakon bezuspješnog proteka roka za uplatu zatraženoga predujma troškova, te uvida u dokumentaciju u spisu i to Izvadak iz sudskog registra, </w:t>
      </w:r>
      <w:r w:rsidR="00582768">
        <w:t>Uvjerenje MUP, PU Karlovačka, Služba upravnih i inspekcijskih poslova od 5.01.2018.,</w:t>
      </w:r>
      <w:r w:rsidR="00A81576">
        <w:t xml:space="preserve"> Potvrdu Općinskog suda u Karlovcu, zk odjel Karlovac od 9.01.2018., Dopis FINE od 19.01.2018., Izvješće privremenog stečajnog upravitelja od 8.02.2018. (4 stranice),</w:t>
      </w:r>
      <w:r w:rsidR="00DC1161">
        <w:t xml:space="preserve"> Potvrda FINE o blokadi računa i novčanih sredstava ovršenika od 8.02.2018., Analitička kartica plaće 1, 2, 3, 4 i 5 od 31.12.2017.,</w:t>
      </w:r>
      <w:r w:rsidR="002C26AB">
        <w:t xml:space="preserve"> Bilanca stanja na dan 31.12.2016., Bilanca stanja na dan 31.12.2017., Stanje dugotrajne imovine do 31.12.2017., Preslik prometne dozvole, Promet kupaca od 1.01. do 31.12.2017.</w:t>
      </w:r>
      <w:r w:rsidR="00B20A32">
        <w:t>, Izjava dužnika od 8.02.2018. (3 izjave), Žalva vjerovnika od 21.02.2018., Rješenje o ovrsi MF, PU, Područni ured središnja Hrvatska od 27.03.2017.,</w:t>
      </w:r>
      <w:r w:rsidR="009A6ACC">
        <w:t xml:space="preserve"> Dopis MF, PU, Područni ured Karlovac </w:t>
      </w:r>
      <w:r w:rsidR="00C41ADB">
        <w:t>od 7.02.2018., Odgovor na žalbu i</w:t>
      </w:r>
      <w:r w:rsidR="009A6ACC">
        <w:t xml:space="preserve"> Rješenje VTS RH broj 44 Pž-1891/2018-2 od 4.04.2018.</w:t>
      </w:r>
      <w:r w:rsidR="00C41E35">
        <w:t xml:space="preserve">, </w:t>
      </w:r>
      <w:r>
        <w:t xml:space="preserve">sud je utvrdio da postoji stečajni razlog predviđen zakonom (čl. 6. st. 2. SZ-a), da je predlagatelj ovlašten za podnošenje predmetnog prijedloga </w:t>
      </w:r>
      <w:r w:rsidRPr="00EA735A">
        <w:t>(</w:t>
      </w:r>
      <w:r>
        <w:t xml:space="preserve">čl. </w:t>
      </w:r>
      <w:r w:rsidR="00625592" w:rsidRPr="00625592">
        <w:t>110. st. 1</w:t>
      </w:r>
      <w:r w:rsidR="00625592">
        <w:t xml:space="preserve">. </w:t>
      </w:r>
      <w:r w:rsidRPr="00EA735A">
        <w:t>SZ-a)</w:t>
      </w:r>
      <w:r>
        <w:t>, da dužnik nema imovinu koja bi ušla u stečajnu masu, te je sud temeljem čl. 132. SZ-a odlučio kao u izreci.</w:t>
      </w:r>
    </w:p>
    <w:p w:rsidRDefault="00A275FE" w:rsidP="00A275FE" w:rsidR="00A275FE">
      <w:pPr>
        <w:pStyle w:val="Tijeloteksta"/>
        <w:jc w:val="center"/>
      </w:pPr>
      <w:r w:rsidRPr="00CE5270">
        <w:t xml:space="preserve">U Osijeku </w:t>
      </w:r>
      <w:r w:rsidR="00C41ADB">
        <w:t>24</w:t>
      </w:r>
      <w:r w:rsidR="00DB2D45" w:rsidRPr="00DB2D45">
        <w:t xml:space="preserve">. svibnja </w:t>
      </w:r>
      <w:r w:rsidR="006E0DC4" w:rsidRPr="006E0DC4">
        <w:t>2018</w:t>
      </w:r>
      <w:r w:rsidRPr="00CE5270">
        <w:t xml:space="preserve">. </w:t>
      </w:r>
    </w:p>
    <w:p w:rsidRDefault="00171372" w:rsidP="00A275FE" w:rsidR="00171372" w:rsidRPr="00CE5270">
      <w:pPr>
        <w:pStyle w:val="Tijeloteksta"/>
        <w:jc w:val="center"/>
      </w:pPr>
    </w:p>
    <w:p w:rsidRDefault="00A275FE" w:rsidP="00A275FE" w:rsidR="00A275FE" w:rsidRPr="00CE5270">
      <w:pPr>
        <w:pStyle w:val="Tijeloteksta"/>
      </w:pPr>
      <w:r w:rsidRPr="00CE5270">
        <w:t>Zapisničar:</w:t>
      </w:r>
      <w:r w:rsidRPr="00CE5270">
        <w:tab/>
      </w:r>
      <w:r w:rsidRPr="00CE5270">
        <w:tab/>
      </w:r>
      <w:r w:rsidRPr="00CE5270">
        <w:tab/>
      </w:r>
      <w:r w:rsidRPr="00CE5270">
        <w:tab/>
      </w:r>
      <w:r w:rsidRPr="00CE5270">
        <w:tab/>
      </w:r>
      <w:r w:rsidRPr="00CE5270">
        <w:tab/>
      </w:r>
      <w:r w:rsidRPr="00CE5270">
        <w:tab/>
      </w:r>
      <w:r w:rsidRPr="00CE5270">
        <w:tab/>
        <w:t>STEČAJNI SUDAC:</w:t>
      </w:r>
    </w:p>
    <w:p w:rsidRDefault="00A275FE" w:rsidP="00A275FE" w:rsidR="00A275FE">
      <w:pPr>
        <w:pStyle w:val="Tijeloteksta"/>
      </w:pPr>
      <w:r w:rsidRPr="00CE5270">
        <w:t>Elizabeta Đeke</w:t>
      </w:r>
      <w:r w:rsidRPr="00CE5270">
        <w:tab/>
      </w:r>
      <w:r>
        <w:rPr>
          <w:b/>
          <w:bCs/>
        </w:rPr>
        <w:tab/>
      </w:r>
      <w:r>
        <w:rPr>
          <w:b/>
          <w:bCs/>
        </w:rPr>
        <w:tab/>
      </w:r>
      <w:r>
        <w:rPr>
          <w:b/>
          <w:bCs/>
        </w:rPr>
        <w:tab/>
      </w:r>
      <w:r>
        <w:rPr>
          <w:b/>
          <w:bCs/>
        </w:rPr>
        <w:tab/>
        <w:t xml:space="preserve">                   </w:t>
      </w:r>
      <w:r w:rsidRPr="00CE5270">
        <w:t xml:space="preserve">mr. sc. </w:t>
      </w:r>
      <w:r>
        <w:t>Tihomir Kovačević</w:t>
      </w:r>
    </w:p>
    <w:p w:rsidRDefault="00A275FE" w:rsidP="00A275FE" w:rsidR="00A275FE">
      <w:pPr>
        <w:pStyle w:val="Tijeloteksta"/>
      </w:pPr>
    </w:p>
    <w:p w:rsidRDefault="00A275FE" w:rsidP="00A275FE" w:rsidR="00A275FE" w:rsidRPr="0038021C">
      <w:pPr>
        <w:pStyle w:val="Tijeloteksta"/>
      </w:pPr>
      <w:r w:rsidRPr="003E14CC">
        <w:rPr>
          <w:bCs/>
        </w:rPr>
        <w:t>UPUTA O PRAVNOM LIJEKU:</w:t>
      </w:r>
    </w:p>
    <w:p w:rsidRDefault="00A275FE" w:rsidP="00A275FE" w:rsidR="00A275FE">
      <w:pPr>
        <w:pStyle w:val="Tijeloteksta"/>
        <w:rPr>
          <w:bCs/>
        </w:rPr>
      </w:pPr>
      <w:r w:rsidRPr="003E14CC">
        <w:rPr>
          <w:bCs/>
        </w:rPr>
        <w:t>Protiv ovog rješenja može nezadovoljna stranka uložiti žalbu Visokom trgovačkom sudu Republike Hrvatske u Zagrebu u roku od 8 dana pismeno u 3 primjerka putem ovog suda.</w:t>
      </w:r>
    </w:p>
    <w:p w:rsidRDefault="00FD0353" w:rsidP="00A275FE" w:rsidR="00FD0353">
      <w:pPr>
        <w:pStyle w:val="Tijeloteksta"/>
        <w:rPr>
          <w:bCs/>
        </w:rPr>
      </w:pPr>
    </w:p>
    <w:p w:rsidRDefault="00A52A5F" w:rsidP="00A275FE" w:rsidR="00A52A5F" w:rsidRPr="0057598B">
      <w:pPr>
        <w:pStyle w:val="Tijeloteksta"/>
        <w:rPr>
          <w:bCs/>
        </w:rPr>
      </w:pPr>
    </w:p>
    <w:p w:rsidRDefault="00A275FE" w:rsidP="00A275FE" w:rsidR="00A275FE" w:rsidRPr="00CE5270">
      <w:pPr>
        <w:jc w:val="both"/>
      </w:pPr>
      <w:r w:rsidRPr="00CE5270">
        <w:t>D N A :</w:t>
      </w:r>
    </w:p>
    <w:p w:rsidRDefault="00A275FE" w:rsidP="00D932C4" w:rsidR="00A275FE">
      <w:pPr>
        <w:numPr>
          <w:ilvl w:val="0"/>
          <w:numId w:val="2"/>
        </w:numPr>
        <w:rPr>
          <w:bCs/>
        </w:rPr>
      </w:pPr>
      <w:r w:rsidRPr="00FF6293">
        <w:rPr>
          <w:bCs/>
        </w:rPr>
        <w:t>Stečajn</w:t>
      </w:r>
      <w:r w:rsidR="00C41ADB">
        <w:rPr>
          <w:bCs/>
        </w:rPr>
        <w:t>i</w:t>
      </w:r>
      <w:r w:rsidRPr="00FF6293">
        <w:rPr>
          <w:bCs/>
        </w:rPr>
        <w:t xml:space="preserve"> upravitel</w:t>
      </w:r>
      <w:r>
        <w:rPr>
          <w:bCs/>
        </w:rPr>
        <w:t>j</w:t>
      </w:r>
      <w:r w:rsidR="0073784D">
        <w:rPr>
          <w:bCs/>
        </w:rPr>
        <w:t xml:space="preserve"> </w:t>
      </w:r>
      <w:r w:rsidR="00C41ADB">
        <w:rPr>
          <w:bCs/>
        </w:rPr>
        <w:t>Krešimir Tomac</w:t>
      </w:r>
      <w:r>
        <w:rPr>
          <w:bCs/>
        </w:rPr>
        <w:t xml:space="preserve"> </w:t>
      </w:r>
    </w:p>
    <w:p w:rsidRDefault="00992DC9" w:rsidP="00D932C4" w:rsidR="007308FE">
      <w:pPr>
        <w:numPr>
          <w:ilvl w:val="0"/>
          <w:numId w:val="2"/>
        </w:numPr>
        <w:jc w:val="both"/>
        <w:rPr>
          <w:bCs/>
        </w:rPr>
      </w:pPr>
      <w:r>
        <w:rPr>
          <w:bCs/>
        </w:rPr>
        <w:t>predlagatelju na njihov poslovni broj</w:t>
      </w:r>
    </w:p>
    <w:p w:rsidRDefault="004D441C" w:rsidP="00D932C4" w:rsidR="00A275FE" w:rsidRPr="006A0D23">
      <w:pPr>
        <w:numPr>
          <w:ilvl w:val="0"/>
          <w:numId w:val="2"/>
        </w:numPr>
        <w:jc w:val="both"/>
        <w:rPr>
          <w:bCs/>
        </w:rPr>
      </w:pPr>
      <w:r>
        <w:rPr>
          <w:bCs/>
        </w:rPr>
        <w:t>ŽDO GUO Osijek</w:t>
      </w:r>
    </w:p>
    <w:p w:rsidRDefault="00A275FE" w:rsidP="00D932C4" w:rsidR="00A275FE">
      <w:pPr>
        <w:numPr>
          <w:ilvl w:val="0"/>
          <w:numId w:val="2"/>
        </w:numPr>
        <w:jc w:val="both"/>
        <w:rPr>
          <w:bCs/>
        </w:rPr>
      </w:pPr>
      <w:r>
        <w:rPr>
          <w:bCs/>
        </w:rPr>
        <w:t>dužnik</w:t>
      </w:r>
    </w:p>
    <w:p w:rsidRDefault="00A275FE" w:rsidP="00992DC9" w:rsidR="00A275FE" w:rsidRPr="007E6923">
      <w:pPr>
        <w:numPr>
          <w:ilvl w:val="0"/>
          <w:numId w:val="2"/>
        </w:numPr>
        <w:jc w:val="both"/>
        <w:rPr>
          <w:bCs/>
        </w:rPr>
      </w:pPr>
      <w:r>
        <w:rPr>
          <w:bCs/>
        </w:rPr>
        <w:t xml:space="preserve">zakonski zastupnik dužnika </w:t>
      </w:r>
      <w:r w:rsidR="00C41ADB" w:rsidRPr="00C83C17">
        <w:t>Marija Franušić, Karlovac, Gornje Mekušje 49</w:t>
      </w:r>
    </w:p>
    <w:p w:rsidRDefault="00A275FE" w:rsidP="00D932C4" w:rsidR="00A275FE">
      <w:pPr>
        <w:numPr>
          <w:ilvl w:val="0"/>
          <w:numId w:val="2"/>
        </w:numPr>
        <w:jc w:val="both"/>
        <w:rPr>
          <w:bCs/>
        </w:rPr>
      </w:pPr>
      <w:r>
        <w:rPr>
          <w:bCs/>
        </w:rPr>
        <w:t>FINA</w:t>
      </w:r>
    </w:p>
    <w:p w:rsidRDefault="00A275FE" w:rsidP="00D932C4" w:rsidR="00A275FE" w:rsidRPr="005A6B71">
      <w:pPr>
        <w:numPr>
          <w:ilvl w:val="0"/>
          <w:numId w:val="2"/>
        </w:numPr>
        <w:jc w:val="both"/>
      </w:pPr>
      <w:r w:rsidRPr="005A6B71">
        <w:t xml:space="preserve">mrežna stranica e-Oglasna ploča sudova </w:t>
      </w:r>
    </w:p>
    <w:p w:rsidRDefault="00A275FE" w:rsidP="00D932C4" w:rsidR="00A275FE" w:rsidRPr="007E6923">
      <w:pPr>
        <w:numPr>
          <w:ilvl w:val="0"/>
          <w:numId w:val="2"/>
        </w:numPr>
        <w:jc w:val="both"/>
        <w:rPr>
          <w:bCs/>
        </w:rPr>
      </w:pPr>
      <w:r>
        <w:t>sudski registar, odmah i nakon pravomoćnosti</w:t>
      </w:r>
    </w:p>
    <w:p w:rsidRDefault="00A275FE" w:rsidP="00D932C4" w:rsidR="00A275FE" w:rsidRPr="00120904">
      <w:pPr>
        <w:numPr>
          <w:ilvl w:val="0"/>
          <w:numId w:val="2"/>
        </w:numPr>
        <w:jc w:val="both"/>
        <w:rPr>
          <w:bCs/>
        </w:rPr>
      </w:pPr>
      <w:r>
        <w:t>Ministarstvo pravosuđa, nakon pravomoćnosti – elektroničkom poštom</w:t>
      </w:r>
    </w:p>
    <w:p w:rsidRDefault="00A275FE" w:rsidP="00D932C4" w:rsidR="00D82937" w:rsidRPr="0073784D">
      <w:pPr>
        <w:numPr>
          <w:ilvl w:val="0"/>
          <w:numId w:val="2"/>
        </w:numPr>
        <w:jc w:val="both"/>
        <w:rPr>
          <w:bCs/>
        </w:rPr>
      </w:pPr>
      <w:r>
        <w:t>riješeno otvaranjem i zaključenjem</w:t>
      </w:r>
    </w:p>
    <w:sectPr w:rsidSect="00E54B2F" w:rsidR="00D82937" w:rsidRPr="0073784D">
      <w:headerReference w:type="even" r:id="rId11"/>
      <w:headerReference w:type="default" r:id="rId12"/>
      <w:headerReference w:type="first" r:id="rId13"/>
      <w:pgSz w:h="16838" w:w="11906"/>
      <w:pgMar w:gutter="0" w:footer="709" w:header="737" w:left="1134" w:bottom="1418" w:right="1133" w:top="1418"/>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7EEA" w:rsidR="009B7EEA">
      <w:r>
        <w:separator/>
      </w:r>
    </w:p>
  </w:endnote>
  <w:endnote w:id="0" w:type="continuationSeparator">
    <w:p w:rsidRDefault="009B7EEA" w:rsidR="009B7EE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7EEA" w:rsidR="009B7EEA">
      <w:r>
        <w:separator/>
      </w:r>
    </w:p>
  </w:footnote>
  <w:footnote w:id="0" w:type="continuationSeparator">
    <w:p w:rsidRDefault="009B7EEA" w:rsidR="009B7EE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A5CB5" w:rsidR="00AA5C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75CA5">
      <w:rPr>
        <w:rStyle w:val="Brojstranice"/>
        <w:noProof/>
      </w:rPr>
      <w:t>6</w:t>
    </w:r>
    <w:r>
      <w:rPr>
        <w:rStyle w:val="Brojstranice"/>
      </w:rPr>
      <w:fldChar w:fldCharType="end"/>
    </w:r>
  </w:p>
  <w:p w:rsidRDefault="008D414A" w:rsidP="008D414A" w:rsidR="00A4485C">
    <w:pPr>
      <w:pStyle w:val="Zaglavlje"/>
      <w:jc w:val="right"/>
    </w:pPr>
    <w:r w:rsidRPr="008D414A">
      <w:t>14 St-</w:t>
    </w:r>
    <w:r w:rsidR="00390B1D" w:rsidRPr="00390B1D">
      <w:t>123</w:t>
    </w:r>
    <w:r w:rsidR="00941451">
      <w:t>1</w:t>
    </w:r>
    <w:r w:rsidR="00390B1D" w:rsidRPr="00390B1D">
      <w:t>/17-28</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P="00EF311F" w:rsidR="00AA5CB5">
    <w:pPr>
      <w:pStyle w:val="Zaglavlje"/>
    </w:pP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3"/>
    <w:multiLevelType w:val="singleLevel"/>
    <w:tmpl w:val="00000003"/>
    <w:name w:val="WW8Num3"/>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38B9436D"/>
    <w:multiLevelType w:val="hybridMultilevel"/>
    <w:tmpl w:val="04405C7C"/>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
    <w:nsid w:val="57216028"/>
    <w:multiLevelType w:val="hybridMultilevel"/>
    <w:tmpl w:val="CFE4DA5E"/>
    <w:lvl w:tplc="0BE6C054" w:ilvl="0">
      <w:start w:val="2"/>
      <w:numFmt w:val="bullet"/>
      <w:lvlText w:val="-"/>
      <w:lvlJc w:val="left"/>
      <w:pPr>
        <w:ind w:hanging="360" w:left="720"/>
      </w:pPr>
      <w:rPr>
        <w:rFonts w:eastAsiaTheme="minorHAnsi" w:cs="Calibri" w:hAnsi="Calibri" w:ascii="Calibri"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3"/>
  </w:num>
  <w:num w:numId="2">
    <w:abstractNumId w:val="1"/>
  </w:num>
  <w:num w:numId="3">
    <w:abstractNumId w:val="2"/>
  </w:num>
  <w:num w:numId="4">
    <w:abstractNumId w:val="4"/>
  </w:num>
  <w:numIdMacAtCleanup w:val="3"/>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hdrShapeDefaults>
    <o:shapedefaults v:ext="edit" spidmax="4505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F56D0"/>
    <w:rsid w:val="0000049F"/>
    <w:rsid w:val="00001615"/>
    <w:rsid w:val="00001EAF"/>
    <w:rsid w:val="000026FC"/>
    <w:rsid w:val="00002C36"/>
    <w:rsid w:val="00003118"/>
    <w:rsid w:val="00004186"/>
    <w:rsid w:val="00005FC5"/>
    <w:rsid w:val="00012628"/>
    <w:rsid w:val="0001459D"/>
    <w:rsid w:val="00015D1F"/>
    <w:rsid w:val="0002036A"/>
    <w:rsid w:val="00020AF7"/>
    <w:rsid w:val="00021048"/>
    <w:rsid w:val="00026EA4"/>
    <w:rsid w:val="00027CF2"/>
    <w:rsid w:val="000315D2"/>
    <w:rsid w:val="000376CB"/>
    <w:rsid w:val="00040A11"/>
    <w:rsid w:val="00043D09"/>
    <w:rsid w:val="00045AA7"/>
    <w:rsid w:val="00050374"/>
    <w:rsid w:val="00053911"/>
    <w:rsid w:val="0005414C"/>
    <w:rsid w:val="0005461F"/>
    <w:rsid w:val="00060B7E"/>
    <w:rsid w:val="0006344B"/>
    <w:rsid w:val="00063E93"/>
    <w:rsid w:val="00063F2C"/>
    <w:rsid w:val="00064483"/>
    <w:rsid w:val="00064829"/>
    <w:rsid w:val="00064EFD"/>
    <w:rsid w:val="000678E4"/>
    <w:rsid w:val="0007330F"/>
    <w:rsid w:val="000779B5"/>
    <w:rsid w:val="00086877"/>
    <w:rsid w:val="00090D7D"/>
    <w:rsid w:val="000919CC"/>
    <w:rsid w:val="00092079"/>
    <w:rsid w:val="0009386A"/>
    <w:rsid w:val="00094187"/>
    <w:rsid w:val="00094F59"/>
    <w:rsid w:val="00095AC3"/>
    <w:rsid w:val="00096B65"/>
    <w:rsid w:val="00097C50"/>
    <w:rsid w:val="000A0C0C"/>
    <w:rsid w:val="000A149E"/>
    <w:rsid w:val="000A202F"/>
    <w:rsid w:val="000A2338"/>
    <w:rsid w:val="000A4629"/>
    <w:rsid w:val="000A5421"/>
    <w:rsid w:val="000B0546"/>
    <w:rsid w:val="000B3E17"/>
    <w:rsid w:val="000B48AB"/>
    <w:rsid w:val="000C0364"/>
    <w:rsid w:val="000C0AF5"/>
    <w:rsid w:val="000C0F59"/>
    <w:rsid w:val="000C3216"/>
    <w:rsid w:val="000C4691"/>
    <w:rsid w:val="000C4895"/>
    <w:rsid w:val="000D26A7"/>
    <w:rsid w:val="000D4C55"/>
    <w:rsid w:val="000D70AE"/>
    <w:rsid w:val="000D70B0"/>
    <w:rsid w:val="000D7970"/>
    <w:rsid w:val="000E1BA8"/>
    <w:rsid w:val="000E2E37"/>
    <w:rsid w:val="000E536C"/>
    <w:rsid w:val="000E6DE9"/>
    <w:rsid w:val="000F0156"/>
    <w:rsid w:val="000F20D6"/>
    <w:rsid w:val="000F2157"/>
    <w:rsid w:val="000F21C9"/>
    <w:rsid w:val="000F23A5"/>
    <w:rsid w:val="000F5B01"/>
    <w:rsid w:val="000F608C"/>
    <w:rsid w:val="000F6B1E"/>
    <w:rsid w:val="00100595"/>
    <w:rsid w:val="00100D26"/>
    <w:rsid w:val="001011D9"/>
    <w:rsid w:val="001012F2"/>
    <w:rsid w:val="00101441"/>
    <w:rsid w:val="00102E0A"/>
    <w:rsid w:val="00104A09"/>
    <w:rsid w:val="00110D67"/>
    <w:rsid w:val="00113479"/>
    <w:rsid w:val="00114738"/>
    <w:rsid w:val="00116795"/>
    <w:rsid w:val="0012080B"/>
    <w:rsid w:val="00120904"/>
    <w:rsid w:val="001209D9"/>
    <w:rsid w:val="001237C6"/>
    <w:rsid w:val="001240B6"/>
    <w:rsid w:val="001258DC"/>
    <w:rsid w:val="00126F44"/>
    <w:rsid w:val="0012798C"/>
    <w:rsid w:val="00130410"/>
    <w:rsid w:val="00131891"/>
    <w:rsid w:val="0013200D"/>
    <w:rsid w:val="001327DD"/>
    <w:rsid w:val="00133E78"/>
    <w:rsid w:val="00134946"/>
    <w:rsid w:val="00134BBA"/>
    <w:rsid w:val="00135843"/>
    <w:rsid w:val="00136FA7"/>
    <w:rsid w:val="00144315"/>
    <w:rsid w:val="00145B27"/>
    <w:rsid w:val="00147DA9"/>
    <w:rsid w:val="001520D4"/>
    <w:rsid w:val="001541D6"/>
    <w:rsid w:val="0015603C"/>
    <w:rsid w:val="00161244"/>
    <w:rsid w:val="00164728"/>
    <w:rsid w:val="00167082"/>
    <w:rsid w:val="00167529"/>
    <w:rsid w:val="00171372"/>
    <w:rsid w:val="00171D97"/>
    <w:rsid w:val="00172206"/>
    <w:rsid w:val="0017275D"/>
    <w:rsid w:val="00173463"/>
    <w:rsid w:val="00176CD0"/>
    <w:rsid w:val="00177160"/>
    <w:rsid w:val="001813CE"/>
    <w:rsid w:val="00181FB3"/>
    <w:rsid w:val="001828AD"/>
    <w:rsid w:val="0018448F"/>
    <w:rsid w:val="00190A39"/>
    <w:rsid w:val="00191753"/>
    <w:rsid w:val="0019289D"/>
    <w:rsid w:val="00194395"/>
    <w:rsid w:val="00196B20"/>
    <w:rsid w:val="001A01E2"/>
    <w:rsid w:val="001A18C9"/>
    <w:rsid w:val="001A32E7"/>
    <w:rsid w:val="001A35EF"/>
    <w:rsid w:val="001A598A"/>
    <w:rsid w:val="001A6806"/>
    <w:rsid w:val="001A6C80"/>
    <w:rsid w:val="001B0464"/>
    <w:rsid w:val="001B1BBE"/>
    <w:rsid w:val="001B41AB"/>
    <w:rsid w:val="001B5CF9"/>
    <w:rsid w:val="001B6658"/>
    <w:rsid w:val="001B6AF0"/>
    <w:rsid w:val="001C0C30"/>
    <w:rsid w:val="001C3141"/>
    <w:rsid w:val="001C4228"/>
    <w:rsid w:val="001C6FB3"/>
    <w:rsid w:val="001D0543"/>
    <w:rsid w:val="001D6769"/>
    <w:rsid w:val="001E38F1"/>
    <w:rsid w:val="001E4DEA"/>
    <w:rsid w:val="001E6F5B"/>
    <w:rsid w:val="001F3746"/>
    <w:rsid w:val="001F3963"/>
    <w:rsid w:val="002056BE"/>
    <w:rsid w:val="002060E6"/>
    <w:rsid w:val="00207F03"/>
    <w:rsid w:val="002112BD"/>
    <w:rsid w:val="002121FD"/>
    <w:rsid w:val="002124B5"/>
    <w:rsid w:val="00212859"/>
    <w:rsid w:val="002129E4"/>
    <w:rsid w:val="0021350E"/>
    <w:rsid w:val="00214564"/>
    <w:rsid w:val="0021619E"/>
    <w:rsid w:val="00221980"/>
    <w:rsid w:val="00223F57"/>
    <w:rsid w:val="00230009"/>
    <w:rsid w:val="002301B1"/>
    <w:rsid w:val="00231182"/>
    <w:rsid w:val="00233904"/>
    <w:rsid w:val="00236255"/>
    <w:rsid w:val="002368D6"/>
    <w:rsid w:val="00236C71"/>
    <w:rsid w:val="0023721E"/>
    <w:rsid w:val="002401C0"/>
    <w:rsid w:val="002406A4"/>
    <w:rsid w:val="00243375"/>
    <w:rsid w:val="00247C23"/>
    <w:rsid w:val="00250D0D"/>
    <w:rsid w:val="00251566"/>
    <w:rsid w:val="00254AC7"/>
    <w:rsid w:val="0025547E"/>
    <w:rsid w:val="00255A48"/>
    <w:rsid w:val="00255F2A"/>
    <w:rsid w:val="002578E0"/>
    <w:rsid w:val="0026080C"/>
    <w:rsid w:val="00260DF5"/>
    <w:rsid w:val="00263420"/>
    <w:rsid w:val="002662BA"/>
    <w:rsid w:val="00270749"/>
    <w:rsid w:val="0027262B"/>
    <w:rsid w:val="00272A58"/>
    <w:rsid w:val="00274FF8"/>
    <w:rsid w:val="00275CA5"/>
    <w:rsid w:val="002774C8"/>
    <w:rsid w:val="002778B5"/>
    <w:rsid w:val="00280054"/>
    <w:rsid w:val="00281A89"/>
    <w:rsid w:val="00281F25"/>
    <w:rsid w:val="002850F9"/>
    <w:rsid w:val="002917E4"/>
    <w:rsid w:val="00291F97"/>
    <w:rsid w:val="0029361A"/>
    <w:rsid w:val="00294498"/>
    <w:rsid w:val="002947B1"/>
    <w:rsid w:val="0029611B"/>
    <w:rsid w:val="0029683E"/>
    <w:rsid w:val="002A0621"/>
    <w:rsid w:val="002A15EB"/>
    <w:rsid w:val="002A18B2"/>
    <w:rsid w:val="002A2563"/>
    <w:rsid w:val="002A4249"/>
    <w:rsid w:val="002A4C4C"/>
    <w:rsid w:val="002A5134"/>
    <w:rsid w:val="002B2795"/>
    <w:rsid w:val="002B27B2"/>
    <w:rsid w:val="002B2EA4"/>
    <w:rsid w:val="002B38E4"/>
    <w:rsid w:val="002B577C"/>
    <w:rsid w:val="002B692E"/>
    <w:rsid w:val="002C26AB"/>
    <w:rsid w:val="002C5995"/>
    <w:rsid w:val="002C741D"/>
    <w:rsid w:val="002C7A8C"/>
    <w:rsid w:val="002D074C"/>
    <w:rsid w:val="002D2F4D"/>
    <w:rsid w:val="002D46AA"/>
    <w:rsid w:val="002D7C9F"/>
    <w:rsid w:val="002E1744"/>
    <w:rsid w:val="002E602C"/>
    <w:rsid w:val="002E71F0"/>
    <w:rsid w:val="002E7E68"/>
    <w:rsid w:val="002F0F52"/>
    <w:rsid w:val="002F217A"/>
    <w:rsid w:val="002F2BDD"/>
    <w:rsid w:val="002F2D04"/>
    <w:rsid w:val="002F51EA"/>
    <w:rsid w:val="00300D3D"/>
    <w:rsid w:val="003028DD"/>
    <w:rsid w:val="00302AAF"/>
    <w:rsid w:val="00303D2C"/>
    <w:rsid w:val="0031484B"/>
    <w:rsid w:val="00314C61"/>
    <w:rsid w:val="00316C5C"/>
    <w:rsid w:val="00316FFC"/>
    <w:rsid w:val="00321753"/>
    <w:rsid w:val="003276D1"/>
    <w:rsid w:val="00330B1A"/>
    <w:rsid w:val="00331612"/>
    <w:rsid w:val="00331C4B"/>
    <w:rsid w:val="00331FEA"/>
    <w:rsid w:val="00333D72"/>
    <w:rsid w:val="00333FA3"/>
    <w:rsid w:val="00337C0C"/>
    <w:rsid w:val="003403A4"/>
    <w:rsid w:val="00340F87"/>
    <w:rsid w:val="00342126"/>
    <w:rsid w:val="0034231B"/>
    <w:rsid w:val="003432C4"/>
    <w:rsid w:val="0034372F"/>
    <w:rsid w:val="00346187"/>
    <w:rsid w:val="00346CAA"/>
    <w:rsid w:val="003474EC"/>
    <w:rsid w:val="00347FF7"/>
    <w:rsid w:val="00350190"/>
    <w:rsid w:val="0035233E"/>
    <w:rsid w:val="00353A41"/>
    <w:rsid w:val="00363CA7"/>
    <w:rsid w:val="00364D25"/>
    <w:rsid w:val="0036549D"/>
    <w:rsid w:val="003656AF"/>
    <w:rsid w:val="003707F2"/>
    <w:rsid w:val="00370DF9"/>
    <w:rsid w:val="00373FD3"/>
    <w:rsid w:val="00374830"/>
    <w:rsid w:val="00377D2B"/>
    <w:rsid w:val="00377D50"/>
    <w:rsid w:val="0038021C"/>
    <w:rsid w:val="0038168C"/>
    <w:rsid w:val="00382145"/>
    <w:rsid w:val="00387BA2"/>
    <w:rsid w:val="00390B1D"/>
    <w:rsid w:val="0039329E"/>
    <w:rsid w:val="00395094"/>
    <w:rsid w:val="00396C39"/>
    <w:rsid w:val="00397083"/>
    <w:rsid w:val="00397A9F"/>
    <w:rsid w:val="003A0936"/>
    <w:rsid w:val="003A0BE9"/>
    <w:rsid w:val="003A18EA"/>
    <w:rsid w:val="003A1FB2"/>
    <w:rsid w:val="003A2AB8"/>
    <w:rsid w:val="003A52F9"/>
    <w:rsid w:val="003A5E93"/>
    <w:rsid w:val="003A6023"/>
    <w:rsid w:val="003A6694"/>
    <w:rsid w:val="003A78F2"/>
    <w:rsid w:val="003B3048"/>
    <w:rsid w:val="003C1615"/>
    <w:rsid w:val="003C1D01"/>
    <w:rsid w:val="003C60D7"/>
    <w:rsid w:val="003C6EE6"/>
    <w:rsid w:val="003D0A6F"/>
    <w:rsid w:val="003E04C1"/>
    <w:rsid w:val="003E14CC"/>
    <w:rsid w:val="003E2B91"/>
    <w:rsid w:val="003E4D21"/>
    <w:rsid w:val="003E4EC4"/>
    <w:rsid w:val="003E5553"/>
    <w:rsid w:val="003E66F9"/>
    <w:rsid w:val="003E6CE3"/>
    <w:rsid w:val="003F013F"/>
    <w:rsid w:val="003F0155"/>
    <w:rsid w:val="003F34DE"/>
    <w:rsid w:val="003F3BA4"/>
    <w:rsid w:val="003F560B"/>
    <w:rsid w:val="003F6F31"/>
    <w:rsid w:val="0040029D"/>
    <w:rsid w:val="00403559"/>
    <w:rsid w:val="004054AE"/>
    <w:rsid w:val="00405F0F"/>
    <w:rsid w:val="00406A18"/>
    <w:rsid w:val="00410487"/>
    <w:rsid w:val="004109AE"/>
    <w:rsid w:val="00413EB1"/>
    <w:rsid w:val="004177DA"/>
    <w:rsid w:val="004202FF"/>
    <w:rsid w:val="00420B1D"/>
    <w:rsid w:val="00421439"/>
    <w:rsid w:val="00422E6E"/>
    <w:rsid w:val="00424471"/>
    <w:rsid w:val="004256E2"/>
    <w:rsid w:val="00425770"/>
    <w:rsid w:val="00426E44"/>
    <w:rsid w:val="00430147"/>
    <w:rsid w:val="00431224"/>
    <w:rsid w:val="004314BF"/>
    <w:rsid w:val="00432296"/>
    <w:rsid w:val="00432F41"/>
    <w:rsid w:val="0043304A"/>
    <w:rsid w:val="00433582"/>
    <w:rsid w:val="00433673"/>
    <w:rsid w:val="00434031"/>
    <w:rsid w:val="0043430F"/>
    <w:rsid w:val="00434FDD"/>
    <w:rsid w:val="00435338"/>
    <w:rsid w:val="00435595"/>
    <w:rsid w:val="0043594C"/>
    <w:rsid w:val="00436053"/>
    <w:rsid w:val="00437009"/>
    <w:rsid w:val="00440B92"/>
    <w:rsid w:val="00441214"/>
    <w:rsid w:val="00443DBA"/>
    <w:rsid w:val="004442D7"/>
    <w:rsid w:val="00444676"/>
    <w:rsid w:val="004459F6"/>
    <w:rsid w:val="00447A10"/>
    <w:rsid w:val="004555EA"/>
    <w:rsid w:val="00457214"/>
    <w:rsid w:val="0046661E"/>
    <w:rsid w:val="0046741D"/>
    <w:rsid w:val="0047011E"/>
    <w:rsid w:val="00470477"/>
    <w:rsid w:val="00471518"/>
    <w:rsid w:val="00474A13"/>
    <w:rsid w:val="00475136"/>
    <w:rsid w:val="004804E4"/>
    <w:rsid w:val="004811C8"/>
    <w:rsid w:val="0048351B"/>
    <w:rsid w:val="00484117"/>
    <w:rsid w:val="00487212"/>
    <w:rsid w:val="004903C1"/>
    <w:rsid w:val="0049062B"/>
    <w:rsid w:val="004946FD"/>
    <w:rsid w:val="004949F8"/>
    <w:rsid w:val="00495E73"/>
    <w:rsid w:val="004964C6"/>
    <w:rsid w:val="004A07A0"/>
    <w:rsid w:val="004A21FF"/>
    <w:rsid w:val="004A23EE"/>
    <w:rsid w:val="004A26BA"/>
    <w:rsid w:val="004A36C6"/>
    <w:rsid w:val="004A5FF4"/>
    <w:rsid w:val="004A6116"/>
    <w:rsid w:val="004A7A6D"/>
    <w:rsid w:val="004A7D5A"/>
    <w:rsid w:val="004B06EB"/>
    <w:rsid w:val="004B2D34"/>
    <w:rsid w:val="004B41C5"/>
    <w:rsid w:val="004B4213"/>
    <w:rsid w:val="004B6964"/>
    <w:rsid w:val="004B6CE6"/>
    <w:rsid w:val="004B6D60"/>
    <w:rsid w:val="004C1235"/>
    <w:rsid w:val="004C24DF"/>
    <w:rsid w:val="004C2963"/>
    <w:rsid w:val="004C2E39"/>
    <w:rsid w:val="004C31FA"/>
    <w:rsid w:val="004C3730"/>
    <w:rsid w:val="004C3D8B"/>
    <w:rsid w:val="004C57E4"/>
    <w:rsid w:val="004D0926"/>
    <w:rsid w:val="004D0F1F"/>
    <w:rsid w:val="004D24EC"/>
    <w:rsid w:val="004D2DD9"/>
    <w:rsid w:val="004D2F39"/>
    <w:rsid w:val="004D3504"/>
    <w:rsid w:val="004D3838"/>
    <w:rsid w:val="004D3FE6"/>
    <w:rsid w:val="004D40C7"/>
    <w:rsid w:val="004D441C"/>
    <w:rsid w:val="004D5765"/>
    <w:rsid w:val="004D626E"/>
    <w:rsid w:val="004D69BA"/>
    <w:rsid w:val="004E6AA8"/>
    <w:rsid w:val="004E6B28"/>
    <w:rsid w:val="004E6E8F"/>
    <w:rsid w:val="004F3B75"/>
    <w:rsid w:val="004F5283"/>
    <w:rsid w:val="004F64FE"/>
    <w:rsid w:val="004F6788"/>
    <w:rsid w:val="004F74FC"/>
    <w:rsid w:val="005012CB"/>
    <w:rsid w:val="00501F94"/>
    <w:rsid w:val="00502A7A"/>
    <w:rsid w:val="00506C06"/>
    <w:rsid w:val="00506FE1"/>
    <w:rsid w:val="0051026B"/>
    <w:rsid w:val="0051094F"/>
    <w:rsid w:val="005111B5"/>
    <w:rsid w:val="0051258E"/>
    <w:rsid w:val="00513A00"/>
    <w:rsid w:val="005141EF"/>
    <w:rsid w:val="00514287"/>
    <w:rsid w:val="00515693"/>
    <w:rsid w:val="00516444"/>
    <w:rsid w:val="00516BDB"/>
    <w:rsid w:val="005177C0"/>
    <w:rsid w:val="00520998"/>
    <w:rsid w:val="00523F2C"/>
    <w:rsid w:val="00527D15"/>
    <w:rsid w:val="00530EA5"/>
    <w:rsid w:val="00532204"/>
    <w:rsid w:val="00534FFE"/>
    <w:rsid w:val="0053640D"/>
    <w:rsid w:val="0053687C"/>
    <w:rsid w:val="00536C9D"/>
    <w:rsid w:val="005377EA"/>
    <w:rsid w:val="00537813"/>
    <w:rsid w:val="00537C93"/>
    <w:rsid w:val="005464F5"/>
    <w:rsid w:val="005470E7"/>
    <w:rsid w:val="0054748A"/>
    <w:rsid w:val="00547C33"/>
    <w:rsid w:val="00550004"/>
    <w:rsid w:val="00551798"/>
    <w:rsid w:val="00552516"/>
    <w:rsid w:val="005529CE"/>
    <w:rsid w:val="00554F07"/>
    <w:rsid w:val="00554F67"/>
    <w:rsid w:val="00557979"/>
    <w:rsid w:val="00560BA6"/>
    <w:rsid w:val="005616C0"/>
    <w:rsid w:val="00566567"/>
    <w:rsid w:val="005666E9"/>
    <w:rsid w:val="005666F0"/>
    <w:rsid w:val="00566B1F"/>
    <w:rsid w:val="00571224"/>
    <w:rsid w:val="00572565"/>
    <w:rsid w:val="0057598B"/>
    <w:rsid w:val="00575C71"/>
    <w:rsid w:val="00576247"/>
    <w:rsid w:val="00576680"/>
    <w:rsid w:val="00577C02"/>
    <w:rsid w:val="00580089"/>
    <w:rsid w:val="0058230D"/>
    <w:rsid w:val="00582768"/>
    <w:rsid w:val="005827DD"/>
    <w:rsid w:val="0058333A"/>
    <w:rsid w:val="00583A89"/>
    <w:rsid w:val="005848C3"/>
    <w:rsid w:val="005854F4"/>
    <w:rsid w:val="00587E1F"/>
    <w:rsid w:val="005905CE"/>
    <w:rsid w:val="00592287"/>
    <w:rsid w:val="00593583"/>
    <w:rsid w:val="00593883"/>
    <w:rsid w:val="00594071"/>
    <w:rsid w:val="005A083C"/>
    <w:rsid w:val="005A13AB"/>
    <w:rsid w:val="005A2629"/>
    <w:rsid w:val="005A3C82"/>
    <w:rsid w:val="005A43F3"/>
    <w:rsid w:val="005A4C6B"/>
    <w:rsid w:val="005A592F"/>
    <w:rsid w:val="005A5DE3"/>
    <w:rsid w:val="005A6B71"/>
    <w:rsid w:val="005A6F89"/>
    <w:rsid w:val="005A7619"/>
    <w:rsid w:val="005B30CF"/>
    <w:rsid w:val="005B44CF"/>
    <w:rsid w:val="005B4799"/>
    <w:rsid w:val="005C0D30"/>
    <w:rsid w:val="005C1824"/>
    <w:rsid w:val="005C20D9"/>
    <w:rsid w:val="005C3BEC"/>
    <w:rsid w:val="005C44A4"/>
    <w:rsid w:val="005C7298"/>
    <w:rsid w:val="005D0C63"/>
    <w:rsid w:val="005D1A87"/>
    <w:rsid w:val="005D55E9"/>
    <w:rsid w:val="005D7EFD"/>
    <w:rsid w:val="005E0475"/>
    <w:rsid w:val="005E3D32"/>
    <w:rsid w:val="005F1F2A"/>
    <w:rsid w:val="005F5F1E"/>
    <w:rsid w:val="005F61B5"/>
    <w:rsid w:val="0060006D"/>
    <w:rsid w:val="006046EC"/>
    <w:rsid w:val="006109EE"/>
    <w:rsid w:val="00610AC5"/>
    <w:rsid w:val="006110B1"/>
    <w:rsid w:val="00613D6F"/>
    <w:rsid w:val="00614C73"/>
    <w:rsid w:val="00616B2E"/>
    <w:rsid w:val="0062179D"/>
    <w:rsid w:val="00622FF2"/>
    <w:rsid w:val="00624925"/>
    <w:rsid w:val="00625592"/>
    <w:rsid w:val="00625D51"/>
    <w:rsid w:val="006331BF"/>
    <w:rsid w:val="0063504F"/>
    <w:rsid w:val="006403A0"/>
    <w:rsid w:val="00640EDA"/>
    <w:rsid w:val="00642487"/>
    <w:rsid w:val="00643027"/>
    <w:rsid w:val="006439BF"/>
    <w:rsid w:val="00644FC4"/>
    <w:rsid w:val="00645F75"/>
    <w:rsid w:val="0065114E"/>
    <w:rsid w:val="00652A6D"/>
    <w:rsid w:val="00655055"/>
    <w:rsid w:val="00655210"/>
    <w:rsid w:val="0065632C"/>
    <w:rsid w:val="00656E68"/>
    <w:rsid w:val="006575C2"/>
    <w:rsid w:val="00660064"/>
    <w:rsid w:val="00660BDE"/>
    <w:rsid w:val="006622A9"/>
    <w:rsid w:val="0066419B"/>
    <w:rsid w:val="006658BA"/>
    <w:rsid w:val="006660FE"/>
    <w:rsid w:val="006667EE"/>
    <w:rsid w:val="006675FD"/>
    <w:rsid w:val="0066772D"/>
    <w:rsid w:val="00671C21"/>
    <w:rsid w:val="006805A0"/>
    <w:rsid w:val="00680628"/>
    <w:rsid w:val="006816F1"/>
    <w:rsid w:val="006857FA"/>
    <w:rsid w:val="006861E7"/>
    <w:rsid w:val="00691909"/>
    <w:rsid w:val="006944E2"/>
    <w:rsid w:val="0069650E"/>
    <w:rsid w:val="006A0D23"/>
    <w:rsid w:val="006A2D4B"/>
    <w:rsid w:val="006A63A7"/>
    <w:rsid w:val="006A7327"/>
    <w:rsid w:val="006B033E"/>
    <w:rsid w:val="006B114C"/>
    <w:rsid w:val="006B406F"/>
    <w:rsid w:val="006B4610"/>
    <w:rsid w:val="006B6866"/>
    <w:rsid w:val="006C041B"/>
    <w:rsid w:val="006C0C10"/>
    <w:rsid w:val="006C2677"/>
    <w:rsid w:val="006C4500"/>
    <w:rsid w:val="006C4FAF"/>
    <w:rsid w:val="006C55C7"/>
    <w:rsid w:val="006D20F8"/>
    <w:rsid w:val="006D27C4"/>
    <w:rsid w:val="006D410B"/>
    <w:rsid w:val="006D42B0"/>
    <w:rsid w:val="006D6088"/>
    <w:rsid w:val="006E0D4C"/>
    <w:rsid w:val="006E0DC4"/>
    <w:rsid w:val="006E289A"/>
    <w:rsid w:val="006E2A1F"/>
    <w:rsid w:val="006E320C"/>
    <w:rsid w:val="006E4610"/>
    <w:rsid w:val="006E7DED"/>
    <w:rsid w:val="006F14A1"/>
    <w:rsid w:val="006F16C6"/>
    <w:rsid w:val="006F26D5"/>
    <w:rsid w:val="006F4AB1"/>
    <w:rsid w:val="006F520E"/>
    <w:rsid w:val="006F5314"/>
    <w:rsid w:val="006F5782"/>
    <w:rsid w:val="006F6E5E"/>
    <w:rsid w:val="006F7ED9"/>
    <w:rsid w:val="00701CD2"/>
    <w:rsid w:val="00703147"/>
    <w:rsid w:val="00703691"/>
    <w:rsid w:val="007108EC"/>
    <w:rsid w:val="00714C5D"/>
    <w:rsid w:val="00717C72"/>
    <w:rsid w:val="00720D87"/>
    <w:rsid w:val="00722CF7"/>
    <w:rsid w:val="00722FD9"/>
    <w:rsid w:val="00723626"/>
    <w:rsid w:val="00724EF9"/>
    <w:rsid w:val="0072531B"/>
    <w:rsid w:val="0072700E"/>
    <w:rsid w:val="00727687"/>
    <w:rsid w:val="00727F52"/>
    <w:rsid w:val="00727F8B"/>
    <w:rsid w:val="0073027D"/>
    <w:rsid w:val="007308FE"/>
    <w:rsid w:val="00730DFD"/>
    <w:rsid w:val="00733110"/>
    <w:rsid w:val="00733D7B"/>
    <w:rsid w:val="007351DC"/>
    <w:rsid w:val="0073784D"/>
    <w:rsid w:val="00741461"/>
    <w:rsid w:val="00742585"/>
    <w:rsid w:val="00743FC2"/>
    <w:rsid w:val="00744242"/>
    <w:rsid w:val="0074465A"/>
    <w:rsid w:val="0074648D"/>
    <w:rsid w:val="00746AC0"/>
    <w:rsid w:val="0074759D"/>
    <w:rsid w:val="007501E7"/>
    <w:rsid w:val="00752BA1"/>
    <w:rsid w:val="00752C83"/>
    <w:rsid w:val="0075466B"/>
    <w:rsid w:val="00755937"/>
    <w:rsid w:val="00756DA0"/>
    <w:rsid w:val="00756E9F"/>
    <w:rsid w:val="0076063D"/>
    <w:rsid w:val="007609DB"/>
    <w:rsid w:val="00761E18"/>
    <w:rsid w:val="007628B9"/>
    <w:rsid w:val="007649AE"/>
    <w:rsid w:val="00764E0A"/>
    <w:rsid w:val="007653A1"/>
    <w:rsid w:val="00767B66"/>
    <w:rsid w:val="007702FE"/>
    <w:rsid w:val="00771B0C"/>
    <w:rsid w:val="00775599"/>
    <w:rsid w:val="00775A97"/>
    <w:rsid w:val="0077623D"/>
    <w:rsid w:val="00784FB2"/>
    <w:rsid w:val="00785A42"/>
    <w:rsid w:val="007931B5"/>
    <w:rsid w:val="007932B0"/>
    <w:rsid w:val="00793781"/>
    <w:rsid w:val="00794235"/>
    <w:rsid w:val="00795040"/>
    <w:rsid w:val="00797544"/>
    <w:rsid w:val="00797989"/>
    <w:rsid w:val="007A044F"/>
    <w:rsid w:val="007A1B3A"/>
    <w:rsid w:val="007A3EB5"/>
    <w:rsid w:val="007A5D08"/>
    <w:rsid w:val="007A7302"/>
    <w:rsid w:val="007A7C9D"/>
    <w:rsid w:val="007B2CAE"/>
    <w:rsid w:val="007B4FDF"/>
    <w:rsid w:val="007B566A"/>
    <w:rsid w:val="007B5B96"/>
    <w:rsid w:val="007C531A"/>
    <w:rsid w:val="007C7594"/>
    <w:rsid w:val="007D06C5"/>
    <w:rsid w:val="007D49F3"/>
    <w:rsid w:val="007D705F"/>
    <w:rsid w:val="007D70F2"/>
    <w:rsid w:val="007D77B0"/>
    <w:rsid w:val="007E4589"/>
    <w:rsid w:val="007E5C03"/>
    <w:rsid w:val="007E6923"/>
    <w:rsid w:val="007E6951"/>
    <w:rsid w:val="007E7F64"/>
    <w:rsid w:val="007F3F09"/>
    <w:rsid w:val="007F4CE1"/>
    <w:rsid w:val="008007DE"/>
    <w:rsid w:val="008021BD"/>
    <w:rsid w:val="00803D07"/>
    <w:rsid w:val="00803FC1"/>
    <w:rsid w:val="008042C7"/>
    <w:rsid w:val="00804D47"/>
    <w:rsid w:val="0080547B"/>
    <w:rsid w:val="00806A32"/>
    <w:rsid w:val="00810235"/>
    <w:rsid w:val="00810F33"/>
    <w:rsid w:val="008122B1"/>
    <w:rsid w:val="00813686"/>
    <w:rsid w:val="00815565"/>
    <w:rsid w:val="0081755A"/>
    <w:rsid w:val="0082793D"/>
    <w:rsid w:val="008342C9"/>
    <w:rsid w:val="00840A14"/>
    <w:rsid w:val="00841ACC"/>
    <w:rsid w:val="00841BB9"/>
    <w:rsid w:val="00841DE6"/>
    <w:rsid w:val="008431ED"/>
    <w:rsid w:val="0084342D"/>
    <w:rsid w:val="008436F9"/>
    <w:rsid w:val="00844057"/>
    <w:rsid w:val="00845FDE"/>
    <w:rsid w:val="00846A79"/>
    <w:rsid w:val="00850D00"/>
    <w:rsid w:val="00851DB6"/>
    <w:rsid w:val="00851F3D"/>
    <w:rsid w:val="0085218C"/>
    <w:rsid w:val="00852293"/>
    <w:rsid w:val="00855E65"/>
    <w:rsid w:val="0085749F"/>
    <w:rsid w:val="00861C98"/>
    <w:rsid w:val="0086451B"/>
    <w:rsid w:val="0087181E"/>
    <w:rsid w:val="00873305"/>
    <w:rsid w:val="00873563"/>
    <w:rsid w:val="00876716"/>
    <w:rsid w:val="00876A12"/>
    <w:rsid w:val="00876C68"/>
    <w:rsid w:val="008816EB"/>
    <w:rsid w:val="00882936"/>
    <w:rsid w:val="00882CBE"/>
    <w:rsid w:val="008835AC"/>
    <w:rsid w:val="008843C6"/>
    <w:rsid w:val="0088447A"/>
    <w:rsid w:val="00886C32"/>
    <w:rsid w:val="008914FC"/>
    <w:rsid w:val="00895BE6"/>
    <w:rsid w:val="008A46E5"/>
    <w:rsid w:val="008A6D8E"/>
    <w:rsid w:val="008A7BCA"/>
    <w:rsid w:val="008B0494"/>
    <w:rsid w:val="008B16A8"/>
    <w:rsid w:val="008B4F93"/>
    <w:rsid w:val="008B6CCD"/>
    <w:rsid w:val="008C04E0"/>
    <w:rsid w:val="008C11C6"/>
    <w:rsid w:val="008C387E"/>
    <w:rsid w:val="008C3CEC"/>
    <w:rsid w:val="008C4A8B"/>
    <w:rsid w:val="008C75E1"/>
    <w:rsid w:val="008D0607"/>
    <w:rsid w:val="008D0EB0"/>
    <w:rsid w:val="008D11F2"/>
    <w:rsid w:val="008D1DFF"/>
    <w:rsid w:val="008D260A"/>
    <w:rsid w:val="008D350D"/>
    <w:rsid w:val="008D414A"/>
    <w:rsid w:val="008D4544"/>
    <w:rsid w:val="008D46DB"/>
    <w:rsid w:val="008D66EE"/>
    <w:rsid w:val="008D6A92"/>
    <w:rsid w:val="008D7508"/>
    <w:rsid w:val="008E0867"/>
    <w:rsid w:val="008E17D9"/>
    <w:rsid w:val="008E1A5E"/>
    <w:rsid w:val="008E1AE8"/>
    <w:rsid w:val="008E2217"/>
    <w:rsid w:val="008E3606"/>
    <w:rsid w:val="008E65CB"/>
    <w:rsid w:val="008F0874"/>
    <w:rsid w:val="008F6C2F"/>
    <w:rsid w:val="008F781E"/>
    <w:rsid w:val="00900A05"/>
    <w:rsid w:val="00901F9E"/>
    <w:rsid w:val="00902A42"/>
    <w:rsid w:val="00906972"/>
    <w:rsid w:val="00907A1D"/>
    <w:rsid w:val="009125DF"/>
    <w:rsid w:val="00915B63"/>
    <w:rsid w:val="00916B34"/>
    <w:rsid w:val="00917321"/>
    <w:rsid w:val="00917527"/>
    <w:rsid w:val="00920529"/>
    <w:rsid w:val="00920854"/>
    <w:rsid w:val="00920A0C"/>
    <w:rsid w:val="009222CB"/>
    <w:rsid w:val="00922F72"/>
    <w:rsid w:val="009242A7"/>
    <w:rsid w:val="0092580D"/>
    <w:rsid w:val="00925A3A"/>
    <w:rsid w:val="009308FB"/>
    <w:rsid w:val="009310B0"/>
    <w:rsid w:val="00931390"/>
    <w:rsid w:val="0093535F"/>
    <w:rsid w:val="00935718"/>
    <w:rsid w:val="00935F94"/>
    <w:rsid w:val="00941451"/>
    <w:rsid w:val="00942491"/>
    <w:rsid w:val="009449DF"/>
    <w:rsid w:val="00944A8F"/>
    <w:rsid w:val="00944C7A"/>
    <w:rsid w:val="009531A0"/>
    <w:rsid w:val="00953ABE"/>
    <w:rsid w:val="0096087F"/>
    <w:rsid w:val="00960EE3"/>
    <w:rsid w:val="00964603"/>
    <w:rsid w:val="009721F0"/>
    <w:rsid w:val="009722C1"/>
    <w:rsid w:val="009738A7"/>
    <w:rsid w:val="00973A4B"/>
    <w:rsid w:val="00974716"/>
    <w:rsid w:val="00985F47"/>
    <w:rsid w:val="00986812"/>
    <w:rsid w:val="009876F2"/>
    <w:rsid w:val="00987B41"/>
    <w:rsid w:val="00987F1A"/>
    <w:rsid w:val="00990C7E"/>
    <w:rsid w:val="00992DC9"/>
    <w:rsid w:val="009943D9"/>
    <w:rsid w:val="009A0C35"/>
    <w:rsid w:val="009A14E4"/>
    <w:rsid w:val="009A24F3"/>
    <w:rsid w:val="009A4AF2"/>
    <w:rsid w:val="009A616C"/>
    <w:rsid w:val="009A6ACC"/>
    <w:rsid w:val="009B02D5"/>
    <w:rsid w:val="009B17C7"/>
    <w:rsid w:val="009B352E"/>
    <w:rsid w:val="009B4A7A"/>
    <w:rsid w:val="009B588E"/>
    <w:rsid w:val="009B7725"/>
    <w:rsid w:val="009B7AA2"/>
    <w:rsid w:val="009B7EEA"/>
    <w:rsid w:val="009C260B"/>
    <w:rsid w:val="009C3248"/>
    <w:rsid w:val="009C42F4"/>
    <w:rsid w:val="009C5A01"/>
    <w:rsid w:val="009C7B45"/>
    <w:rsid w:val="009D077F"/>
    <w:rsid w:val="009D1B89"/>
    <w:rsid w:val="009D2A4D"/>
    <w:rsid w:val="009D2B77"/>
    <w:rsid w:val="009D4068"/>
    <w:rsid w:val="009D4AEC"/>
    <w:rsid w:val="009E094B"/>
    <w:rsid w:val="009E143C"/>
    <w:rsid w:val="009F46A9"/>
    <w:rsid w:val="009F612F"/>
    <w:rsid w:val="009F670D"/>
    <w:rsid w:val="00A00369"/>
    <w:rsid w:val="00A01122"/>
    <w:rsid w:val="00A011B5"/>
    <w:rsid w:val="00A03166"/>
    <w:rsid w:val="00A057AF"/>
    <w:rsid w:val="00A1107A"/>
    <w:rsid w:val="00A13244"/>
    <w:rsid w:val="00A1440D"/>
    <w:rsid w:val="00A14DAA"/>
    <w:rsid w:val="00A1532F"/>
    <w:rsid w:val="00A15373"/>
    <w:rsid w:val="00A153E4"/>
    <w:rsid w:val="00A16023"/>
    <w:rsid w:val="00A176EE"/>
    <w:rsid w:val="00A17F4F"/>
    <w:rsid w:val="00A24E8F"/>
    <w:rsid w:val="00A26391"/>
    <w:rsid w:val="00A275FE"/>
    <w:rsid w:val="00A2791C"/>
    <w:rsid w:val="00A27FCA"/>
    <w:rsid w:val="00A30235"/>
    <w:rsid w:val="00A30F84"/>
    <w:rsid w:val="00A31100"/>
    <w:rsid w:val="00A34F42"/>
    <w:rsid w:val="00A35410"/>
    <w:rsid w:val="00A3698E"/>
    <w:rsid w:val="00A36E65"/>
    <w:rsid w:val="00A4063B"/>
    <w:rsid w:val="00A421AC"/>
    <w:rsid w:val="00A4485C"/>
    <w:rsid w:val="00A475EE"/>
    <w:rsid w:val="00A52A5F"/>
    <w:rsid w:val="00A55FCD"/>
    <w:rsid w:val="00A56402"/>
    <w:rsid w:val="00A5680F"/>
    <w:rsid w:val="00A56CE0"/>
    <w:rsid w:val="00A709F6"/>
    <w:rsid w:val="00A72827"/>
    <w:rsid w:val="00A75D80"/>
    <w:rsid w:val="00A75ED2"/>
    <w:rsid w:val="00A76017"/>
    <w:rsid w:val="00A770D1"/>
    <w:rsid w:val="00A808CB"/>
    <w:rsid w:val="00A81576"/>
    <w:rsid w:val="00A81889"/>
    <w:rsid w:val="00A82194"/>
    <w:rsid w:val="00A8678A"/>
    <w:rsid w:val="00A86B23"/>
    <w:rsid w:val="00A86FE6"/>
    <w:rsid w:val="00A87600"/>
    <w:rsid w:val="00A92823"/>
    <w:rsid w:val="00AA094C"/>
    <w:rsid w:val="00AA15D3"/>
    <w:rsid w:val="00AA2092"/>
    <w:rsid w:val="00AA3E8B"/>
    <w:rsid w:val="00AA55F9"/>
    <w:rsid w:val="00AA5CB5"/>
    <w:rsid w:val="00AA5E95"/>
    <w:rsid w:val="00AA6076"/>
    <w:rsid w:val="00AA644E"/>
    <w:rsid w:val="00AA7100"/>
    <w:rsid w:val="00AA7B7B"/>
    <w:rsid w:val="00AB0204"/>
    <w:rsid w:val="00AB5EB5"/>
    <w:rsid w:val="00AB6461"/>
    <w:rsid w:val="00AB6B7F"/>
    <w:rsid w:val="00AB6BE7"/>
    <w:rsid w:val="00AC0134"/>
    <w:rsid w:val="00AC041E"/>
    <w:rsid w:val="00AC063C"/>
    <w:rsid w:val="00AC2BD0"/>
    <w:rsid w:val="00AC2C74"/>
    <w:rsid w:val="00AC52A7"/>
    <w:rsid w:val="00AD0003"/>
    <w:rsid w:val="00AD2ACF"/>
    <w:rsid w:val="00AD30BE"/>
    <w:rsid w:val="00AD3E0B"/>
    <w:rsid w:val="00AD4247"/>
    <w:rsid w:val="00AD494E"/>
    <w:rsid w:val="00AD573C"/>
    <w:rsid w:val="00AD609A"/>
    <w:rsid w:val="00AD6CDC"/>
    <w:rsid w:val="00AE05DF"/>
    <w:rsid w:val="00AE1CD8"/>
    <w:rsid w:val="00AE2E01"/>
    <w:rsid w:val="00AE3E07"/>
    <w:rsid w:val="00AE4A19"/>
    <w:rsid w:val="00AE586F"/>
    <w:rsid w:val="00AF0717"/>
    <w:rsid w:val="00AF0A7E"/>
    <w:rsid w:val="00AF2236"/>
    <w:rsid w:val="00AF651B"/>
    <w:rsid w:val="00AF7FAA"/>
    <w:rsid w:val="00B00A41"/>
    <w:rsid w:val="00B0502A"/>
    <w:rsid w:val="00B13693"/>
    <w:rsid w:val="00B14D5F"/>
    <w:rsid w:val="00B15C0E"/>
    <w:rsid w:val="00B2073A"/>
    <w:rsid w:val="00B20A32"/>
    <w:rsid w:val="00B22E50"/>
    <w:rsid w:val="00B2352F"/>
    <w:rsid w:val="00B23762"/>
    <w:rsid w:val="00B2511E"/>
    <w:rsid w:val="00B25DB6"/>
    <w:rsid w:val="00B26385"/>
    <w:rsid w:val="00B26A88"/>
    <w:rsid w:val="00B273E8"/>
    <w:rsid w:val="00B30226"/>
    <w:rsid w:val="00B31405"/>
    <w:rsid w:val="00B31C2C"/>
    <w:rsid w:val="00B33751"/>
    <w:rsid w:val="00B34280"/>
    <w:rsid w:val="00B3730F"/>
    <w:rsid w:val="00B373DC"/>
    <w:rsid w:val="00B401CC"/>
    <w:rsid w:val="00B41E35"/>
    <w:rsid w:val="00B41E45"/>
    <w:rsid w:val="00B4614F"/>
    <w:rsid w:val="00B46BE5"/>
    <w:rsid w:val="00B50379"/>
    <w:rsid w:val="00B5177E"/>
    <w:rsid w:val="00B51B58"/>
    <w:rsid w:val="00B5398F"/>
    <w:rsid w:val="00B540A5"/>
    <w:rsid w:val="00B55DC3"/>
    <w:rsid w:val="00B57342"/>
    <w:rsid w:val="00B575DD"/>
    <w:rsid w:val="00B6364C"/>
    <w:rsid w:val="00B64DEA"/>
    <w:rsid w:val="00B65B45"/>
    <w:rsid w:val="00B66849"/>
    <w:rsid w:val="00B70A20"/>
    <w:rsid w:val="00B70C88"/>
    <w:rsid w:val="00B72593"/>
    <w:rsid w:val="00B725DE"/>
    <w:rsid w:val="00B72D7F"/>
    <w:rsid w:val="00B73F46"/>
    <w:rsid w:val="00B76772"/>
    <w:rsid w:val="00B80FC8"/>
    <w:rsid w:val="00B8546F"/>
    <w:rsid w:val="00B85E87"/>
    <w:rsid w:val="00B87668"/>
    <w:rsid w:val="00B87BA3"/>
    <w:rsid w:val="00B90674"/>
    <w:rsid w:val="00B90ECC"/>
    <w:rsid w:val="00B92841"/>
    <w:rsid w:val="00B93305"/>
    <w:rsid w:val="00B934BC"/>
    <w:rsid w:val="00B95987"/>
    <w:rsid w:val="00B96ED7"/>
    <w:rsid w:val="00BA52C0"/>
    <w:rsid w:val="00BA63AD"/>
    <w:rsid w:val="00BB0242"/>
    <w:rsid w:val="00BB08DC"/>
    <w:rsid w:val="00BB168E"/>
    <w:rsid w:val="00BB2219"/>
    <w:rsid w:val="00BB3A2C"/>
    <w:rsid w:val="00BB50E2"/>
    <w:rsid w:val="00BB5F6C"/>
    <w:rsid w:val="00BB7990"/>
    <w:rsid w:val="00BC0880"/>
    <w:rsid w:val="00BC1CBD"/>
    <w:rsid w:val="00BC4435"/>
    <w:rsid w:val="00BC7140"/>
    <w:rsid w:val="00BD0169"/>
    <w:rsid w:val="00BD1219"/>
    <w:rsid w:val="00BD141E"/>
    <w:rsid w:val="00BD345B"/>
    <w:rsid w:val="00BD775F"/>
    <w:rsid w:val="00BE1764"/>
    <w:rsid w:val="00BE3B90"/>
    <w:rsid w:val="00BE5265"/>
    <w:rsid w:val="00BE53C1"/>
    <w:rsid w:val="00BF396E"/>
    <w:rsid w:val="00BF4386"/>
    <w:rsid w:val="00BF4AA4"/>
    <w:rsid w:val="00BF56D0"/>
    <w:rsid w:val="00BF7F5E"/>
    <w:rsid w:val="00C00CE1"/>
    <w:rsid w:val="00C00DE9"/>
    <w:rsid w:val="00C0150D"/>
    <w:rsid w:val="00C05FA9"/>
    <w:rsid w:val="00C06D94"/>
    <w:rsid w:val="00C070A9"/>
    <w:rsid w:val="00C105B2"/>
    <w:rsid w:val="00C13A4F"/>
    <w:rsid w:val="00C15261"/>
    <w:rsid w:val="00C15389"/>
    <w:rsid w:val="00C1708C"/>
    <w:rsid w:val="00C1794D"/>
    <w:rsid w:val="00C202A7"/>
    <w:rsid w:val="00C2091D"/>
    <w:rsid w:val="00C32BA0"/>
    <w:rsid w:val="00C32E4A"/>
    <w:rsid w:val="00C36ACF"/>
    <w:rsid w:val="00C40B63"/>
    <w:rsid w:val="00C41ADB"/>
    <w:rsid w:val="00C41E35"/>
    <w:rsid w:val="00C42491"/>
    <w:rsid w:val="00C433F1"/>
    <w:rsid w:val="00C44C06"/>
    <w:rsid w:val="00C51058"/>
    <w:rsid w:val="00C519D3"/>
    <w:rsid w:val="00C52BDE"/>
    <w:rsid w:val="00C552FE"/>
    <w:rsid w:val="00C57D13"/>
    <w:rsid w:val="00C61CAD"/>
    <w:rsid w:val="00C620EA"/>
    <w:rsid w:val="00C62A44"/>
    <w:rsid w:val="00C638A3"/>
    <w:rsid w:val="00C640B9"/>
    <w:rsid w:val="00C64BF2"/>
    <w:rsid w:val="00C65050"/>
    <w:rsid w:val="00C744B3"/>
    <w:rsid w:val="00C800B8"/>
    <w:rsid w:val="00C80423"/>
    <w:rsid w:val="00C80AE0"/>
    <w:rsid w:val="00C83DB2"/>
    <w:rsid w:val="00C86059"/>
    <w:rsid w:val="00C90FBD"/>
    <w:rsid w:val="00C96C82"/>
    <w:rsid w:val="00CA1CB5"/>
    <w:rsid w:val="00CA4895"/>
    <w:rsid w:val="00CA76AA"/>
    <w:rsid w:val="00CB1707"/>
    <w:rsid w:val="00CB46C2"/>
    <w:rsid w:val="00CB7D27"/>
    <w:rsid w:val="00CC27B5"/>
    <w:rsid w:val="00CC45A3"/>
    <w:rsid w:val="00CC4D05"/>
    <w:rsid w:val="00CC533C"/>
    <w:rsid w:val="00CC599B"/>
    <w:rsid w:val="00CC5E10"/>
    <w:rsid w:val="00CC73BF"/>
    <w:rsid w:val="00CD0673"/>
    <w:rsid w:val="00CD214B"/>
    <w:rsid w:val="00CD4BD7"/>
    <w:rsid w:val="00CD5C18"/>
    <w:rsid w:val="00CD74BF"/>
    <w:rsid w:val="00CE0ADD"/>
    <w:rsid w:val="00CE2057"/>
    <w:rsid w:val="00CE30CE"/>
    <w:rsid w:val="00CE5270"/>
    <w:rsid w:val="00CE5992"/>
    <w:rsid w:val="00CE64A0"/>
    <w:rsid w:val="00CE7910"/>
    <w:rsid w:val="00CF0829"/>
    <w:rsid w:val="00CF0E67"/>
    <w:rsid w:val="00CF151F"/>
    <w:rsid w:val="00CF3E92"/>
    <w:rsid w:val="00CF4E0A"/>
    <w:rsid w:val="00CF6690"/>
    <w:rsid w:val="00D025AB"/>
    <w:rsid w:val="00D03086"/>
    <w:rsid w:val="00D04106"/>
    <w:rsid w:val="00D04945"/>
    <w:rsid w:val="00D051C3"/>
    <w:rsid w:val="00D052B3"/>
    <w:rsid w:val="00D074E3"/>
    <w:rsid w:val="00D126E0"/>
    <w:rsid w:val="00D14845"/>
    <w:rsid w:val="00D21EF7"/>
    <w:rsid w:val="00D220D4"/>
    <w:rsid w:val="00D235B3"/>
    <w:rsid w:val="00D24DFC"/>
    <w:rsid w:val="00D251A9"/>
    <w:rsid w:val="00D27586"/>
    <w:rsid w:val="00D277A6"/>
    <w:rsid w:val="00D27EE0"/>
    <w:rsid w:val="00D32411"/>
    <w:rsid w:val="00D36C52"/>
    <w:rsid w:val="00D4037A"/>
    <w:rsid w:val="00D40AF4"/>
    <w:rsid w:val="00D42B7C"/>
    <w:rsid w:val="00D43852"/>
    <w:rsid w:val="00D4432D"/>
    <w:rsid w:val="00D44589"/>
    <w:rsid w:val="00D44B28"/>
    <w:rsid w:val="00D451AA"/>
    <w:rsid w:val="00D45A30"/>
    <w:rsid w:val="00D46018"/>
    <w:rsid w:val="00D469E6"/>
    <w:rsid w:val="00D50845"/>
    <w:rsid w:val="00D51C07"/>
    <w:rsid w:val="00D53745"/>
    <w:rsid w:val="00D54496"/>
    <w:rsid w:val="00D54FB8"/>
    <w:rsid w:val="00D5547F"/>
    <w:rsid w:val="00D5555E"/>
    <w:rsid w:val="00D5622A"/>
    <w:rsid w:val="00D57F0E"/>
    <w:rsid w:val="00D62D07"/>
    <w:rsid w:val="00D6408B"/>
    <w:rsid w:val="00D642BF"/>
    <w:rsid w:val="00D64C58"/>
    <w:rsid w:val="00D64D7B"/>
    <w:rsid w:val="00D659BF"/>
    <w:rsid w:val="00D666F1"/>
    <w:rsid w:val="00D66BBF"/>
    <w:rsid w:val="00D70A8E"/>
    <w:rsid w:val="00D70F3F"/>
    <w:rsid w:val="00D77AA8"/>
    <w:rsid w:val="00D802C6"/>
    <w:rsid w:val="00D80531"/>
    <w:rsid w:val="00D82937"/>
    <w:rsid w:val="00D82D9E"/>
    <w:rsid w:val="00D8404C"/>
    <w:rsid w:val="00D84516"/>
    <w:rsid w:val="00D8567A"/>
    <w:rsid w:val="00D8646B"/>
    <w:rsid w:val="00D92450"/>
    <w:rsid w:val="00D932C4"/>
    <w:rsid w:val="00D93A40"/>
    <w:rsid w:val="00D9475D"/>
    <w:rsid w:val="00D9767E"/>
    <w:rsid w:val="00DA2214"/>
    <w:rsid w:val="00DA2AB2"/>
    <w:rsid w:val="00DA3942"/>
    <w:rsid w:val="00DA47A9"/>
    <w:rsid w:val="00DA67D6"/>
    <w:rsid w:val="00DA6F29"/>
    <w:rsid w:val="00DB0560"/>
    <w:rsid w:val="00DB0BD7"/>
    <w:rsid w:val="00DB2D45"/>
    <w:rsid w:val="00DC0E4C"/>
    <w:rsid w:val="00DC1161"/>
    <w:rsid w:val="00DC1AFE"/>
    <w:rsid w:val="00DC260B"/>
    <w:rsid w:val="00DC2979"/>
    <w:rsid w:val="00DC2BAD"/>
    <w:rsid w:val="00DC35AD"/>
    <w:rsid w:val="00DC772F"/>
    <w:rsid w:val="00DD194E"/>
    <w:rsid w:val="00DD3DF0"/>
    <w:rsid w:val="00DD4FE9"/>
    <w:rsid w:val="00DD5DB5"/>
    <w:rsid w:val="00DD70EC"/>
    <w:rsid w:val="00DE05CD"/>
    <w:rsid w:val="00DE094C"/>
    <w:rsid w:val="00DE0B61"/>
    <w:rsid w:val="00DE33B4"/>
    <w:rsid w:val="00DE620B"/>
    <w:rsid w:val="00DE67B9"/>
    <w:rsid w:val="00DF0296"/>
    <w:rsid w:val="00DF51CC"/>
    <w:rsid w:val="00DF5CF9"/>
    <w:rsid w:val="00DF6269"/>
    <w:rsid w:val="00DF733F"/>
    <w:rsid w:val="00DF79B0"/>
    <w:rsid w:val="00DF7C82"/>
    <w:rsid w:val="00DF7D40"/>
    <w:rsid w:val="00E029CC"/>
    <w:rsid w:val="00E04CD1"/>
    <w:rsid w:val="00E05EB9"/>
    <w:rsid w:val="00E070B2"/>
    <w:rsid w:val="00E0740A"/>
    <w:rsid w:val="00E10177"/>
    <w:rsid w:val="00E118AF"/>
    <w:rsid w:val="00E13ED7"/>
    <w:rsid w:val="00E15B62"/>
    <w:rsid w:val="00E1639D"/>
    <w:rsid w:val="00E2088D"/>
    <w:rsid w:val="00E20BF0"/>
    <w:rsid w:val="00E21F0D"/>
    <w:rsid w:val="00E22229"/>
    <w:rsid w:val="00E23265"/>
    <w:rsid w:val="00E24C13"/>
    <w:rsid w:val="00E31DE2"/>
    <w:rsid w:val="00E32413"/>
    <w:rsid w:val="00E329D0"/>
    <w:rsid w:val="00E3306E"/>
    <w:rsid w:val="00E36870"/>
    <w:rsid w:val="00E37568"/>
    <w:rsid w:val="00E4055B"/>
    <w:rsid w:val="00E41047"/>
    <w:rsid w:val="00E41BC8"/>
    <w:rsid w:val="00E42A4B"/>
    <w:rsid w:val="00E42F51"/>
    <w:rsid w:val="00E46B36"/>
    <w:rsid w:val="00E47E29"/>
    <w:rsid w:val="00E5159B"/>
    <w:rsid w:val="00E51ADA"/>
    <w:rsid w:val="00E543AD"/>
    <w:rsid w:val="00E54B2F"/>
    <w:rsid w:val="00E6461E"/>
    <w:rsid w:val="00E65529"/>
    <w:rsid w:val="00E67613"/>
    <w:rsid w:val="00E67B00"/>
    <w:rsid w:val="00E71925"/>
    <w:rsid w:val="00E72CE1"/>
    <w:rsid w:val="00E73194"/>
    <w:rsid w:val="00E76A71"/>
    <w:rsid w:val="00E77B90"/>
    <w:rsid w:val="00E8119B"/>
    <w:rsid w:val="00E816E8"/>
    <w:rsid w:val="00E81819"/>
    <w:rsid w:val="00E818BA"/>
    <w:rsid w:val="00E84715"/>
    <w:rsid w:val="00E8579E"/>
    <w:rsid w:val="00E85882"/>
    <w:rsid w:val="00E86178"/>
    <w:rsid w:val="00E868EF"/>
    <w:rsid w:val="00E904F7"/>
    <w:rsid w:val="00E91207"/>
    <w:rsid w:val="00E91D25"/>
    <w:rsid w:val="00E91FB9"/>
    <w:rsid w:val="00E92DB6"/>
    <w:rsid w:val="00E94D8B"/>
    <w:rsid w:val="00E9518F"/>
    <w:rsid w:val="00E97776"/>
    <w:rsid w:val="00EA0E6C"/>
    <w:rsid w:val="00EA1C9B"/>
    <w:rsid w:val="00EA2E26"/>
    <w:rsid w:val="00EA4D46"/>
    <w:rsid w:val="00EA635C"/>
    <w:rsid w:val="00EA6641"/>
    <w:rsid w:val="00EB154B"/>
    <w:rsid w:val="00EB1567"/>
    <w:rsid w:val="00EB2447"/>
    <w:rsid w:val="00EB31AC"/>
    <w:rsid w:val="00EB3716"/>
    <w:rsid w:val="00EB43CF"/>
    <w:rsid w:val="00EB5D53"/>
    <w:rsid w:val="00EB7174"/>
    <w:rsid w:val="00EC11E4"/>
    <w:rsid w:val="00EC1991"/>
    <w:rsid w:val="00EC1F83"/>
    <w:rsid w:val="00EC4938"/>
    <w:rsid w:val="00EC5635"/>
    <w:rsid w:val="00ED0188"/>
    <w:rsid w:val="00ED4FA1"/>
    <w:rsid w:val="00EE0073"/>
    <w:rsid w:val="00EE0571"/>
    <w:rsid w:val="00EE094D"/>
    <w:rsid w:val="00EE1236"/>
    <w:rsid w:val="00EE1369"/>
    <w:rsid w:val="00EE1AEE"/>
    <w:rsid w:val="00EE2B22"/>
    <w:rsid w:val="00EE3411"/>
    <w:rsid w:val="00EE5BF5"/>
    <w:rsid w:val="00EE7B0F"/>
    <w:rsid w:val="00EF03C9"/>
    <w:rsid w:val="00EF2494"/>
    <w:rsid w:val="00EF311F"/>
    <w:rsid w:val="00F002BA"/>
    <w:rsid w:val="00F008F8"/>
    <w:rsid w:val="00F02130"/>
    <w:rsid w:val="00F0251F"/>
    <w:rsid w:val="00F02F88"/>
    <w:rsid w:val="00F057CB"/>
    <w:rsid w:val="00F06CB0"/>
    <w:rsid w:val="00F0707D"/>
    <w:rsid w:val="00F07A50"/>
    <w:rsid w:val="00F1149D"/>
    <w:rsid w:val="00F1150E"/>
    <w:rsid w:val="00F11675"/>
    <w:rsid w:val="00F1264C"/>
    <w:rsid w:val="00F1425C"/>
    <w:rsid w:val="00F17625"/>
    <w:rsid w:val="00F17C1D"/>
    <w:rsid w:val="00F20BEF"/>
    <w:rsid w:val="00F21363"/>
    <w:rsid w:val="00F22664"/>
    <w:rsid w:val="00F23A2B"/>
    <w:rsid w:val="00F241C7"/>
    <w:rsid w:val="00F262A6"/>
    <w:rsid w:val="00F27AEF"/>
    <w:rsid w:val="00F30288"/>
    <w:rsid w:val="00F3097E"/>
    <w:rsid w:val="00F30A20"/>
    <w:rsid w:val="00F3167A"/>
    <w:rsid w:val="00F332A5"/>
    <w:rsid w:val="00F37748"/>
    <w:rsid w:val="00F40B97"/>
    <w:rsid w:val="00F42553"/>
    <w:rsid w:val="00F43CE8"/>
    <w:rsid w:val="00F47634"/>
    <w:rsid w:val="00F506A7"/>
    <w:rsid w:val="00F51433"/>
    <w:rsid w:val="00F54003"/>
    <w:rsid w:val="00F548A3"/>
    <w:rsid w:val="00F56B6F"/>
    <w:rsid w:val="00F6250D"/>
    <w:rsid w:val="00F645D5"/>
    <w:rsid w:val="00F65E30"/>
    <w:rsid w:val="00F67257"/>
    <w:rsid w:val="00F70576"/>
    <w:rsid w:val="00F73E20"/>
    <w:rsid w:val="00F73F18"/>
    <w:rsid w:val="00F750D7"/>
    <w:rsid w:val="00F75BFE"/>
    <w:rsid w:val="00F75C57"/>
    <w:rsid w:val="00F76845"/>
    <w:rsid w:val="00F769CD"/>
    <w:rsid w:val="00F76D98"/>
    <w:rsid w:val="00F80723"/>
    <w:rsid w:val="00F80766"/>
    <w:rsid w:val="00F8106F"/>
    <w:rsid w:val="00F81081"/>
    <w:rsid w:val="00F811DB"/>
    <w:rsid w:val="00F819FF"/>
    <w:rsid w:val="00F81E8A"/>
    <w:rsid w:val="00F824C4"/>
    <w:rsid w:val="00F826B7"/>
    <w:rsid w:val="00F83077"/>
    <w:rsid w:val="00F84D46"/>
    <w:rsid w:val="00F910ED"/>
    <w:rsid w:val="00F93DBD"/>
    <w:rsid w:val="00F9628C"/>
    <w:rsid w:val="00F966CA"/>
    <w:rsid w:val="00F96CA1"/>
    <w:rsid w:val="00F96D6F"/>
    <w:rsid w:val="00FA045C"/>
    <w:rsid w:val="00FA2FFB"/>
    <w:rsid w:val="00FA322C"/>
    <w:rsid w:val="00FA3CA2"/>
    <w:rsid w:val="00FA7BAB"/>
    <w:rsid w:val="00FB095F"/>
    <w:rsid w:val="00FB0DFB"/>
    <w:rsid w:val="00FB15ED"/>
    <w:rsid w:val="00FB1AF6"/>
    <w:rsid w:val="00FB2DB8"/>
    <w:rsid w:val="00FB319F"/>
    <w:rsid w:val="00FC1EA3"/>
    <w:rsid w:val="00FC7CA5"/>
    <w:rsid w:val="00FD0353"/>
    <w:rsid w:val="00FD0EFD"/>
    <w:rsid w:val="00FD1541"/>
    <w:rsid w:val="00FD2FD5"/>
    <w:rsid w:val="00FD3836"/>
    <w:rsid w:val="00FD3FCD"/>
    <w:rsid w:val="00FD70C4"/>
    <w:rsid w:val="00FD785A"/>
    <w:rsid w:val="00FD7DA2"/>
    <w:rsid w:val="00FE1638"/>
    <w:rsid w:val="00FE3DBC"/>
    <w:rsid w:val="00FE45A0"/>
    <w:rsid w:val="00FE536A"/>
    <w:rsid w:val="00FE78CB"/>
    <w:rsid w:val="00FF133F"/>
    <w:rsid w:val="00FF4687"/>
    <w:rsid w:val="00FF6293"/>
    <w:rsid w:val="00FF754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50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uiPriority="99" w:name="Plain Text"/>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semiHidden/>
    <w:unhideWhenUsed/>
    <w:qFormat/>
    <w:rsid w:val="000C0F59"/>
    <w:pPr>
      <w:keepNext/>
      <w:keepLines/>
      <w:spacing w:before="200"/>
      <w:outlineLvl w:val="2"/>
    </w:pPr>
    <w:rPr>
      <w:rFonts w:cstheme="majorBidi" w:eastAsiaTheme="majorEastAsia" w:hAnsiTheme="majorHAnsi" w:asciiTheme="majorHAnsi"/>
      <w:b/>
      <w:b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cs="Tahoma" w:hAnsi="Tahoma" w:ascii="Tahoma"/>
      <w:sz w:val="16"/>
      <w:szCs w:val="16"/>
    </w:rPr>
  </w:style>
  <w:style w:customStyle="true"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lineRule="auto" w:line="480" w:after="120"/>
    </w:pPr>
  </w:style>
  <w:style w:customStyle="true" w:styleId="Tijeloteksta2Char" w:type="character">
    <w:name w:val="Tijelo teksta 2 Char"/>
    <w:link w:val="Tijeloteksta2"/>
    <w:rsid w:val="00B87668"/>
    <w:rPr>
      <w:sz w:val="24"/>
      <w:szCs w:val="24"/>
    </w:rPr>
  </w:style>
  <w:style w:customStyle="true" w:styleId="t-9-8" w:type="paragraph">
    <w:name w:val="t-9-8"/>
    <w:basedOn w:val="Normal"/>
    <w:rsid w:val="00DA67D6"/>
    <w:pPr>
      <w:spacing w:afterAutospacing="true" w:after="100" w:beforeAutospacing="true" w:before="100"/>
    </w:pPr>
  </w:style>
  <w:style w:styleId="Odlomakpopisa" w:type="paragraph">
    <w:name w:val="List Paragraph"/>
    <w:basedOn w:val="Normal"/>
    <w:link w:val="OdlomakpopisaChar"/>
    <w:uiPriority w:val="34"/>
    <w:qFormat/>
    <w:rsid w:val="00B72D7F"/>
    <w:pPr>
      <w:ind w:left="708"/>
    </w:pPr>
  </w:style>
  <w:style w:customStyle="true" w:styleId="TableContents" w:type="paragraph">
    <w:name w:val="Table Contents"/>
    <w:basedOn w:val="Normal"/>
    <w:rsid w:val="008F6C2F"/>
    <w:pPr>
      <w:suppressLineNumbers/>
      <w:suppressAutoHyphens/>
    </w:pPr>
    <w:rPr>
      <w:lang w:eastAsia="ar-SA" w:val="en-US"/>
    </w:rPr>
  </w:style>
  <w:style w:customStyle="true" w:styleId="Naslov1Char" w:type="character">
    <w:name w:val="Naslov 1 Char"/>
    <w:link w:val="Naslov1"/>
    <w:rsid w:val="006C55C7"/>
    <w:rPr>
      <w:b/>
      <w:bCs/>
      <w:sz w:val="24"/>
      <w:szCs w:val="24"/>
    </w:rPr>
  </w:style>
  <w:style w:customStyle="true"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true" w:styleId="OdlomakpopisaChar" w:type="character">
    <w:name w:val="Odlomak popisa Char"/>
    <w:link w:val="Odlomakpopisa"/>
    <w:uiPriority w:val="34"/>
    <w:rsid w:val="00990C7E"/>
    <w:rPr>
      <w:sz w:val="24"/>
      <w:szCs w:val="24"/>
    </w:rPr>
  </w:style>
  <w:style w:customStyle="true" w:styleId="Standard" w:type="paragraph">
    <w:name w:val="Standard"/>
    <w:rsid w:val="00F27AEF"/>
    <w:pPr>
      <w:suppressAutoHyphens/>
      <w:autoSpaceDN w:val="false"/>
      <w:textAlignment w:val="baseline"/>
    </w:pPr>
    <w:rPr>
      <w:kern w:val="3"/>
      <w:sz w:val="24"/>
      <w:szCs w:val="24"/>
      <w:lang w:eastAsia="zh-CN"/>
    </w:rPr>
  </w:style>
  <w:style w:customStyle="true" w:styleId="BezproredaChar" w:type="character">
    <w:name w:val="Bez proreda Char"/>
    <w:basedOn w:val="Zadanifontodlomka"/>
    <w:link w:val="Bezproreda"/>
    <w:uiPriority w:val="1"/>
    <w:rsid w:val="003656AF"/>
    <w:rPr>
      <w:rFonts w:eastAsia="Calibri"/>
      <w:sz w:val="24"/>
      <w:szCs w:val="22"/>
      <w:lang w:eastAsia="en-US"/>
    </w:rPr>
  </w:style>
  <w:style w:customStyle="true" w:styleId="Naslov3Char" w:type="character">
    <w:name w:val="Naslov 3 Char"/>
    <w:basedOn w:val="Zadanifontodlomka"/>
    <w:link w:val="Naslov3"/>
    <w:semiHidden/>
    <w:rsid w:val="000C0F59"/>
    <w:rPr>
      <w:rFonts w:cstheme="majorBidi" w:eastAsiaTheme="majorEastAsia" w:hAnsiTheme="majorHAnsi" w:asciiTheme="majorHAnsi"/>
      <w:b/>
      <w:bCs/>
      <w:color w:themeColor="accent1" w:val="4F81BD"/>
      <w:sz w:val="24"/>
      <w:szCs w:val="24"/>
    </w:rPr>
  </w:style>
  <w:style w:styleId="Reetkatablice" w:type="table">
    <w:name w:val="Table Grid"/>
    <w:basedOn w:val="Obinatablica"/>
    <w:uiPriority w:val="59"/>
    <w:rsid w:val="009D2B77"/>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binitekst" w:type="paragraph">
    <w:name w:val="Plain Text"/>
    <w:basedOn w:val="Normal"/>
    <w:link w:val="ObinitekstChar"/>
    <w:uiPriority w:val="99"/>
    <w:unhideWhenUsed/>
    <w:rsid w:val="00B72593"/>
    <w:rPr>
      <w:rFonts w:cstheme="minorBidi" w:eastAsiaTheme="minorHAnsi" w:hAnsi="Calibri" w:ascii="Calibri"/>
      <w:sz w:val="22"/>
      <w:szCs w:val="21"/>
      <w:lang w:eastAsia="en-US"/>
    </w:rPr>
  </w:style>
  <w:style w:customStyle="true" w:styleId="ObinitekstChar" w:type="character">
    <w:name w:val="Obični tekst Char"/>
    <w:basedOn w:val="Zadanifontodlomka"/>
    <w:link w:val="Obinitekst"/>
    <w:uiPriority w:val="99"/>
    <w:rsid w:val="00B72593"/>
    <w:rPr>
      <w:rFonts w:cstheme="minorBidi" w:eastAsiaTheme="minorHAnsi" w:hAnsi="Calibri" w:ascii="Calibri"/>
      <w:sz w:val="22"/>
      <w:szCs w:val="21"/>
      <w:lang w:eastAsia="en-US"/>
    </w:rPr>
  </w:style>
  <w:style w:styleId="Hiperveza" w:type="character">
    <w:name w:val="Hyperlink"/>
    <w:basedOn w:val="Zadanifontodlomka"/>
    <w:uiPriority w:val="99"/>
    <w:unhideWhenUsed/>
    <w:rsid w:val="004C57E4"/>
    <w:rPr>
      <w:color w:themeColor="hyperlink" w:val="0000FF"/>
      <w:u w:val="single"/>
    </w:rPr>
  </w:style>
  <w:style w:styleId="StandardWeb" w:type="paragraph">
    <w:name w:val="Normal (Web)"/>
    <w:basedOn w:val="Normal"/>
    <w:unhideWhenUsed/>
    <w:rsid w:val="004C57E4"/>
    <w:pPr>
      <w:spacing w:afterAutospacing="true" w:after="100" w:beforeAutospacing="true" w:before="100"/>
    </w:pPr>
  </w:style>
  <w:style w:styleId="Tekstrezerviranogmjesta" w:type="character">
    <w:name w:val="Placeholder Text"/>
    <w:basedOn w:val="Zadanifontodlomka"/>
    <w:uiPriority w:val="99"/>
    <w:semiHidden/>
    <w:rsid w:val="00275CA5"/>
    <w:rPr>
      <w:color w:val="808080"/>
      <w:bdr w:space="0" w:sz="0" w:color="auto" w:val="none"/>
      <w:shd w:fill="auto" w:color="auto" w:val="clear"/>
    </w:rPr>
  </w:style>
  <w:style w:customStyle="true" w:styleId="eSPISCCParagraphDefaultFont" w:type="character">
    <w:name w:val="eSPIS_CC_Paragraph Default Font"/>
    <w:basedOn w:val="Zadanifontodlomka"/>
    <w:rsid w:val="00275CA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75CA5"/>
    <w:rPr>
      <w:bdr w:space="0" w:sz="0" w:color="auto" w:val="none"/>
      <w:shd w:fill="FFFFCC" w:color="auto" w:val="clear"/>
      <w:lang w:val="hr-HR"/>
    </w:rPr>
  </w:style>
  <w:style w:customStyle="true" w:styleId="PozadinaSvijetloCrvena" w:type="character">
    <w:name w:val="Pozadina_SvijetloCrvena"/>
    <w:basedOn w:val="eSPISCCParagraphDefaultFont"/>
    <w:rsid w:val="00275CA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75CA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in Tex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semiHidden/>
    <w:unhideWhenUsed/>
    <w:qFormat/>
    <w:rsid w:val="000C0F59"/>
    <w:pPr>
      <w:keepNext/>
      <w:keepLines/>
      <w:spacing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ascii="Tahoma" w:cs="Tahoma" w:hAnsi="Tahoma"/>
      <w:sz w:val="16"/>
      <w:szCs w:val="16"/>
    </w:rPr>
  </w:style>
  <w:style w:customStyle="1"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after="120" w:line="480" w:lineRule="auto"/>
    </w:pPr>
  </w:style>
  <w:style w:customStyle="1" w:styleId="Tijeloteksta2Char" w:type="character">
    <w:name w:val="Tijelo teksta 2 Char"/>
    <w:link w:val="Tijeloteksta2"/>
    <w:rsid w:val="00B87668"/>
    <w:rPr>
      <w:sz w:val="24"/>
      <w:szCs w:val="24"/>
    </w:rPr>
  </w:style>
  <w:style w:customStyle="1" w:styleId="t-9-8" w:type="paragraph">
    <w:name w:val="t-9-8"/>
    <w:basedOn w:val="Normal"/>
    <w:rsid w:val="00DA67D6"/>
    <w:pPr>
      <w:spacing w:after="100" w:afterAutospacing="1" w:before="100" w:beforeAutospacing="1"/>
    </w:pPr>
  </w:style>
  <w:style w:styleId="Odlomakpopisa" w:type="paragraph">
    <w:name w:val="List Paragraph"/>
    <w:basedOn w:val="Normal"/>
    <w:link w:val="OdlomakpopisaChar"/>
    <w:uiPriority w:val="34"/>
    <w:qFormat/>
    <w:rsid w:val="00B72D7F"/>
    <w:pPr>
      <w:ind w:left="708"/>
    </w:pPr>
  </w:style>
  <w:style w:customStyle="1" w:styleId="TableContents" w:type="paragraph">
    <w:name w:val="Table Contents"/>
    <w:basedOn w:val="Normal"/>
    <w:rsid w:val="008F6C2F"/>
    <w:pPr>
      <w:suppressLineNumbers/>
      <w:suppressAutoHyphens/>
    </w:pPr>
    <w:rPr>
      <w:lang w:eastAsia="ar-SA" w:val="en-US"/>
    </w:rPr>
  </w:style>
  <w:style w:customStyle="1" w:styleId="Naslov1Char" w:type="character">
    <w:name w:val="Naslov 1 Char"/>
    <w:link w:val="Naslov1"/>
    <w:rsid w:val="006C55C7"/>
    <w:rPr>
      <w:b/>
      <w:bCs/>
      <w:sz w:val="24"/>
      <w:szCs w:val="24"/>
    </w:rPr>
  </w:style>
  <w:style w:customStyle="1"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1" w:styleId="OdlomakpopisaChar" w:type="character">
    <w:name w:val="Odlomak popisa Char"/>
    <w:link w:val="Odlomakpopisa"/>
    <w:uiPriority w:val="34"/>
    <w:rsid w:val="00990C7E"/>
    <w:rPr>
      <w:sz w:val="24"/>
      <w:szCs w:val="24"/>
    </w:rPr>
  </w:style>
  <w:style w:customStyle="1" w:styleId="Standard" w:type="paragraph">
    <w:name w:val="Standard"/>
    <w:rsid w:val="00F27AEF"/>
    <w:pPr>
      <w:suppressAutoHyphens/>
      <w:autoSpaceDN w:val="0"/>
      <w:textAlignment w:val="baseline"/>
    </w:pPr>
    <w:rPr>
      <w:kern w:val="3"/>
      <w:sz w:val="24"/>
      <w:szCs w:val="24"/>
      <w:lang w:eastAsia="zh-CN"/>
    </w:rPr>
  </w:style>
  <w:style w:customStyle="1" w:styleId="BezproredaChar" w:type="character">
    <w:name w:val="Bez proreda Char"/>
    <w:basedOn w:val="Zadanifontodlomka"/>
    <w:link w:val="Bezproreda"/>
    <w:uiPriority w:val="1"/>
    <w:rsid w:val="003656AF"/>
    <w:rPr>
      <w:rFonts w:eastAsia="Calibri"/>
      <w:sz w:val="24"/>
      <w:szCs w:val="22"/>
      <w:lang w:eastAsia="en-US"/>
    </w:rPr>
  </w:style>
  <w:style w:customStyle="1" w:styleId="Naslov3Char" w:type="character">
    <w:name w:val="Naslov 3 Char"/>
    <w:basedOn w:val="Zadanifontodlomka"/>
    <w:link w:val="Naslov3"/>
    <w:semiHidden/>
    <w:rsid w:val="000C0F59"/>
    <w:rPr>
      <w:rFonts w:asciiTheme="majorHAnsi" w:cstheme="majorBidi" w:eastAsiaTheme="majorEastAsia" w:hAnsiTheme="majorHAnsi"/>
      <w:b/>
      <w:bCs/>
      <w:color w:themeColor="accent1" w:val="4F81BD"/>
      <w:sz w:val="24"/>
      <w:szCs w:val="24"/>
    </w:rPr>
  </w:style>
  <w:style w:styleId="Reetkatablice" w:type="table">
    <w:name w:val="Table Grid"/>
    <w:basedOn w:val="Obinatablica"/>
    <w:uiPriority w:val="59"/>
    <w:rsid w:val="009D2B77"/>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binitekst" w:type="paragraph">
    <w:name w:val="Plain Text"/>
    <w:basedOn w:val="Normal"/>
    <w:link w:val="ObinitekstChar"/>
    <w:uiPriority w:val="99"/>
    <w:unhideWhenUsed/>
    <w:rsid w:val="00B72593"/>
    <w:rPr>
      <w:rFonts w:ascii="Calibri" w:cstheme="minorBidi" w:eastAsiaTheme="minorHAnsi" w:hAnsi="Calibri"/>
      <w:sz w:val="22"/>
      <w:szCs w:val="21"/>
      <w:lang w:eastAsia="en-US"/>
    </w:rPr>
  </w:style>
  <w:style w:customStyle="1" w:styleId="ObinitekstChar" w:type="character">
    <w:name w:val="Obični tekst Char"/>
    <w:basedOn w:val="Zadanifontodlomka"/>
    <w:link w:val="Obinitekst"/>
    <w:uiPriority w:val="99"/>
    <w:rsid w:val="00B72593"/>
    <w:rPr>
      <w:rFonts w:ascii="Calibri" w:cstheme="minorBidi" w:eastAsiaTheme="minorHAnsi" w:hAnsi="Calibri"/>
      <w:sz w:val="22"/>
      <w:szCs w:val="21"/>
      <w:lang w:eastAsia="en-US"/>
    </w:rPr>
  </w:style>
  <w:style w:styleId="Hiperveza" w:type="character">
    <w:name w:val="Hyperlink"/>
    <w:basedOn w:val="Zadanifontodlomka"/>
    <w:uiPriority w:val="99"/>
    <w:unhideWhenUsed/>
    <w:rsid w:val="004C57E4"/>
    <w:rPr>
      <w:color w:themeColor="hyperlink" w:val="0000FF"/>
      <w:u w:val="single"/>
    </w:rPr>
  </w:style>
  <w:style w:styleId="StandardWeb" w:type="paragraph">
    <w:name w:val="Normal (Web)"/>
    <w:basedOn w:val="Normal"/>
    <w:unhideWhenUsed/>
    <w:rsid w:val="004C57E4"/>
    <w:pPr>
      <w:spacing w:after="100" w:afterAutospacing="1" w:before="100" w:beforeAutospacing="1"/>
    </w:pPr>
  </w:style>
  <w:style w:styleId="Tekstrezerviranogmjesta" w:type="character">
    <w:name w:val="Placeholder Text"/>
    <w:basedOn w:val="Zadanifontodlomka"/>
    <w:uiPriority w:val="99"/>
    <w:semiHidden/>
    <w:rsid w:val="00275CA5"/>
    <w:rPr>
      <w:color w:val="808080"/>
      <w:bdr w:color="auto" w:space="0" w:sz="0" w:val="none"/>
      <w:shd w:color="auto" w:fill="auto" w:val="clear"/>
    </w:rPr>
  </w:style>
  <w:style w:customStyle="1" w:styleId="eSPISCCParagraphDefaultFont" w:type="character">
    <w:name w:val="eSPIS_CC_Paragraph Default Font"/>
    <w:basedOn w:val="Zadanifontodlomka"/>
    <w:rsid w:val="00275CA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75CA5"/>
    <w:rPr>
      <w:bdr w:color="auto" w:space="0" w:sz="0" w:val="none"/>
      <w:shd w:color="auto" w:fill="FFFFCC" w:val="clear"/>
      <w:lang w:val="hr-HR"/>
    </w:rPr>
  </w:style>
  <w:style w:customStyle="1" w:styleId="PozadinaSvijetloCrvena" w:type="character">
    <w:name w:val="Pozadina_SvijetloCrvena"/>
    <w:basedOn w:val="eSPISCCParagraphDefaultFont"/>
    <w:rsid w:val="00275CA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75CA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svibnja 2018.</izvorni_sadrzaj>
    <derivirana_varijabla naziv="DomainObject.DatumDonosenjaOdluke_1">24.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1231</izvorni_sadrzaj>
    <derivirana_varijabla naziv="DomainObject.Predmet.Broj_1">1231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2017.</izvorni_sadrzaj>
    <derivirana_varijabla naziv="DomainObject.Predmet.DatumOsnivanja_1">19.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St-1231/2017</izvorni_sadrzaj>
    <derivirana_varijabla naziv="DomainObject.Predmet.OznakaBroj_1">St-1231/2017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 Zakona o sudovima</izvorni_sadrzaj>
    <derivirana_varijabla naziv="DomainObject.Predmet.PrimjedbaSuca_1">ČL. 11 Zakona o sudovima</derivirana_varijabla>
  </DomainObject.Predmet.PrimjedbaSuca>
  <DomainObject.Predmet.ProtustrankaFormated>
    <izvorni_sadrzaj>  INTERIJERI d.o.o.</izvorni_sadrzaj>
    <derivirana_varijabla naziv="DomainObject.Predmet.ProtustrankaFormated_1">  INTERIJERI d.o.o.</derivirana_varijabla>
  </DomainObject.Predmet.ProtustrankaFormated>
  <DomainObject.Predmet.ProtustrankaFormatedOIB>
    <izvorni_sadrzaj>  INTERIJERI d.o.o., OIB 86785941201</izvorni_sadrzaj>
    <derivirana_varijabla naziv="DomainObject.Predmet.ProtustrankaFormatedOIB_1">  INTERIJERI d.o.o., OIB 86785941201</derivirana_varijabla>
  </DomainObject.Predmet.ProtustrankaFormatedOIB>
  <DomainObject.Predmet.ProtustrankaFormatedWithAdress>
    <izvorni_sadrzaj> INTERIJERI d.o.o., Rakovac 39, 47000 Karlovac</izvorni_sadrzaj>
    <derivirana_varijabla naziv="DomainObject.Predmet.ProtustrankaFormatedWithAdress_1"> INTERIJERI d.o.o., Rakovac 39, 47000 Karlovac</derivirana_varijabla>
  </DomainObject.Predmet.ProtustrankaFormatedWithAdress>
  <DomainObject.Predmet.ProtustrankaFormatedWithAdressOIB>
    <izvorni_sadrzaj> INTERIJERI d.o.o., OIB 86785941201, Rakovac 39, 47000 Karlovac</izvorni_sadrzaj>
    <derivirana_varijabla naziv="DomainObject.Predmet.ProtustrankaFormatedWithAdressOIB_1"> INTERIJERI d.o.o., OIB 86785941201, Rakovac 39, 47000 Karlovac</derivirana_varijabla>
  </DomainObject.Predmet.ProtustrankaFormatedWithAdressOIB>
  <DomainObject.Predmet.ProtustrankaWithAdress>
    <izvorni_sadrzaj>INTERIJERI d.o.o. Rakovac 39, 47000 Karlovac</izvorni_sadrzaj>
    <derivirana_varijabla naziv="DomainObject.Predmet.ProtustrankaWithAdress_1">INTERIJERI d.o.o. Rakovac 39, 47000 Karlovac</derivirana_varijabla>
  </DomainObject.Predmet.ProtustrankaWithAdress>
  <DomainObject.Predmet.ProtustrankaWithAdressOIB>
    <izvorni_sadrzaj>INTERIJERI d.o.o., OIB 86785941201, Rakovac 39, 47000 Karlovac</izvorni_sadrzaj>
    <derivirana_varijabla naziv="DomainObject.Predmet.ProtustrankaWithAdressOIB_1">INTERIJERI d.o.o., OIB 86785941201, Rakovac 39, 47000 Karlovac</derivirana_varijabla>
  </DomainObject.Predmet.ProtustrankaWithAdressOIB>
  <DomainObject.Predmet.ProtustrankaNazivFormated>
    <izvorni_sadrzaj>INTERIJERI d.o.o.</izvorni_sadrzaj>
    <derivirana_varijabla naziv="DomainObject.Predmet.ProtustrankaNazivFormated_1">INTERIJERI d.o.o.</derivirana_varijabla>
  </DomainObject.Predmet.ProtustrankaNazivFormated>
  <DomainObject.Predmet.ProtustrankaNazivFormatedOIB>
    <izvorni_sadrzaj>INTERIJERI d.o.o., OIB 86785941201</izvorni_sadrzaj>
    <derivirana_varijabla naziv="DomainObject.Predmet.ProtustrankaNazivFormatedOIB_1">INTERIJERI d.o.o., OIB 86785941201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INTERIJERI d.o.o.</item>
    </izvorni_sadrzaj>
    <derivirana_varijabla naziv="DomainObject.Predmet.ProtuStrankaListFormated_1">
      <item>INTERIJERI d.o.o.</item>
    </derivirana_varijabla>
  </DomainObject.Predmet.ProtuStrankaListFormated>
  <DomainObject.Predmet.ProtuStrankaListFormatedOIB>
    <izvorni_sadrzaj>
      <item>INTERIJERI d.o.o., OIB 86785941201</item>
    </izvorni_sadrzaj>
    <derivirana_varijabla naziv="DomainObject.Predmet.ProtuStrankaListFormatedOIB_1">
      <item>INTERIJERI d.o.o., OIB 86785941201</item>
    </derivirana_varijabla>
  </DomainObject.Predmet.ProtuStrankaListFormatedOIB>
  <DomainObject.Predmet.ProtuStrankaListFormatedWithAdress>
    <izvorni_sadrzaj>
      <item>INTERIJERI d.o.o., Rakovac 39, 47000 Karlovac</item>
    </izvorni_sadrzaj>
    <derivirana_varijabla naziv="DomainObject.Predmet.ProtuStrankaListFormatedWithAdress_1">
      <item>INTERIJERI d.o.o., Rakovac 39, 47000 Karlovac</item>
    </derivirana_varijabla>
  </DomainObject.Predmet.ProtuStrankaListFormatedWithAdress>
  <DomainObject.Predmet.ProtuStrankaListFormatedWithAdressOIB>
    <izvorni_sadrzaj>
      <item>INTERIJERI d.o.o., OIB 86785941201, Rakovac 39, 47000 Karlovac</item>
    </izvorni_sadrzaj>
    <derivirana_varijabla naziv="DomainObject.Predmet.ProtuStrankaListFormatedWithAdressOIB_1">
      <item>INTERIJERI d.o.o., OIB 86785941201, Rakovac 39, 47000 Karlovac</item>
    </derivirana_varijabla>
  </DomainObject.Predmet.ProtuStrankaListFormatedWithAdressOIB>
  <DomainObject.Predmet.ProtuStrankaListNazivFormated>
    <izvorni_sadrzaj>
      <item>INTERIJERI d.o.o.</item>
    </izvorni_sadrzaj>
    <derivirana_varijabla naziv="DomainObject.Predmet.ProtuStrankaListNazivFormated_1">
      <item>INTERIJERI d.o.o.</item>
    </derivirana_varijabla>
  </DomainObject.Predmet.ProtuStrankaListNazivFormated>
  <DomainObject.Predmet.ProtuStrankaListNazivFormatedOIB>
    <izvorni_sadrzaj>
      <item>INTERIJERI d.o.o., OIB 86785941201</item>
    </izvorni_sadrzaj>
    <derivirana_varijabla naziv="DomainObject.Predmet.ProtuStrankaListNazivFormatedOIB_1">
      <item>INTERIJERI d.o.o., OIB 86785941201</item>
    </derivirana_varijabla>
  </DomainObject.Predmet.ProtuStrankaListNazivFormatedOIB>
  <DomainObject.Predmet.OstaliListFormated>
    <izvorni_sadrzaj>
      <item>Marija Franušić</item>
      <item>ŽDO GUO Osijek</item>
    </izvorni_sadrzaj>
    <derivirana_varijabla naziv="DomainObject.Predmet.OstaliListFormated_1">
      <item>Marija Franušić</item>
      <item>ŽDO GUO Osijek</item>
    </derivirana_varijabla>
  </DomainObject.Predmet.OstaliListFormated>
  <DomainObject.Predmet.OstaliListFormatedOIB>
    <izvorni_sadrzaj>
      <item>Marija Franušić, OIB 29799289984</item>
      <item>ŽDO GUO Osijek</item>
    </izvorni_sadrzaj>
    <derivirana_varijabla naziv="DomainObject.Predmet.OstaliListFormatedOIB_1">
      <item>Marija Franušić, OIB 29799289984</item>
      <item>ŽDO GUO Osijek</item>
    </derivirana_varijabla>
  </DomainObject.Predmet.OstaliListFormatedOIB>
  <DomainObject.Predmet.OstaliListFormatedWithAdress>
    <izvorni_sadrzaj>
      <item>Marija Franušić, Gornje Mekušje 49, 47000 Karlovac</item>
      <item>ŽDO GUO Osijek</item>
    </izvorni_sadrzaj>
    <derivirana_varijabla naziv="DomainObject.Predmet.OstaliListFormatedWithAdress_1">
      <item>Marija Franušić, Gornje Mekušje 49, 47000 Karlovac</item>
      <item>ŽDO GUO Osijek</item>
    </derivirana_varijabla>
  </DomainObject.Predmet.OstaliListFormatedWithAdress>
  <DomainObject.Predmet.OstaliListFormatedWithAdressOIB>
    <izvorni_sadrzaj>
      <item>Marija Franušić, OIB 29799289984, Gornje Mekušje 49, 47000 Karlovac</item>
      <item>ŽDO GUO Osijek</item>
    </izvorni_sadrzaj>
    <derivirana_varijabla naziv="DomainObject.Predmet.OstaliListFormatedWithAdressOIB_1">
      <item>Marija Franušić, OIB 29799289984, Gornje Mekušje 49, 47000 Karlovac</item>
      <item>ŽDO GUO Osijek</item>
    </derivirana_varijabla>
  </DomainObject.Predmet.OstaliListFormatedWithAdressOIB>
  <DomainObject.Predmet.OstaliListNazivFormated>
    <izvorni_sadrzaj>
      <item>Marija Franušić</item>
      <item>ŽDO GUO Osijek</item>
    </izvorni_sadrzaj>
    <derivirana_varijabla naziv="DomainObject.Predmet.OstaliListNazivFormated_1">
      <item>Marija Franušić</item>
      <item>ŽDO GUO Osijek</item>
    </derivirana_varijabla>
  </DomainObject.Predmet.OstaliListNazivFormated>
  <DomainObject.Predmet.OstaliListNazivFormatedOIB>
    <izvorni_sadrzaj>
      <item>Marija Franušić, OIB 29799289984</item>
      <item>ŽDO GUO Osijek</item>
    </izvorni_sadrzaj>
    <derivirana_varijabla naziv="DomainObject.Predmet.OstaliListNazivFormatedOIB_1">
      <item>Marija Franušić, OIB 29799289984</item>
      <item>ŽDO GUO Osijek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svibnja 2018.</izvorni_sadrzaj>
    <derivirana_varijabla naziv="DomainObject.Datum_1">24. svibnja 2018.</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INTERIJERI d.o.o.</izvorni_sadrzaj>
    <derivirana_varijabla naziv="DomainObject.Predmet.ProtustrankaIDrugi_1">INTERIJERI 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INTERIJERI d.o.o., OIB 86785941201, Rakovac 39, 47000 Karlovac</izvorni_sadrzaj>
    <derivirana_varijabla naziv="DomainObject.Predmet.ProtustrankaIDrugiAdressOIB_1">INTERIJERI d.o.o., OIB 86785941201, Rakovac 39,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INTERIJERI d.o.o.</item>
      <item>FINA regionalni centar Zagreb, podružnica Karlovac</item>
      <item>Marija Franušić</item>
      <item>ŽDO GUO Osijek</item>
    </izvorni_sadrzaj>
    <derivirana_varijabla naziv="DomainObject.Predmet.SudioniciListNaziv_1">
      <item>INTERIJERI d.o.o.</item>
      <item>FINA regionalni centar Zagreb, podružnica Karlovac</item>
      <item>Marija Franušić</item>
      <item>ŽDO GUO Osijek</item>
    </derivirana_varijabla>
  </DomainObject.Predmet.SudioniciListNaziv>
  <DomainObject.Predmet.SudioniciListAdressOIB>
    <izvorni_sadrzaj>
      <item>INTERIJERI d.o.o., OIB 86785941201, Rakovac 39,47000 Karlovac</item>
      <item>FINA regionalni centar Zagreb, podružnica Karlovac, OIB 85821130368, Vitezovićeva 1,47000 Karlovac</item>
      <item>Marija Franušić, OIB 29799289984, Gornje Mekušje 49,47000 Karlovac</item>
      <item>ŽDO GUO Osijek</item>
    </izvorni_sadrzaj>
    <derivirana_varijabla naziv="DomainObject.Predmet.SudioniciListAdressOIB_1">
      <item>INTERIJERI d.o.o., OIB 86785941201, Rakovac 39,47000 Karlovac</item>
      <item>FINA regionalni centar Zagreb, podružnica Karlovac, OIB 85821130368, Vitezovićeva 1,47000 Karlovac</item>
      <item>Marija Franušić, OIB 29799289984, Gornje Mekušje 49,47000 Karlovac</item>
      <item>ŽDO GUO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86785941201</item>
      <item>, OIB 85821130368</item>
      <item>, OIB 29799289984</item>
      <item>, OIB null</item>
    </izvorni_sadrzaj>
    <derivirana_varijabla naziv="DomainObject.Predmet.SudioniciListNazivOIB_1">
      <item>, OIB 86785941201</item>
      <item>, OIB 85821130368</item>
      <item>, OIB 29799289984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Krešimir Tomac, OIB 89208179103, Tome Bakača 35 Slavonski Brod</item>
    </izvorni_sadrzaj>
    <derivirana_varijabla naziv="DomainObject.Predmet.StecajniUpraviteljiListAddressOIB_1">
      <item>Krešimir Tomac, OIB 89208179103, Tome Bakača 35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483B33A-E5A0-41DF-9D27-E5E2583C4EC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6</properties:Pages>
  <properties:Words>2059</properties:Words>
  <properties:Characters>11874</properties:Characters>
  <properties:Lines>319</properties:Lines>
  <properties:Paragraphs>146</properties:Paragraphs>
  <properties:TotalTime>1084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13918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2016-08-23T12:28:00Z</dcterms:created>
  <dc:creator>banka</dc:creator>
  <cp:lastModifiedBy>Elizabeta Đeke</cp:lastModifiedBy>
  <cp:lastPrinted>2018-05-16T06:59:00Z</cp:lastPrinted>
  <dcterms:modified xmlns:xsi="http://www.w3.org/2001/XMLSchema-instance" xsi:type="dcterms:W3CDTF">2018-05-24T07:00:00Z</dcterms:modified>
  <cp:revision>100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otv. i zaklj. nakon poziva na uplatu NOVO.docx)</vt:lpwstr>
  </prop:property>
  <prop:property name="CC_coloring" pid="4" fmtid="{D5CDD505-2E9C-101B-9397-08002B2CF9AE}">
    <vt:bool>false</vt:bool>
  </prop:property>
  <prop:property name="BrojStranica" pid="5" fmtid="{D5CDD505-2E9C-101B-9397-08002B2CF9AE}">
    <vt:i4>6</vt:i4>
  </prop:property>
</prop:Properties>
</file>