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ea653" w14:paraId="10ea653" w:rsidRDefault="00494FB2" w:rsidP="00910611" w:rsidR="00D73553" w:rsidRPr="007949ED">
      <w:pPr>
        <w:ind w:firstLine="708"/>
        <w15:collapsed w:val="false"/>
      </w:pPr>
      <w:bookmarkStart w:name="_GoBack" w:id="0"/>
      <w:bookmarkEnd w:id="0"/>
      <w:r w:rsidRPr="007949ED">
        <w:t xml:space="preserve"> </w:t>
      </w:r>
      <w:r w:rsidR="00D73553" w:rsidRPr="007949ED">
        <w:rPr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73553" w:rsidP="00910611" w:rsidR="00D73553" w:rsidRPr="007949ED">
      <w:r w:rsidRPr="007949ED">
        <w:rPr>
          <w:rFonts w:eastAsia="MS Mincho"/>
          <w:szCs w:val="24"/>
        </w:rPr>
        <w:t>REPUBLIKA HRVATSKA</w:t>
      </w:r>
    </w:p>
    <w:p w:rsidRDefault="00D73553" w:rsidP="00910611" w:rsidR="00D73553" w:rsidRPr="007949ED">
      <w:r w:rsidRPr="007949ED">
        <w:rPr>
          <w:rFonts w:eastAsia="MS Mincho"/>
          <w:szCs w:val="24"/>
        </w:rPr>
        <w:t>TRGOVAČKI SUD U RIJECI</w:t>
      </w:r>
    </w:p>
    <w:p w:rsidRDefault="00CC037E" w:rsidR="00D73553" w:rsidRPr="007949ED">
      <w:pPr>
        <w:rPr>
          <w:rFonts w:eastAsia="MS Mincho"/>
          <w:szCs w:val="24"/>
        </w:rPr>
      </w:pPr>
      <w:r w:rsidRPr="007949ED">
        <w:rPr>
          <w:rFonts w:eastAsia="MS Mincho"/>
          <w:szCs w:val="24"/>
        </w:rPr>
        <w:t xml:space="preserve"> </w:t>
      </w:r>
      <w:r w:rsidR="00D73553" w:rsidRPr="007949ED">
        <w:rPr>
          <w:rFonts w:eastAsia="MS Mincho"/>
          <w:szCs w:val="24"/>
        </w:rPr>
        <w:t xml:space="preserve">     Rijeka, Zadarska 1 i 3</w:t>
      </w:r>
    </w:p>
    <w:p w:rsidRDefault="0010127F" w:rsidP="0010127F" w:rsidR="0010127F">
      <w:pPr>
        <w:jc w:val="center"/>
      </w:pPr>
    </w:p>
    <w:p w:rsidRDefault="0010127F" w:rsidP="0010127F" w:rsidR="0010127F">
      <w:pPr>
        <w:jc w:val="center"/>
      </w:pPr>
      <w:r>
        <w:t>R E P U B L I K A    H R V A T S K A</w:t>
      </w:r>
    </w:p>
    <w:p w:rsidRDefault="0010127F" w:rsidP="0010127F" w:rsidR="0010127F">
      <w:pPr>
        <w:jc w:val="center"/>
      </w:pPr>
      <w:r>
        <w:t>R J E Š E N J E</w:t>
      </w:r>
    </w:p>
    <w:p w:rsidRDefault="0010127F" w:rsidP="0010127F" w:rsidR="0010127F">
      <w:pPr>
        <w:jc w:val="center"/>
      </w:pPr>
    </w:p>
    <w:p w:rsidRDefault="0010127F" w:rsidP="0010127F" w:rsidR="0010127F">
      <w:pPr>
        <w:jc w:val="both"/>
      </w:pPr>
      <w:r>
        <w:tab/>
        <w:t>Trgovački sud u Rijeci, po sucu ovog suda Veri Jelenović, u postupku sklapanja predstečajne nagodbe nad dužnikom Ugostiteljski obrt TONI, lv. Lino Milanović – Antun iz Motovuna, Brkač 26a, OIB: 73213304388, dana 30. svibnja 2018.</w:t>
      </w:r>
    </w:p>
    <w:p w:rsidRDefault="0010127F" w:rsidP="0010127F" w:rsidR="0010127F">
      <w:pPr>
        <w:jc w:val="both"/>
      </w:pPr>
    </w:p>
    <w:p w:rsidRDefault="0010127F" w:rsidP="0010127F" w:rsidR="0010127F">
      <w:pPr>
        <w:jc w:val="center"/>
      </w:pPr>
      <w:r>
        <w:t>r i j e š i o    j e</w:t>
      </w:r>
    </w:p>
    <w:p w:rsidRDefault="0010127F" w:rsidP="0010127F" w:rsidR="0010127F">
      <w:pPr>
        <w:jc w:val="both"/>
      </w:pPr>
    </w:p>
    <w:p w:rsidRDefault="0010127F" w:rsidP="0010127F" w:rsidR="0010127F">
      <w:pPr>
        <w:jc w:val="both"/>
      </w:pPr>
      <w:r>
        <w:t>I.</w:t>
      </w:r>
      <w:r>
        <w:tab/>
        <w:t xml:space="preserve">Pozivaju se stranke da preuzmu postupak u ovoj pravnoj stvari, a koji je prekinut do </w:t>
      </w:r>
      <w:r w:rsidRPr="0010127F">
        <w:t>pravomoćne odluke kojom se utvrđuju nasljednici iza pokojnog Antuna Kapeloto (OIB: 95809696920).</w:t>
      </w:r>
    </w:p>
    <w:p w:rsidRDefault="0010127F" w:rsidP="0010127F" w:rsidR="0010127F">
      <w:pPr>
        <w:jc w:val="both"/>
      </w:pPr>
      <w:r>
        <w:t>II.</w:t>
      </w:r>
      <w:r>
        <w:tab/>
        <w:t xml:space="preserve">Rokovi koji su zbog prekida postupka prestali teći počinju za zainteresirane stranke teći u cijelosti iznova od dana kad joj sud dostavi rješenje o nastavku postupka. </w:t>
      </w:r>
    </w:p>
    <w:p w:rsidRDefault="0010127F" w:rsidP="0010127F" w:rsidR="0010127F">
      <w:pPr>
        <w:jc w:val="both"/>
      </w:pPr>
      <w:r>
        <w:t>III.</w:t>
      </w:r>
      <w:r>
        <w:tab/>
        <w:t>Postupak će se nastaviti pod novim poslovnim brojem</w:t>
      </w:r>
      <w:r w:rsidR="00323637">
        <w:t xml:space="preserve"> </w:t>
      </w:r>
      <w:r w:rsidR="00EE7073">
        <w:t>Stpn-1/2018</w:t>
      </w:r>
      <w:r>
        <w:t>.</w:t>
      </w:r>
    </w:p>
    <w:p w:rsidRDefault="0010127F" w:rsidP="0010127F" w:rsidR="0010127F">
      <w:pPr>
        <w:jc w:val="both"/>
      </w:pPr>
    </w:p>
    <w:p w:rsidRDefault="0010127F" w:rsidP="0010127F" w:rsidR="0010127F">
      <w:pPr>
        <w:jc w:val="center"/>
      </w:pPr>
      <w:r>
        <w:t>Obrazloženje</w:t>
      </w:r>
    </w:p>
    <w:p w:rsidRDefault="0010127F" w:rsidP="0010127F" w:rsidR="0010127F">
      <w:pPr>
        <w:jc w:val="center"/>
      </w:pPr>
    </w:p>
    <w:p w:rsidRDefault="0010127F" w:rsidP="0010127F" w:rsidR="0010127F" w:rsidRPr="0010127F">
      <w:pPr>
        <w:jc w:val="both"/>
        <w:rPr>
          <w:color w:val="000000"/>
        </w:rPr>
      </w:pPr>
      <w:r w:rsidRPr="0010127F">
        <w:rPr>
          <w:color w:val="000000"/>
        </w:rPr>
        <w:tab/>
        <w:t>Predlagatelj je u ovom predmetu podnio prijedlog radi sklapanja predstečajne nagodbe nad dužnikom Ugostiteljski obrt TONI, lv. Lino Milanović – Antun iz Motovuna, Brkač 26a, OIB: 73213304388.</w:t>
      </w:r>
    </w:p>
    <w:p w:rsidRDefault="0010127F" w:rsidP="0010127F" w:rsidR="0010127F">
      <w:pPr>
        <w:jc w:val="both"/>
        <w:rPr>
          <w:color w:val="000000"/>
        </w:rPr>
      </w:pPr>
      <w:r w:rsidRPr="0010127F">
        <w:rPr>
          <w:color w:val="000000"/>
        </w:rPr>
        <w:tab/>
        <w:t>Međutim, nakon ovog prijedloga je dana 15. lipnja 2015. godine umro jedan od dužnikovih velikih vjerovnika An</w:t>
      </w:r>
      <w:r>
        <w:rPr>
          <w:color w:val="000000"/>
        </w:rPr>
        <w:t xml:space="preserve">tun Kapeloto (OIB: 95809696920), zbog čega je </w:t>
      </w:r>
      <w:r w:rsidRPr="0010127F">
        <w:rPr>
          <w:color w:val="000000"/>
        </w:rPr>
        <w:t xml:space="preserve">sud u ovome predmetu </w:t>
      </w:r>
      <w:r w:rsidR="00EE7073">
        <w:rPr>
          <w:color w:val="000000"/>
        </w:rPr>
        <w:t xml:space="preserve">rješenjem posl. br. 14. Stpn-111/2014-5 od 20. siječnja 2016. </w:t>
      </w:r>
      <w:r w:rsidRPr="0010127F">
        <w:rPr>
          <w:color w:val="000000"/>
        </w:rPr>
        <w:t>prekinuo postupak do pravomoćne odluke kojom se utvrđuju nasljednici iza pokojnog Antuna Kapeloto (OIB: 95809696920).</w:t>
      </w:r>
    </w:p>
    <w:p w:rsidRDefault="000325DF" w:rsidP="0010127F" w:rsidR="0010127F">
      <w:pPr>
        <w:jc w:val="both"/>
        <w:rPr>
          <w:rFonts w:cs="Times New Roman"/>
          <w:szCs w:val="24"/>
        </w:rPr>
      </w:pPr>
      <w:r>
        <w:rPr>
          <w:color w:val="000000"/>
        </w:rPr>
        <w:tab/>
      </w:r>
      <w:r w:rsidR="0010127F">
        <w:rPr>
          <w:color w:val="000000"/>
        </w:rPr>
        <w:t xml:space="preserve">Naknadno je u spis zaprimljeno rješenje Općinskog suda u Puli-Pola Stalna služba u Pazinu posl. br. 5 O-2866/2017-35 od 16. studenoga 2017. kojim je kao jedini nasljednik pokojnog Antuna Kapeloto proglašena Laura Kapeloto, Sveti Vinčenat, Salambati, Salambati 50, OIB:23708581689.  </w:t>
      </w:r>
      <w:r>
        <w:rPr>
          <w:color w:val="000000"/>
        </w:rPr>
        <w:t>Navedeno je rješenje postalo pravomoćno dana 20. studenoga 2017.</w:t>
      </w:r>
      <w:r w:rsidR="0010127F">
        <w:rPr>
          <w:color w:val="000000"/>
        </w:rPr>
        <w:t xml:space="preserve"> </w:t>
      </w:r>
    </w:p>
    <w:p w:rsidRDefault="0010127F" w:rsidP="0010127F" w:rsidR="0010127F">
      <w:pPr>
        <w:jc w:val="both"/>
      </w:pPr>
      <w:r>
        <w:tab/>
        <w:t xml:space="preserve">Slijedom navedenog, valjalo je riješiti kao u izreci ovog rješenja </w:t>
      </w:r>
    </w:p>
    <w:p w:rsidRDefault="0010127F" w:rsidP="0010127F" w:rsidR="0010127F">
      <w:pPr>
        <w:jc w:val="both"/>
      </w:pPr>
    </w:p>
    <w:p w:rsidRDefault="0010127F" w:rsidP="00EE7073" w:rsidR="0010127F">
      <w:pPr>
        <w:jc w:val="center"/>
      </w:pPr>
      <w:r>
        <w:t xml:space="preserve">Rijeka, </w:t>
      </w:r>
      <w:r w:rsidR="000325DF">
        <w:t xml:space="preserve">30. svibnja </w:t>
      </w:r>
      <w:r>
        <w:t>2018.</w:t>
      </w:r>
    </w:p>
    <w:p w:rsidRDefault="0010127F" w:rsidP="0010127F" w:rsidR="0010127F">
      <w:pPr>
        <w:jc w:val="both"/>
      </w:pPr>
    </w:p>
    <w:p w:rsidRDefault="0010127F" w:rsidP="0010127F" w:rsidR="0010127F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Sudac</w:t>
      </w:r>
    </w:p>
    <w:p w:rsidRDefault="0010127F" w:rsidP="0010127F" w:rsidR="0010127F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Vera Jelenović</w:t>
      </w:r>
    </w:p>
    <w:p w:rsidRDefault="0010127F" w:rsidP="0010127F" w:rsidR="0010127F">
      <w:pPr>
        <w:jc w:val="both"/>
      </w:pPr>
    </w:p>
    <w:p w:rsidRDefault="0010127F" w:rsidP="0010127F" w:rsidR="0010127F">
      <w:pPr>
        <w:jc w:val="both"/>
      </w:pPr>
      <w:r>
        <w:t>UPUTA O PRAVNOM LIJEKU:</w:t>
      </w:r>
    </w:p>
    <w:p w:rsidRDefault="0010127F" w:rsidP="0070734A" w:rsidR="0070734A">
      <w:pPr>
        <w:jc w:val="both"/>
      </w:pPr>
      <w:r>
        <w:tab/>
        <w:t>Protiv ovog rješenja nezadovoljna stranka može podnijeti žalbu u roku od 8 dana od dana primitka istog. Žalba se podnosi putem ovog suda u tri istovjetna primjerka, a o žalbi odlučuje Visoki trgovački sud Republike Hrvatske u Zagrebu.</w:t>
      </w:r>
    </w:p>
    <w:sectPr w:rsidR="0070734A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D4578" w:rsidP="00C75245" w:rsidR="000D4578">
      <w:r>
        <w:separator/>
      </w:r>
    </w:p>
  </w:endnote>
  <w:endnote w:id="0" w:type="continuationSeparator">
    <w:p w:rsidRDefault="000D4578" w:rsidP="00C75245" w:rsidR="000D45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82446127"/>
      <w:docPartObj>
        <w:docPartGallery w:val="Page Numbers (Bottom of Page)"/>
        <w:docPartUnique/>
      </w:docPartObj>
    </w:sdtPr>
    <w:sdtEndPr/>
    <w:sdtContent>
      <w:p w:rsidRDefault="00C75245" w:rsidR="00C7524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B3DD7">
          <w:rPr>
            <w:noProof/>
          </w:rPr>
          <w:t>1</w:t>
        </w:r>
        <w:r>
          <w:fldChar w:fldCharType="end"/>
        </w:r>
      </w:p>
    </w:sdtContent>
  </w:sdt>
  <w:p w:rsidRDefault="00FB3DD7" w:rsidR="0014093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D4578" w:rsidP="00C75245" w:rsidR="000D4578">
      <w:r>
        <w:separator/>
      </w:r>
    </w:p>
  </w:footnote>
  <w:footnote w:id="0" w:type="continuationSeparator">
    <w:p w:rsidRDefault="000D4578" w:rsidP="00C75245" w:rsidR="000D457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64AA" w:rsidP="008964AA" w:rsidR="008964AA">
    <w:pPr>
      <w:jc w:val="right"/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>Posl.br. 14 St</w:t>
    </w:r>
    <w:r w:rsidR="0010127F">
      <w:t>pn</w:t>
    </w:r>
    <w:r>
      <w:t>-</w:t>
    </w:r>
    <w:r w:rsidR="00EE7073">
      <w:t>1/2018</w:t>
    </w:r>
    <w:r w:rsidR="006E4B90">
      <w:t>-2</w:t>
    </w:r>
  </w:p>
  <w:p w:rsidRDefault="00FB3DD7" w:rsidR="001409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</w:lvl>
    <w:lvl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1">
    <w:nsid w:val="082C2FCB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2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6F05529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5">
    <w:nsid w:val="45341E29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6">
    <w:nsid w:val="50D260F0"/>
    <w:multiLevelType w:val="hybridMultilevel"/>
    <w:tmpl w:val="CE6226B0"/>
    <w:lvl w:tplc="A8F2C3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7C9F39C5"/>
    <w:multiLevelType w:val="hybridMultilevel"/>
    <w:tmpl w:val="1E7604C8"/>
    <w:lvl w:tplc="BBA2B346" w:ilvl="0">
      <w:start w:val="1"/>
      <w:numFmt w:val="upperRoman"/>
      <w:lvlText w:val="%1."/>
      <w:lvlJc w:val="left"/>
      <w:pPr>
        <w:ind w:hanging="720" w:left="1980"/>
      </w:pPr>
    </w:lvl>
    <w:lvl w:tplc="041A0019" w:ilvl="1">
      <w:start w:val="1"/>
      <w:numFmt w:val="lowerLetter"/>
      <w:lvlText w:val="%2."/>
      <w:lvlJc w:val="left"/>
      <w:pPr>
        <w:ind w:hanging="360" w:left="2340"/>
      </w:pPr>
    </w:lvl>
    <w:lvl w:tplc="041A001B" w:ilvl="2">
      <w:start w:val="1"/>
      <w:numFmt w:val="lowerRoman"/>
      <w:lvlText w:val="%3."/>
      <w:lvlJc w:val="right"/>
      <w:pPr>
        <w:ind w:hanging="180" w:left="3060"/>
      </w:pPr>
    </w:lvl>
    <w:lvl w:tplc="041A000F" w:ilvl="3">
      <w:start w:val="1"/>
      <w:numFmt w:val="decimal"/>
      <w:lvlText w:val="%4."/>
      <w:lvlJc w:val="left"/>
      <w:pPr>
        <w:ind w:hanging="360" w:left="3780"/>
      </w:pPr>
    </w:lvl>
    <w:lvl w:tplc="041A0019" w:ilvl="4">
      <w:start w:val="1"/>
      <w:numFmt w:val="lowerLetter"/>
      <w:lvlText w:val="%5."/>
      <w:lvlJc w:val="left"/>
      <w:pPr>
        <w:ind w:hanging="360" w:left="4500"/>
      </w:pPr>
    </w:lvl>
    <w:lvl w:tplc="041A001B" w:ilvl="5">
      <w:start w:val="1"/>
      <w:numFmt w:val="lowerRoman"/>
      <w:lvlText w:val="%6."/>
      <w:lvlJc w:val="right"/>
      <w:pPr>
        <w:ind w:hanging="180" w:left="5220"/>
      </w:pPr>
    </w:lvl>
    <w:lvl w:tplc="041A000F" w:ilvl="6">
      <w:start w:val="1"/>
      <w:numFmt w:val="decimal"/>
      <w:lvlText w:val="%7."/>
      <w:lvlJc w:val="left"/>
      <w:pPr>
        <w:ind w:hanging="360" w:left="5940"/>
      </w:pPr>
    </w:lvl>
    <w:lvl w:tplc="041A0019" w:ilvl="7">
      <w:start w:val="1"/>
      <w:numFmt w:val="lowerLetter"/>
      <w:lvlText w:val="%8."/>
      <w:lvlJc w:val="left"/>
      <w:pPr>
        <w:ind w:hanging="360" w:left="6660"/>
      </w:pPr>
    </w:lvl>
    <w:lvl w:tplc="041A001B" w:ilvl="8">
      <w:start w:val="1"/>
      <w:numFmt w:val="lowerRoman"/>
      <w:lvlText w:val="%9."/>
      <w:lvlJc w:val="right"/>
      <w:pPr>
        <w:ind w:hanging="180" w:left="73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5245"/>
    <w:rsid w:val="000243E1"/>
    <w:rsid w:val="000325DF"/>
    <w:rsid w:val="000D4578"/>
    <w:rsid w:val="000E593A"/>
    <w:rsid w:val="0010127F"/>
    <w:rsid w:val="0010243B"/>
    <w:rsid w:val="001D0EF7"/>
    <w:rsid w:val="0024139F"/>
    <w:rsid w:val="00323637"/>
    <w:rsid w:val="00397E6A"/>
    <w:rsid w:val="00412959"/>
    <w:rsid w:val="0041565A"/>
    <w:rsid w:val="00494FB2"/>
    <w:rsid w:val="004A2B10"/>
    <w:rsid w:val="004C2D6D"/>
    <w:rsid w:val="0060550D"/>
    <w:rsid w:val="0061104D"/>
    <w:rsid w:val="006E4B90"/>
    <w:rsid w:val="0070734A"/>
    <w:rsid w:val="0072559B"/>
    <w:rsid w:val="007424DD"/>
    <w:rsid w:val="00744572"/>
    <w:rsid w:val="00784120"/>
    <w:rsid w:val="00790743"/>
    <w:rsid w:val="007949ED"/>
    <w:rsid w:val="007B500B"/>
    <w:rsid w:val="007E5F1B"/>
    <w:rsid w:val="00810717"/>
    <w:rsid w:val="00842366"/>
    <w:rsid w:val="00842A2C"/>
    <w:rsid w:val="008964AA"/>
    <w:rsid w:val="008A2140"/>
    <w:rsid w:val="008D78DC"/>
    <w:rsid w:val="008F410A"/>
    <w:rsid w:val="00A51E81"/>
    <w:rsid w:val="00A811AD"/>
    <w:rsid w:val="00AF7AF2"/>
    <w:rsid w:val="00B1301F"/>
    <w:rsid w:val="00B3391E"/>
    <w:rsid w:val="00B45B51"/>
    <w:rsid w:val="00B54D90"/>
    <w:rsid w:val="00BA0277"/>
    <w:rsid w:val="00C60B28"/>
    <w:rsid w:val="00C75245"/>
    <w:rsid w:val="00CB0C5F"/>
    <w:rsid w:val="00CC037E"/>
    <w:rsid w:val="00CC68D6"/>
    <w:rsid w:val="00D73553"/>
    <w:rsid w:val="00D930A1"/>
    <w:rsid w:val="00DC79F5"/>
    <w:rsid w:val="00E20C10"/>
    <w:rsid w:val="00EA1771"/>
    <w:rsid w:val="00EB21C9"/>
    <w:rsid w:val="00EC4032"/>
    <w:rsid w:val="00EE7073"/>
    <w:rsid w:val="00EF14C0"/>
    <w:rsid w:val="00F31CAD"/>
    <w:rsid w:val="00F50C0F"/>
    <w:rsid w:val="00F960E1"/>
    <w:rsid w:val="00FB3DD7"/>
    <w:rsid w:val="00FC45FF"/>
    <w:rsid w:val="00FD3258"/>
    <w:rsid w:val="00FE0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424DD"/>
  </w:style>
  <w:style w:styleId="Naslov1" w:type="paragraph">
    <w:name w:val="heading 1"/>
    <w:basedOn w:val="Normal"/>
    <w:next w:val="Normal"/>
    <w:link w:val="Naslov1Char"/>
    <w:qFormat/>
    <w:rsid w:val="000E593A"/>
    <w:pPr>
      <w:keepNext/>
      <w:jc w:val="center"/>
      <w:outlineLvl w:val="0"/>
    </w:pPr>
    <w:rPr>
      <w:rFonts w:cs="Times New Roman" w:eastAsia="Times New Roman"/>
      <w:b/>
      <w:bCs/>
      <w:sz w:val="28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E593A"/>
    <w:pPr>
      <w:keepNext/>
      <w:outlineLvl w:val="1"/>
    </w:pPr>
    <w:rPr>
      <w:rFonts w:cs="Times New Roman" w:eastAsia="Times New Roman"/>
      <w:b/>
      <w:bCs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cs="Tahoma" w:hAnsi="Tahoma" w:ascii="Tahoma"/>
      <w:sz w:val="16"/>
      <w:szCs w:val="16"/>
    </w:rPr>
  </w:style>
  <w:style w:customStyle="true" w:styleId="Naslov1Char" w:type="character">
    <w:name w:val="Naslov 1 Char"/>
    <w:basedOn w:val="Zadanifontodlomka"/>
    <w:link w:val="Naslov1"/>
    <w:rsid w:val="000E593A"/>
    <w:rPr>
      <w:rFonts w:cs="Times New Roman" w:eastAsia="Times New Roman"/>
      <w:b/>
      <w:bCs/>
      <w:sz w:val="28"/>
      <w:szCs w:val="20"/>
    </w:rPr>
  </w:style>
  <w:style w:customStyle="true" w:styleId="Naslov2Char" w:type="character">
    <w:name w:val="Naslov 2 Char"/>
    <w:basedOn w:val="Zadanifontodlomka"/>
    <w:link w:val="Naslov2"/>
    <w:semiHidden/>
    <w:rsid w:val="000E593A"/>
    <w:rPr>
      <w:rFonts w:cs="Times New Roman" w:eastAsia="Times New Roman"/>
      <w:b/>
      <w:bCs/>
      <w:szCs w:val="20"/>
    </w:rPr>
  </w:style>
  <w:style w:customStyle="true" w:styleId="st1" w:type="character">
    <w:name w:val="st1"/>
    <w:rsid w:val="000E593A"/>
  </w:style>
  <w:style w:customStyle="true" w:styleId="Default" w:type="paragraph">
    <w:name w:val="Default"/>
    <w:rsid w:val="00CC68D6"/>
    <w:pPr>
      <w:autoSpaceDE w:val="false"/>
      <w:autoSpaceDN w:val="false"/>
      <w:adjustRightInd w:val="false"/>
    </w:pPr>
    <w:rPr>
      <w:rFonts w:cs="Times New Roman" w:eastAsia="Times New Roman"/>
      <w:color w:val="000000"/>
      <w:szCs w:val="24"/>
      <w:lang w:eastAsia="hr-HR"/>
    </w:rPr>
  </w:style>
  <w:style w:styleId="Bezproreda" w:type="paragraph">
    <w:name w:val="No Spacing"/>
    <w:uiPriority w:val="99"/>
    <w:qFormat/>
    <w:rsid w:val="00CC68D6"/>
    <w:pPr>
      <w:spacing w:after="80"/>
    </w:pPr>
    <w:rPr>
      <w:rFonts w:cs="Times New Roman" w:eastAsia="Times New Roman" w:hAnsi="Calibri" w:ascii="Calibri"/>
      <w:sz w:val="22"/>
    </w:rPr>
  </w:style>
  <w:style w:styleId="Tijeloteksta" w:type="paragraph">
    <w:name w:val="Body Text"/>
    <w:basedOn w:val="Normal"/>
    <w:link w:val="TijelotekstaChar"/>
    <w:semiHidden/>
    <w:unhideWhenUsed/>
    <w:rsid w:val="008A2140"/>
    <w:pPr>
      <w:jc w:val="both"/>
    </w:pPr>
    <w:rPr>
      <w:rFonts w:cs="Times New Roman" w:eastAsia="Times New Roman"/>
      <w:szCs w:val="24"/>
      <w:lang w:eastAsia="hr-HR"/>
    </w:rPr>
  </w:style>
  <w:style w:customStyle="true" w:styleId="TijelotekstaChar" w:type="character">
    <w:name w:val="Tijelo teksta Char"/>
    <w:basedOn w:val="Zadanifontodlomka"/>
    <w:link w:val="Tijeloteksta"/>
    <w:semiHidden/>
    <w:rsid w:val="008A2140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B3DD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B3DD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B3DD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B3DD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B3DD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424DD"/>
  </w:style>
  <w:style w:styleId="Naslov1" w:type="paragraph">
    <w:name w:val="heading 1"/>
    <w:basedOn w:val="Normal"/>
    <w:next w:val="Normal"/>
    <w:link w:val="Naslov1Char"/>
    <w:qFormat/>
    <w:rsid w:val="000E593A"/>
    <w:pPr>
      <w:keepNext/>
      <w:jc w:val="center"/>
      <w:outlineLvl w:val="0"/>
    </w:pPr>
    <w:rPr>
      <w:rFonts w:cs="Times New Roman" w:eastAsia="Times New Roman"/>
      <w:b/>
      <w:bCs/>
      <w:sz w:val="28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E593A"/>
    <w:pPr>
      <w:keepNext/>
      <w:outlineLvl w:val="1"/>
    </w:pPr>
    <w:rPr>
      <w:rFonts w:cs="Times New Roman" w:eastAsia="Times New Roman"/>
      <w:b/>
      <w:bCs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ascii="Tahoma" w:cs="Tahoma" w:hAnsi="Tahoma"/>
      <w:sz w:val="16"/>
      <w:szCs w:val="16"/>
    </w:rPr>
  </w:style>
  <w:style w:customStyle="1" w:styleId="Naslov1Char" w:type="character">
    <w:name w:val="Naslov 1 Char"/>
    <w:basedOn w:val="Zadanifontodlomka"/>
    <w:link w:val="Naslov1"/>
    <w:rsid w:val="000E593A"/>
    <w:rPr>
      <w:rFonts w:cs="Times New Roman" w:eastAsia="Times New Roman"/>
      <w:b/>
      <w:bCs/>
      <w:sz w:val="28"/>
      <w:szCs w:val="20"/>
    </w:rPr>
  </w:style>
  <w:style w:customStyle="1" w:styleId="Naslov2Char" w:type="character">
    <w:name w:val="Naslov 2 Char"/>
    <w:basedOn w:val="Zadanifontodlomka"/>
    <w:link w:val="Naslov2"/>
    <w:semiHidden/>
    <w:rsid w:val="000E593A"/>
    <w:rPr>
      <w:rFonts w:cs="Times New Roman" w:eastAsia="Times New Roman"/>
      <w:b/>
      <w:bCs/>
      <w:szCs w:val="20"/>
    </w:rPr>
  </w:style>
  <w:style w:customStyle="1" w:styleId="st1" w:type="character">
    <w:name w:val="st1"/>
    <w:rsid w:val="000E593A"/>
  </w:style>
  <w:style w:customStyle="1" w:styleId="Default" w:type="paragraph">
    <w:name w:val="Default"/>
    <w:rsid w:val="00CC68D6"/>
    <w:pPr>
      <w:autoSpaceDE w:val="0"/>
      <w:autoSpaceDN w:val="0"/>
      <w:adjustRightInd w:val="0"/>
    </w:pPr>
    <w:rPr>
      <w:rFonts w:cs="Times New Roman" w:eastAsia="Times New Roman"/>
      <w:color w:val="000000"/>
      <w:szCs w:val="24"/>
      <w:lang w:eastAsia="hr-HR"/>
    </w:rPr>
  </w:style>
  <w:style w:styleId="Bezproreda" w:type="paragraph">
    <w:name w:val="No Spacing"/>
    <w:uiPriority w:val="99"/>
    <w:qFormat/>
    <w:rsid w:val="00CC68D6"/>
    <w:pPr>
      <w:spacing w:after="80"/>
    </w:pPr>
    <w:rPr>
      <w:rFonts w:ascii="Calibri" w:cs="Times New Roman" w:eastAsia="Times New Roman" w:hAnsi="Calibri"/>
      <w:sz w:val="22"/>
    </w:rPr>
  </w:style>
  <w:style w:styleId="Tijeloteksta" w:type="paragraph">
    <w:name w:val="Body Text"/>
    <w:basedOn w:val="Normal"/>
    <w:link w:val="TijelotekstaChar"/>
    <w:semiHidden/>
    <w:unhideWhenUsed/>
    <w:rsid w:val="008A2140"/>
    <w:pPr>
      <w:jc w:val="both"/>
    </w:pPr>
    <w:rPr>
      <w:rFonts w:cs="Times New Roman" w:eastAsia="Times New Roman"/>
      <w:szCs w:val="24"/>
      <w:lang w:eastAsia="hr-HR"/>
    </w:rPr>
  </w:style>
  <w:style w:customStyle="1" w:styleId="TijelotekstaChar" w:type="character">
    <w:name w:val="Tijelo teksta Char"/>
    <w:basedOn w:val="Zadanifontodlomka"/>
    <w:link w:val="Tijeloteksta"/>
    <w:semiHidden/>
    <w:rsid w:val="008A2140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B3DD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B3DD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B3DD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B3DD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B3DD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748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39490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0328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90627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36188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8198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401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088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80683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2312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6893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18111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55183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8053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2324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svibnja 2018.</izvorni_sadrzaj>
    <derivirana_varijabla naziv="DomainObject.DatumDonosenjaOdluke_1">30.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</izvorni_sadrzaj>
    <derivirana_varijabla naziv="DomainObject.Predmet.Broj_1">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2018.</izvorni_sadrzaj>
    <derivirana_varijabla naziv="DomainObject.Predmet.DatumOsnivanja_1">30.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Stpn-1/2018</izvorni_sadrzaj>
    <derivirana_varijabla naziv="DomainObject.Predmet.OznakaBroj_1">Stpn-1/2018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ANTUN MILANOVIĆ  Motovun</izvorni_sadrzaj>
    <derivirana_varijabla naziv="DomainObject.Predmet.StrankaFormated_1">  ANTUN MILANOVIĆ  Motovun</derivirana_varijabla>
  </DomainObject.Predmet.StrankaFormated>
  <DomainObject.Predmet.StrankaFormatedOIB>
    <izvorni_sadrzaj>  ANTUN MILANOVIĆ  Motovun, OIB 73213304388</izvorni_sadrzaj>
    <derivirana_varijabla naziv="DomainObject.Predmet.StrankaFormatedOIB_1">  ANTUN MILANOVIĆ  Motovun, OIB 73213304388</derivirana_varijabla>
  </DomainObject.Predmet.StrankaFormatedOIB>
  <DomainObject.Predmet.StrankaFormatedWithAdress>
    <izvorni_sadrzaj> ANTUN MILANOVIĆ  Motovun, Brkač 26a, 52424 Motovun</izvorni_sadrzaj>
    <derivirana_varijabla naziv="DomainObject.Predmet.StrankaFormatedWithAdress_1"> ANTUN MILANOVIĆ  Motovun, Brkač 26a, 52424 Motovun</derivirana_varijabla>
  </DomainObject.Predmet.StrankaFormatedWithAdress>
  <DomainObject.Predmet.StrankaFormatedWithAdressOIB>
    <izvorni_sadrzaj> ANTUN MILANOVIĆ  Motovun, OIB 73213304388, Brkač 26a, 52424 Motovun</izvorni_sadrzaj>
    <derivirana_varijabla naziv="DomainObject.Predmet.StrankaFormatedWithAdressOIB_1"> ANTUN MILANOVIĆ  Motovun, OIB 73213304388, Brkač 26a, 52424 Motovun</derivirana_varijabla>
  </DomainObject.Predmet.StrankaFormatedWithAdressOIB>
  <DomainObject.Predmet.StrankaWithAdress>
    <izvorni_sadrzaj>ANTUN MILANOVIĆ  Motovun Brkač 26a,52424 Motovun</izvorni_sadrzaj>
    <derivirana_varijabla naziv="DomainObject.Predmet.StrankaWithAdress_1">ANTUN MILANOVIĆ  Motovun Brkač 26a,52424 Motovun</derivirana_varijabla>
  </DomainObject.Predmet.StrankaWithAdress>
  <DomainObject.Predmet.StrankaWithAdressOIB>
    <izvorni_sadrzaj>ANTUN MILANOVIĆ  Motovun, OIB 73213304388, Brkač 26a,52424 Motovun</izvorni_sadrzaj>
    <derivirana_varijabla naziv="DomainObject.Predmet.StrankaWithAdressOIB_1">ANTUN MILANOVIĆ  Motovun, OIB 73213304388, Brkač 26a,52424 Motovun</derivirana_varijabla>
  </DomainObject.Predmet.StrankaWithAdressOIB>
  <DomainObject.Predmet.StrankaNazivFormated>
    <izvorni_sadrzaj>ANTUN MILANOVIĆ  Motovun</izvorni_sadrzaj>
    <derivirana_varijabla naziv="DomainObject.Predmet.StrankaNazivFormated_1">ANTUN MILANOVIĆ  Motovun</derivirana_varijabla>
  </DomainObject.Predmet.StrankaNazivFormated>
  <DomainObject.Predmet.StrankaNazivFormatedOIB>
    <izvorni_sadrzaj>ANTUN MILANOVIĆ  Motovun, OIB 73213304388</izvorni_sadrzaj>
    <derivirana_varijabla naziv="DomainObject.Predmet.StrankaNazivFormatedOIB_1">ANTUN MILANOVIĆ  Motovun, OIB 73213304388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ANTUN MILANOVIĆ  Motovun</item>
    </izvorni_sadrzaj>
    <derivirana_varijabla naziv="DomainObject.Predmet.StrankaListFormated_1">
      <item>ANTUN MILANOVIĆ  Motovun</item>
    </derivirana_varijabla>
  </DomainObject.Predmet.StrankaListFormated>
  <DomainObject.Predmet.StrankaListFormatedOIB>
    <izvorni_sadrzaj>
      <item>ANTUN MILANOVIĆ  Motovun, OIB 73213304388</item>
    </izvorni_sadrzaj>
    <derivirana_varijabla naziv="DomainObject.Predmet.StrankaListFormatedOIB_1">
      <item>ANTUN MILANOVIĆ  Motovun, OIB 73213304388</item>
    </derivirana_varijabla>
  </DomainObject.Predmet.StrankaListFormatedOIB>
  <DomainObject.Predmet.StrankaListFormatedWithAdress>
    <izvorni_sadrzaj>
      <item>ANTUN MILANOVIĆ  Motovun, Brkač 26a, 52424 Motovun</item>
    </izvorni_sadrzaj>
    <derivirana_varijabla naziv="DomainObject.Predmet.StrankaListFormatedWithAdress_1">
      <item>ANTUN MILANOVIĆ  Motovun, Brkač 26a, 52424 Motovun</item>
    </derivirana_varijabla>
  </DomainObject.Predmet.StrankaListFormatedWithAdress>
  <DomainObject.Predmet.StrankaListFormatedWithAdressOIB>
    <izvorni_sadrzaj>
      <item>ANTUN MILANOVIĆ  Motovun, OIB 73213304388, Brkač 26a, 52424 Motovun</item>
    </izvorni_sadrzaj>
    <derivirana_varijabla naziv="DomainObject.Predmet.StrankaListFormatedWithAdressOIB_1">
      <item>ANTUN MILANOVIĆ  Motovun, OIB 73213304388, Brkač 26a, 52424 Motovun</item>
    </derivirana_varijabla>
  </DomainObject.Predmet.StrankaListFormatedWithAdressOIB>
  <DomainObject.Predmet.StrankaListNazivFormated>
    <izvorni_sadrzaj>
      <item>ANTUN MILANOVIĆ  Motovun</item>
    </izvorni_sadrzaj>
    <derivirana_varijabla naziv="DomainObject.Predmet.StrankaListNazivFormated_1">
      <item>ANTUN MILANOVIĆ  Motovun</item>
    </derivirana_varijabla>
  </DomainObject.Predmet.StrankaListNazivFormated>
  <DomainObject.Predmet.StrankaListNazivFormatedOIB>
    <izvorni_sadrzaj>
      <item>ANTUN MILANOVIĆ  Motovun, OIB 73213304388</item>
    </izvorni_sadrzaj>
    <derivirana_varijabla naziv="DomainObject.Predmet.StrankaListNazivFormatedOIB_1">
      <item>ANTUN MILANOVIĆ  Motovun, OIB 73213304388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2018.</izvorni_sadrzaj>
    <derivirana_varijabla naziv="DomainObject.Datum_1">30.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ANTUN MILANOVIĆ  Motovun</izvorni_sadrzaj>
    <derivirana_varijabla naziv="DomainObject.Predmet.StrankaIDrugi_1">ANTUN MILANOVIĆ  Motovun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ANTUN MILANOVIĆ  Motovun, OIB 73213304388, Brkač 26a, 52424 Motovun</izvorni_sadrzaj>
    <derivirana_varijabla naziv="DomainObject.Predmet.StrankaIDrugiAdressOIB_1">ANTUN MILANOVIĆ  Motovun, OIB 73213304388, Brkač 26a, 52424 Motovun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ANTUN MILANOVIĆ  Motovun</item>
    </izvorni_sadrzaj>
    <derivirana_varijabla naziv="DomainObject.Predmet.SudioniciListNaziv_1">
      <item>ANTUN MILANOVIĆ  Motovun</item>
    </derivirana_varijabla>
  </DomainObject.Predmet.SudioniciListNaziv>
  <DomainObject.Predmet.SudioniciListAdressOIB>
    <izvorni_sadrzaj>
      <item>ANTUN MILANOVIĆ  Motovun, OIB 73213304388, Brkač 26a,52424 Motovun</item>
    </izvorni_sadrzaj>
    <derivirana_varijabla naziv="DomainObject.Predmet.SudioniciListAdressOIB_1">
      <item>ANTUN MILANOVIĆ  Motovun, OIB 73213304388, Brkač 26a,52424 Motovun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73213304388</item>
    </izvorni_sadrzaj>
    <derivirana_varijabla naziv="DomainObject.Predmet.SudioniciListNazivOIB_1">
      <item>, OIB 73213304388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CC9DA64-731E-4E15-9B81-CE35C18DF8B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329</properties:Words>
  <properties:Characters>1738</properties:Characters>
  <properties:Lines>46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2018-05-30T07:58:00Z</dcterms:created>
  <dc:creator>Danijela Fumić</dc:creator>
  <cp:lastModifiedBy>Danijela Fumić</cp:lastModifiedBy>
  <cp:lastPrinted>2018-05-30T07:58:00Z</cp:lastPrinted>
  <dcterms:modified xmlns:xsi="http://www.w3.org/2001/XMLSchema-instance" xsi:type="dcterms:W3CDTF">2018-05-30T07:58:00Z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(Stpn  1  118  zaključak.docx)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