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8639" w14:paraId="c408639" w:rsidRDefault="00563416" w:rsidP="00563416" w:rsidR="00563416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563416" w:rsidP="00563416" w:rsidR="00563416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563416" w:rsidP="00563416" w:rsidR="00563416" w:rsidRPr="00B234F4">
      <w:pPr>
        <w:jc w:val="center"/>
        <w:rPr>
          <w:rFonts w:hAnsi="Times New Roman" w:ascii="Times New Roman"/>
          <w:sz w:val="24"/>
        </w:rPr>
      </w:pPr>
    </w:p>
    <w:p w:rsidRDefault="00563416" w:rsidP="00563416" w:rsidR="00563416" w:rsidRPr="00202173">
      <w:pPr>
        <w:jc w:val="both"/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>Nadležni trgovački sud : TRGOVAČKI SUD U ZA</w:t>
      </w:r>
      <w:r w:rsidR="00EC27DE">
        <w:rPr>
          <w:rFonts w:hAnsi="Times New Roman" w:ascii="Times New Roman"/>
          <w:sz w:val="24"/>
          <w:szCs w:val="24"/>
        </w:rPr>
        <w:t>GREBU</w:t>
      </w:r>
    </w:p>
    <w:p w:rsidRDefault="00563416" w:rsidP="00563416" w:rsidR="00563416" w:rsidRPr="00202173">
      <w:pPr>
        <w:jc w:val="both"/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 xml:space="preserve">Poslovni broj spisa: </w:t>
      </w:r>
      <w:r w:rsidR="007A4067">
        <w:rPr>
          <w:rFonts w:hAnsi="Times New Roman" w:ascii="Times New Roman"/>
          <w:sz w:val="24"/>
          <w:szCs w:val="24"/>
          <w:u w:val="single"/>
        </w:rPr>
        <w:t xml:space="preserve">Na posl. br. </w:t>
      </w:r>
      <w:r w:rsidR="00D3406A">
        <w:rPr>
          <w:rFonts w:hAnsi="Times New Roman" w:ascii="Times New Roman"/>
          <w:sz w:val="24"/>
          <w:szCs w:val="24"/>
          <w:u w:val="single"/>
        </w:rPr>
        <w:t>48</w:t>
      </w:r>
      <w:r w:rsidR="007A4067">
        <w:rPr>
          <w:rFonts w:hAnsi="Times New Roman" w:ascii="Times New Roman"/>
          <w:sz w:val="24"/>
          <w:szCs w:val="24"/>
          <w:u w:val="single"/>
        </w:rPr>
        <w:t>. St-</w:t>
      </w:r>
      <w:r w:rsidR="00D3406A">
        <w:rPr>
          <w:rFonts w:hAnsi="Times New Roman" w:ascii="Times New Roman"/>
          <w:sz w:val="24"/>
          <w:szCs w:val="24"/>
          <w:u w:val="single"/>
        </w:rPr>
        <w:t>5048</w:t>
      </w:r>
      <w:r w:rsidR="007A4067">
        <w:rPr>
          <w:rFonts w:hAnsi="Times New Roman" w:ascii="Times New Roman"/>
          <w:sz w:val="24"/>
          <w:szCs w:val="24"/>
          <w:u w:val="single"/>
        </w:rPr>
        <w:t>/16</w:t>
      </w:r>
    </w:p>
    <w:p w:rsidRDefault="00563416" w:rsidP="00563416" w:rsidR="00563416" w:rsidRPr="00202173">
      <w:pPr>
        <w:rPr>
          <w:rFonts w:hAnsi="Times New Roman" w:ascii="Times New Roman"/>
          <w:sz w:val="24"/>
          <w:szCs w:val="24"/>
        </w:rPr>
      </w:pPr>
      <w:r w:rsidRPr="00202173">
        <w:rPr>
          <w:rFonts w:hAnsi="Times New Roman" w:ascii="Times New Roman"/>
          <w:sz w:val="24"/>
          <w:szCs w:val="24"/>
        </w:rPr>
        <w:t>Dužnik (ime i prezime / tvrtka ili naziv, sjedište/adresa, OIB):</w:t>
      </w:r>
    </w:p>
    <w:p w:rsidRDefault="00D3406A" w:rsidP="00563416" w:rsidR="007F1F35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RUTH</w:t>
      </w:r>
      <w:r w:rsidR="007F1F35" w:rsidRPr="007F1F35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7F1F35">
        <w:rPr>
          <w:rFonts w:hAnsi="Times New Roman" w:ascii="Times New Roman"/>
          <w:b/>
          <w:bCs/>
          <w:sz w:val="24"/>
          <w:szCs w:val="24"/>
        </w:rPr>
        <w:t>d.o.o. – u stečaju</w:t>
      </w:r>
    </w:p>
    <w:p w:rsidRDefault="00D3406A" w:rsidP="00563416" w:rsidR="007F1F35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OIB: 89020750410</w:t>
      </w:r>
    </w:p>
    <w:p w:rsidRDefault="00D3406A" w:rsidP="00563416" w:rsidR="00563416" w:rsidRPr="007F1F35">
      <w:pPr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Zagreb, Trg Ante Starčevića 7</w:t>
      </w:r>
      <w:r w:rsidR="007F1F35" w:rsidRPr="007F1F35">
        <w:rPr>
          <w:rFonts w:hAnsi="Times New Roman" w:ascii="Times New Roman"/>
          <w:b/>
          <w:bCs/>
          <w:sz w:val="24"/>
          <w:szCs w:val="24"/>
        </w:rPr>
        <w:t xml:space="preserve">                                                                     </w:t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7F1F35">
        <w:rPr>
          <w:rFonts w:hAnsi="Times New Roman" w:ascii="Times New Roman"/>
          <w:b/>
          <w:bCs/>
          <w:sz w:val="24"/>
          <w:szCs w:val="24"/>
        </w:rPr>
        <w:t xml:space="preserve">  </w:t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  <w:r w:rsidR="00563416" w:rsidRPr="007F1F35">
        <w:rPr>
          <w:rFonts w:hAnsi="Times New Roman" w:ascii="Times New Roman"/>
          <w:b/>
          <w:bCs/>
          <w:sz w:val="24"/>
          <w:szCs w:val="24"/>
        </w:rPr>
        <w:tab/>
      </w:r>
    </w:p>
    <w:p w:rsidRDefault="00563416" w:rsidP="00563416" w:rsidR="00563416" w:rsidRPr="00B234F4">
      <w:pPr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7F1F35">
        <w:rPr>
          <w:rFonts w:hAnsi="Times New Roman" w:ascii="Times New Roman"/>
          <w:sz w:val="24"/>
          <w:szCs w:val="24"/>
        </w:rPr>
        <w:t>TIJEK</w:t>
      </w:r>
      <w:r w:rsidRPr="00B234F4">
        <w:rPr>
          <w:rFonts w:hAnsi="Times New Roman" w:ascii="Times New Roman"/>
          <w:sz w:val="24"/>
          <w:szCs w:val="24"/>
        </w:rPr>
        <w:t xml:space="preserve"> STEČAJNOGA POSTUPKA U RAZDOBLJU DO </w:t>
      </w:r>
      <w:r w:rsidR="00A41F25" w:rsidRPr="00A41F25">
        <w:rPr>
          <w:rFonts w:hAnsi="Times New Roman" w:ascii="Times New Roman"/>
          <w:b/>
          <w:sz w:val="24"/>
          <w:szCs w:val="24"/>
        </w:rPr>
        <w:t>22</w:t>
      </w:r>
      <w:r w:rsidR="007F1F35" w:rsidRPr="007F1F35">
        <w:rPr>
          <w:rFonts w:hAnsi="Times New Roman" w:ascii="Times New Roman"/>
          <w:b/>
          <w:sz w:val="24"/>
          <w:szCs w:val="24"/>
        </w:rPr>
        <w:t xml:space="preserve">. </w:t>
      </w:r>
      <w:r w:rsidR="00CB1FD4">
        <w:rPr>
          <w:rFonts w:hAnsi="Times New Roman" w:ascii="Times New Roman"/>
          <w:b/>
          <w:sz w:val="24"/>
          <w:szCs w:val="24"/>
        </w:rPr>
        <w:t>li</w:t>
      </w:r>
      <w:r w:rsidR="00A41F25">
        <w:rPr>
          <w:rFonts w:hAnsi="Times New Roman" w:ascii="Times New Roman"/>
          <w:b/>
          <w:sz w:val="24"/>
          <w:szCs w:val="24"/>
        </w:rPr>
        <w:t>stopada</w:t>
      </w:r>
      <w:r w:rsidR="007F1F35" w:rsidRPr="007F1F35">
        <w:rPr>
          <w:rFonts w:hAnsi="Times New Roman" w:ascii="Times New Roman"/>
          <w:b/>
          <w:sz w:val="24"/>
          <w:szCs w:val="24"/>
        </w:rPr>
        <w:t xml:space="preserve"> 201</w:t>
      </w:r>
      <w:r w:rsidR="00CB1FD4">
        <w:rPr>
          <w:rFonts w:hAnsi="Times New Roman" w:ascii="Times New Roman"/>
          <w:b/>
          <w:sz w:val="24"/>
          <w:szCs w:val="24"/>
        </w:rPr>
        <w:t>8</w:t>
      </w:r>
      <w:r w:rsidR="007F1F35">
        <w:rPr>
          <w:rFonts w:hAnsi="Times New Roman" w:ascii="Times New Roman"/>
          <w:sz w:val="24"/>
          <w:szCs w:val="24"/>
        </w:rPr>
        <w:t>. godine</w:t>
      </w:r>
    </w:p>
    <w:p w:rsidRDefault="00563416" w:rsidR="00DE016F">
      <w:r>
        <w:t xml:space="preserve">                  </w:t>
      </w:r>
    </w:p>
    <w:p w:rsidRDefault="00563416" w:rsidP="00563416" w:rsidR="00563416">
      <w:pPr>
        <w:jc w:val="both"/>
        <w:rPr>
          <w:rFonts w:hAnsi="Times New Roman" w:ascii="Times New Roman"/>
          <w:sz w:val="24"/>
          <w:szCs w:val="24"/>
        </w:rPr>
      </w:pPr>
      <w:r>
        <w:t xml:space="preserve">                     </w:t>
      </w:r>
      <w:r w:rsidR="00893E04"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A41F25" w:rsidP="00563416" w:rsidR="00A41F25">
      <w:pPr>
        <w:jc w:val="both"/>
        <w:rPr>
          <w:rFonts w:hAnsi="Times New Roman" w:ascii="Times New Roman"/>
          <w:sz w:val="24"/>
          <w:szCs w:val="24"/>
        </w:rPr>
      </w:pPr>
    </w:p>
    <w:p w:rsidRDefault="00A41F25" w:rsidP="00563416" w:rsidR="00A41F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odnosu na prethodno izvješće o tijeku stečajnog postupka i stanju stečajne mase nije bilo nikakvih promjena.</w:t>
      </w:r>
    </w:p>
    <w:p w:rsidRDefault="00A41F25" w:rsidP="00563416" w:rsidR="00A41F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Navodim da je protiv dužnika i ranijih zakonskih </w:t>
      </w:r>
      <w:r w:rsidR="00FA7B53">
        <w:rPr>
          <w:rFonts w:hAnsi="Times New Roman" w:ascii="Times New Roman"/>
          <w:sz w:val="24"/>
          <w:szCs w:val="24"/>
        </w:rPr>
        <w:t>zastupnika vodi kazneni postupak zbog kaznenih djela iz članka 328. st.1. i dr.KZ/11.</w:t>
      </w:r>
    </w:p>
    <w:p w:rsidRDefault="00496E68" w:rsidP="00563416" w:rsidR="00496E6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stečajne mase je nepromijenjeno i to:</w:t>
      </w:r>
    </w:p>
    <w:p w:rsidRDefault="00893E04" w:rsidP="00563416" w:rsidR="00893E04">
      <w:pPr>
        <w:jc w:val="both"/>
        <w:rPr>
          <w:rFonts w:hAnsi="Times New Roman" w:ascii="Times New Roman"/>
          <w:sz w:val="24"/>
          <w:szCs w:val="24"/>
        </w:rPr>
      </w:pPr>
    </w:p>
    <w:p w:rsidRDefault="00202173" w:rsidP="00563416" w:rsidR="00202173">
      <w:pPr>
        <w:jc w:val="both"/>
        <w:rPr>
          <w:rFonts w:hAnsi="Times New Roman" w:ascii="Times New Roman"/>
          <w:sz w:val="24"/>
          <w:szCs w:val="24"/>
        </w:rPr>
      </w:pPr>
    </w:p>
    <w:p w:rsidRDefault="00202173" w:rsidP="00496E68" w:rsidR="00202173" w:rsidRPr="00496E68">
      <w:pPr>
        <w:pStyle w:val="Odlomakpopisa"/>
        <w:numPr>
          <w:ilvl w:val="0"/>
          <w:numId w:val="7"/>
        </w:numPr>
        <w:rPr>
          <w:rFonts w:hAnsi="Times New Roman" w:ascii="Times New Roman"/>
          <w:b/>
          <w:sz w:val="24"/>
          <w:szCs w:val="24"/>
        </w:rPr>
      </w:pPr>
      <w:r w:rsidRPr="00496E68">
        <w:rPr>
          <w:rFonts w:hAnsi="Times New Roman" w:ascii="Times New Roman"/>
          <w:b/>
          <w:sz w:val="24"/>
          <w:szCs w:val="24"/>
        </w:rPr>
        <w:t>NEKRETNINE</w:t>
      </w:r>
    </w:p>
    <w:p w:rsidRDefault="00496E68" w:rsidP="00496E68" w:rsidR="00496E68" w:rsidRPr="00496E68">
      <w:pPr>
        <w:pStyle w:val="Odlomakpopisa"/>
        <w:ind w:left="2040"/>
        <w:rPr>
          <w:rFonts w:hAnsi="Times New Roman" w:ascii="Times New Roman"/>
          <w:b/>
          <w:sz w:val="24"/>
          <w:szCs w:val="24"/>
        </w:rPr>
      </w:pPr>
    </w:p>
    <w:p w:rsidRDefault="00427AE0" w:rsidP="00427AE0" w:rsidR="00427AE0">
      <w:pPr>
        <w:pStyle w:val="Uvuenotijeloteksta"/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Nekretnina upisan u zemljišnoknjižni uložak broj 14856  k. o. Grad Zagreb, kat.čestica 4714/3, a koja se sastoji od obiteljske stambene zgrade u Maglajskoj ulici br. 3 upisana kao zk. tijelo A II (dva), sagrađena na zk.č.br.4714/3 dvorište u Zagrebu, Ulica rade Končara 95 i Maglajska 3, pov.193,2 čhv ili 695 m2 upisana kao zk. tijelo A I (jedan) , u </w:t>
      </w:r>
      <w:r w:rsidRPr="002E6EC7">
        <w:rPr>
          <w:rFonts w:cs="Times New Roman" w:hAnsi="Times New Roman" w:ascii="Times New Roman"/>
          <w:b/>
        </w:rPr>
        <w:t>društvenom vlasništvu</w:t>
      </w:r>
      <w:r>
        <w:rPr>
          <w:rFonts w:cs="Times New Roman" w:hAnsi="Times New Roman" w:ascii="Times New Roman"/>
        </w:rPr>
        <w:t>.</w:t>
      </w:r>
    </w:p>
    <w:p w:rsidRDefault="00427AE0" w:rsidP="00427AE0" w:rsidR="00427AE0">
      <w:pPr>
        <w:pStyle w:val="Uvuenotijeloteksta"/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nekretnini je zabilježen spor zaprimljena 7. lipnja 2017. godine pod brojem Z-3100/2017.</w:t>
      </w:r>
    </w:p>
    <w:p w:rsidRDefault="00427AE0" w:rsidP="00427AE0" w:rsidR="00427AE0">
      <w:pPr>
        <w:pStyle w:val="Uvuenotijeloteksta"/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spor, tužba podnesena je Općinskom građanskom sudu u Zagrebu pod poslo.br. P-3519/16 31. svibnja 2016. godine.</w:t>
      </w:r>
      <w:r w:rsidR="00F37695">
        <w:rPr>
          <w:rFonts w:cs="Times New Roman" w:hAnsi="Times New Roman" w:ascii="Times New Roman"/>
        </w:rPr>
        <w:t xml:space="preserve"> kojom tužitelj Željko Petrlić vodi parnicu protiv tuženika društva u stečaju RUTH d.o.o.</w:t>
      </w:r>
    </w:p>
    <w:p w:rsidRDefault="00427AE0" w:rsidP="00427AE0" w:rsidR="00427AE0">
      <w:pPr>
        <w:pStyle w:val="Uvuenotijeloteksta"/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Radi se o nekretnini :</w:t>
      </w:r>
    </w:p>
    <w:p w:rsidRDefault="00427AE0" w:rsidP="00427AE0" w:rsidR="00427AE0">
      <w:pPr>
        <w:pStyle w:val="Uvuenotijeloteksta"/>
        <w:numPr>
          <w:ilvl w:val="0"/>
          <w:numId w:val="5"/>
        </w:numPr>
        <w:ind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Obiteljska stambena zgrada u Maglajskoj ulici br. 3. sagrađenoj na kat.čestici 4714/3, u kojoj živi Željko Petrlić sa obitelji.</w:t>
      </w:r>
    </w:p>
    <w:p w:rsidRDefault="00427AE0" w:rsidP="00427AE0" w:rsidR="00427AE0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</w:p>
    <w:p w:rsidRDefault="00F37695" w:rsidP="00427AE0" w:rsidR="00427AE0">
      <w:pPr>
        <w:pStyle w:val="Uvuenotijeloteksta"/>
        <w:ind w:firstLine="0"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Svoje pravo vlasništva na predmetnoj nekretnini tužitelj ( Željko Petrlić) temelji na ugovoru o kupoprodaji iz 1966. godine kojeg je njegova majka sklopila sa tadašnjim vlasnikom nekretnine (Josip Senta), te se od tada zajedno sa svojim prednicima nalazi u posjedu.</w:t>
      </w:r>
    </w:p>
    <w:p w:rsidRDefault="007F1F35" w:rsidP="007F1F35" w:rsidR="007F1F35">
      <w:pPr>
        <w:pStyle w:val="Uvuenotijeloteksta"/>
        <w:ind w:right="-288"/>
        <w:jc w:val="both"/>
        <w:rPr>
          <w:rFonts w:cs="Times New Roman" w:hAnsi="Times New Roman" w:ascii="Times New Roman"/>
        </w:rPr>
      </w:pPr>
    </w:p>
    <w:p w:rsidRDefault="006801B7" w:rsidP="006801B7" w:rsidR="006801B7" w:rsidRPr="006801B7">
      <w:pPr>
        <w:rPr>
          <w:rFonts w:eastAsiaTheme="minorHAnsi"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 xml:space="preserve">Iako tužitelj ne raspolaže predmetnim ugovorom o kupoprodaji posjeduje potvrdu o isplati kupoprodajne cijene i rješenja/priznanice iz upravnih postupaka vođenih u odnosu na </w:t>
      </w:r>
      <w:r w:rsidRPr="006801B7">
        <w:rPr>
          <w:rFonts w:hAnsi="Times New Roman" w:ascii="Times New Roman"/>
          <w:sz w:val="24"/>
          <w:szCs w:val="24"/>
        </w:rPr>
        <w:lastRenderedPageBreak/>
        <w:t>navedenu nekretninu iz perioda 1966.-1967. godine te dokaze o podmirenim režijskim troškovima od stjecanja posjeda nadalje.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S druge strane, Andrija Sente kao zakonski nasljednik prodavatelja Josipa Sente darovao je predmetnu nekretninu svome sinu Nenadu Sente koji je potom fiducijarno prenosi na  Zanatsko štedno kreditne zadrugu, a potom prodaje društvu Ruth d.o.o. iako nitko od navedenih osoba nikada nije bio u posjedu predmetne nekretnina niti je izvršavao faktičnu vlast na istoj.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Tužitelj je 31.5.2016. godine podnio tužbu protiv tuženika - društva RUTH d.o.o.  kojim traži utvrđenje prava vlasništva premetne nekretnine dosjelošću.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Tuženik Ruth d.o.o. usprotivio se tužbenom zahtjevu, te u bitnome istakao</w:t>
      </w:r>
    </w:p>
    <w:p w:rsidRDefault="006801B7" w:rsidP="006801B7" w:rsidR="006801B7" w:rsidRPr="006801B7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prigovor pravomoćno presuđene stvari;</w:t>
      </w:r>
    </w:p>
    <w:p w:rsidRDefault="006801B7" w:rsidP="006801B7" w:rsidR="006801B7" w:rsidRPr="006801B7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kako tužitelj nije barem pošteni posjednik nekretnine.</w:t>
      </w:r>
    </w:p>
    <w:p w:rsidRDefault="006801B7" w:rsidP="006801B7" w:rsid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b/>
          <w:sz w:val="24"/>
          <w:szCs w:val="24"/>
        </w:rPr>
        <w:t>Pravno mišljenje</w:t>
      </w:r>
      <w:r>
        <w:rPr>
          <w:rFonts w:hAnsi="Times New Roman" w:ascii="Times New Roman"/>
          <w:sz w:val="24"/>
          <w:szCs w:val="24"/>
        </w:rPr>
        <w:t>: ( odvjetničko društvo GLAMUZINA &amp; GROŠETA, odvjetnik Ivan Glamuzina)</w:t>
      </w:r>
    </w:p>
    <w:p w:rsidRDefault="006801B7" w:rsidP="006801B7" w:rsidR="006801B7" w:rsidRPr="006801B7">
      <w:pPr>
        <w:rPr>
          <w:rFonts w:eastAsiaTheme="minorHAnsi" w:hAnsi="Times New Roman" w:ascii="Times New Roman"/>
          <w:sz w:val="24"/>
          <w:szCs w:val="24"/>
        </w:rPr>
      </w:pPr>
      <w:r>
        <w:rPr>
          <w:rFonts w:cs="Arial" w:hAnsi="Arial" w:ascii="Arial"/>
          <w:sz w:val="20"/>
          <w:szCs w:val="20"/>
        </w:rPr>
        <w:t xml:space="preserve">Iz dostupne dokumentacije kao nesporno proizlazi da je </w:t>
      </w:r>
      <w:r>
        <w:rPr>
          <w:rFonts w:cs="Arial" w:hAnsi="Arial" w:ascii="Arial"/>
          <w:b/>
          <w:bCs/>
          <w:sz w:val="20"/>
          <w:szCs w:val="20"/>
        </w:rPr>
        <w:t xml:space="preserve">tužitelj sa svojim pravnim prednicima </w:t>
      </w:r>
      <w:r w:rsidRPr="006801B7">
        <w:rPr>
          <w:rFonts w:hAnsi="Times New Roman" w:ascii="Times New Roman"/>
          <w:b/>
          <w:bCs/>
          <w:sz w:val="24"/>
          <w:szCs w:val="24"/>
        </w:rPr>
        <w:t>nalazi u posjedu nekretnine od 1966. godine i izvršava faktičnu vlast na nekretnini</w:t>
      </w:r>
      <w:r w:rsidRPr="006801B7">
        <w:rPr>
          <w:rFonts w:hAnsi="Times New Roman" w:ascii="Times New Roman"/>
          <w:sz w:val="24"/>
          <w:szCs w:val="24"/>
        </w:rPr>
        <w:t>, dok nitko od knjižnih vlasnika (Andrija i Nenad Sente, Ruth d.o.o.</w:t>
      </w:r>
      <w:r>
        <w:rPr>
          <w:rFonts w:hAnsi="Times New Roman" w:ascii="Times New Roman"/>
          <w:sz w:val="24"/>
          <w:szCs w:val="24"/>
        </w:rPr>
        <w:t>-u</w:t>
      </w:r>
      <w:r w:rsidR="009C4B7A">
        <w:rPr>
          <w:rFonts w:hAnsi="Times New Roman" w:ascii="Times New Roman"/>
          <w:sz w:val="24"/>
          <w:szCs w:val="24"/>
        </w:rPr>
        <w:t xml:space="preserve"> stečaju</w:t>
      </w:r>
      <w:r w:rsidRPr="006801B7">
        <w:rPr>
          <w:rFonts w:hAnsi="Times New Roman" w:ascii="Times New Roman"/>
          <w:sz w:val="24"/>
          <w:szCs w:val="24"/>
        </w:rPr>
        <w:t>) nikada nisu bili u posjedu predmetne nekretnine.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Prigovor pravomoćno presuđene stvari je neosnovan obzirom na različit subjektivni i objektivni identitet tužbe tužbe posl.br. P-2025/08 i P-3519/16. Parnični postupak P-2025/08 vodio se između tužitelja Željka Petrlića i tuženika Nenada Sente, Andrije Sente, Zanatsko štedno kreditne zadruge, i Ruth d.o.o. radi utvrđenja prava vlasništva i utvrđenja ništetnosti ugovora o darovanju između Andrije i Nenada Sente, Sporazuma o osiguranju između Nenada Sente i Zanatsko štedno kreditne zadruge, te ugovora o kupoprodaji između Nenada Sente i Ruth d.o.o.. Parnični postupak P-3519/16 pokrenuo je tužitelj Željko Petrlić protiv tuženika Ruth d.o.o. radi utvrđenja stjecanja prava vlasništva dosjelošću. Slijedom navedenog, razvidno je da ne postoji subjektivni i objektivni identitet ovih dviju tužbi.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Ujedno, isplata kupoprodajne cijene koju tuženik osporava, nije odlučna za odluku u predmetnoj stvari.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 xml:space="preserve">Slijedom svega navedenog, a na temelju činjeničnog stanja smatramo kako je izvjestan uspjeh tužitelja u ovom postupku budući se on </w:t>
      </w:r>
      <w:r w:rsidRPr="006801B7">
        <w:rPr>
          <w:rFonts w:hAnsi="Times New Roman" w:ascii="Times New Roman"/>
          <w:i/>
          <w:iCs/>
          <w:sz w:val="24"/>
          <w:szCs w:val="24"/>
        </w:rPr>
        <w:t>de facto</w:t>
      </w:r>
      <w:r w:rsidRPr="006801B7">
        <w:rPr>
          <w:rFonts w:hAnsi="Times New Roman" w:ascii="Times New Roman"/>
          <w:sz w:val="24"/>
          <w:szCs w:val="24"/>
        </w:rPr>
        <w:t xml:space="preserve"> nalazi u posjedu predmetne nekretnine preko 50 godina.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 xml:space="preserve">Dakle, tužitelj i njegovi pravni prednici posjedovali su nekretninu kao zakoniti, istiniti i pošteni posjednici duže nego je to potrebno, sukladno odredbama Austrijskog općeg građanskog zakonika, odnosno Zakona o vlasništvu i drugim stvarnim pravima za stjecanje prava vlasništva dosjelošću. Tužiteljev posjed jest zakonit jer posjednik ima valjani pravni </w:t>
      </w:r>
      <w:r w:rsidRPr="006801B7">
        <w:rPr>
          <w:rFonts w:hAnsi="Times New Roman" w:ascii="Times New Roman"/>
          <w:sz w:val="24"/>
          <w:szCs w:val="24"/>
        </w:rPr>
        <w:lastRenderedPageBreak/>
        <w:t xml:space="preserve">temelj tog posjedovanja (pravo na posjed) – kupoprodaju. Posjed je istinit jer nije pribavljen ni silom ni potajno, ili prijevarom, ni zloupotrebom povjerenja. Tužitelj je nasljednik iza svoje majke, i sukladno stavu sudske prakse on postaje poštenim posjednikom od trenutka otvaranja nasljedstva čak i u slučaju kad je ostavitelj bio nepošteni posjednik, osim, ako je to znao ili morao znati. 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Smatramo da je ove činjenice tužitelj uspio dokazati, odnosno da raspolaže dokazima koji idu u prilog toj činjenici.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Ujedno napominjemo kako smatramo da se ovdje ne radi o nekretnini u društvenom vlasništvu imajući u vidu odredbu čl. 388. st. 4 Zakona o vlasništvu i drugim stvarnim pravima, te bi RUTH d.o.o. eventualno uspio u parnici samo u slučaju da sud zauzme stav:</w:t>
      </w:r>
    </w:p>
    <w:p w:rsidRDefault="006801B7" w:rsidP="006801B7" w:rsidR="006801B7" w:rsidRPr="006801B7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kako se ovdje radi o nekretnini u društvenom vlasništvu, slijedom čega bi se primjenjivale odredbe Zakona o vlasništvu i drugim stvarnim pravima, a rok za dosjelost računao od 8.10.1991. godine;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i</w:t>
      </w:r>
    </w:p>
    <w:p w:rsidRDefault="006801B7" w:rsidP="006801B7" w:rsidR="006801B7" w:rsidRPr="006801B7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 xml:space="preserve">kako tužitelj nije imao zakonit i istinit posjed, odnosno da se u predmetnom slučaju trebaju ispuniti rokovi za izvanrednu dosjelost koji nisu protekli obzirom na tužbu posl.br. P-2025/08 iz 2008., odnosno </w:t>
      </w:r>
      <w:r w:rsidR="00496E68" w:rsidRPr="006801B7">
        <w:rPr>
          <w:rFonts w:hAnsi="Times New Roman" w:ascii="Times New Roman"/>
          <w:sz w:val="24"/>
          <w:szCs w:val="24"/>
        </w:rPr>
        <w:t>protu tužbeni</w:t>
      </w:r>
      <w:r w:rsidRPr="006801B7">
        <w:rPr>
          <w:rFonts w:hAnsi="Times New Roman" w:ascii="Times New Roman"/>
          <w:sz w:val="24"/>
          <w:szCs w:val="24"/>
        </w:rPr>
        <w:t xml:space="preserve"> zahtjev u toj parnici iz 2009. godine;</w:t>
      </w:r>
    </w:p>
    <w:p w:rsidRDefault="006801B7" w:rsidP="006801B7" w:rsidR="006801B7" w:rsidRPr="006801B7">
      <w:pPr>
        <w:rPr>
          <w:rFonts w:hAnsi="Times New Roman" w:ascii="Times New Roman"/>
          <w:sz w:val="24"/>
          <w:szCs w:val="24"/>
        </w:rPr>
      </w:pPr>
    </w:p>
    <w:p w:rsidRDefault="006801B7" w:rsidP="00496E68" w:rsidR="007F1F35">
      <w:pPr>
        <w:rPr>
          <w:rFonts w:hAnsi="Times New Roman" w:ascii="Times New Roman"/>
          <w:sz w:val="24"/>
          <w:szCs w:val="24"/>
        </w:rPr>
      </w:pPr>
      <w:r w:rsidRPr="006801B7">
        <w:rPr>
          <w:rFonts w:hAnsi="Times New Roman" w:ascii="Times New Roman"/>
          <w:sz w:val="24"/>
          <w:szCs w:val="24"/>
        </w:rPr>
        <w:t>za što postoji vrlo mala vjerojatnost.</w:t>
      </w:r>
    </w:p>
    <w:p w:rsidRDefault="00496E68" w:rsidP="00496E68" w:rsidR="00496E68" w:rsidRPr="00496E68">
      <w:pPr>
        <w:rPr>
          <w:rFonts w:hAnsi="Times New Roman" w:ascii="Times New Roman"/>
          <w:sz w:val="24"/>
          <w:szCs w:val="24"/>
        </w:rPr>
      </w:pPr>
    </w:p>
    <w:p w:rsidRDefault="007F1F35" w:rsidP="007F1F35" w:rsidR="007F1F35">
      <w:pPr>
        <w:pStyle w:val="Uvuenotijeloteksta"/>
        <w:ind w:right="-288"/>
        <w:jc w:val="both"/>
        <w:rPr>
          <w:rFonts w:cs="Times New Roman" w:hAnsi="Times New Roman" w:ascii="Times New Roman"/>
        </w:rPr>
      </w:pPr>
    </w:p>
    <w:p w:rsidRDefault="00202173" w:rsidP="00AE039C" w:rsidR="00AE039C">
      <w:pPr>
        <w:pStyle w:val="Uvuenotijeloteksta"/>
        <w:numPr>
          <w:ilvl w:val="0"/>
          <w:numId w:val="1"/>
        </w:numPr>
        <w:ind w:right="-288"/>
        <w:jc w:val="both"/>
        <w:rPr>
          <w:rFonts w:cs="Times New Roman" w:hAnsi="Times New Roman" w:ascii="Times New Roman"/>
          <w:b/>
        </w:rPr>
      </w:pPr>
      <w:r w:rsidRPr="001F3675">
        <w:rPr>
          <w:rFonts w:cs="Times New Roman" w:hAnsi="Times New Roman" w:ascii="Times New Roman"/>
          <w:b/>
        </w:rPr>
        <w:t>POKRETNINE</w:t>
      </w:r>
    </w:p>
    <w:p w:rsidRDefault="00FA7B53" w:rsidP="00FA7B53" w:rsidR="00FA7B53">
      <w:pPr>
        <w:pStyle w:val="Uvuenotijeloteksta"/>
        <w:ind w:firstLine="0" w:right="-288" w:left="1080"/>
        <w:jc w:val="both"/>
        <w:rPr>
          <w:rFonts w:cs="Times New Roman" w:hAnsi="Times New Roman" w:ascii="Times New Roman"/>
          <w:b/>
        </w:rPr>
      </w:pPr>
    </w:p>
    <w:p w:rsidRDefault="00AE039C" w:rsidP="00AE039C" w:rsidR="00AE039C">
      <w:pPr>
        <w:pStyle w:val="Uvuenotijeloteksta"/>
        <w:ind w:firstLine="0" w:right="-288" w:left="1080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Nema</w:t>
      </w:r>
    </w:p>
    <w:p w:rsidRDefault="00FA7B53" w:rsidP="00AE039C" w:rsidR="00FA7B53">
      <w:pPr>
        <w:pStyle w:val="Uvuenotijeloteksta"/>
        <w:ind w:firstLine="0" w:right="-288" w:left="1080"/>
        <w:jc w:val="both"/>
        <w:rPr>
          <w:rFonts w:cs="Times New Roman" w:hAnsi="Times New Roman" w:ascii="Times New Roman"/>
          <w:b/>
        </w:rPr>
      </w:pPr>
    </w:p>
    <w:p w:rsidRDefault="00FA7B53" w:rsidP="00AE039C" w:rsidR="00FA7B53">
      <w:pPr>
        <w:pStyle w:val="Uvuenotijeloteksta"/>
        <w:ind w:firstLine="0" w:right="-288" w:left="1080"/>
        <w:jc w:val="both"/>
        <w:rPr>
          <w:rFonts w:cs="Times New Roman" w:hAnsi="Times New Roman" w:ascii="Times New Roman"/>
          <w:b/>
        </w:rPr>
      </w:pPr>
    </w:p>
    <w:p w:rsidRDefault="00AE039C" w:rsidP="00AE039C" w:rsidR="00AE039C">
      <w:pPr>
        <w:pStyle w:val="Uvuenotijeloteksta"/>
        <w:ind w:right="-288"/>
        <w:jc w:val="both"/>
        <w:rPr>
          <w:rFonts w:cs="Times New Roman" w:hAnsi="Times New Roman" w:ascii="Times New Roman"/>
          <w:b/>
        </w:rPr>
      </w:pPr>
    </w:p>
    <w:p w:rsidRDefault="00AE039C" w:rsidP="00AE039C" w:rsidR="00AE039C" w:rsidRPr="00AE039C">
      <w:pPr>
        <w:pStyle w:val="Uvuenotijeloteksta"/>
        <w:numPr>
          <w:ilvl w:val="0"/>
          <w:numId w:val="1"/>
        </w:numPr>
        <w:ind w:right="-288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POTRAŽIVANJA</w:t>
      </w:r>
    </w:p>
    <w:p w:rsidRDefault="00202173" w:rsidP="00AE039C" w:rsidR="00202173">
      <w:pPr>
        <w:ind w:left="360"/>
        <w:rPr>
          <w:rFonts w:hAnsi="Times New Roman" w:ascii="Times New Roman"/>
          <w:sz w:val="24"/>
          <w:szCs w:val="24"/>
        </w:rPr>
      </w:pPr>
    </w:p>
    <w:p w:rsidRDefault="00AE039C" w:rsidP="00AE039C" w:rsidR="00AE039C">
      <w:pPr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stanju </w:t>
      </w:r>
      <w:r w:rsidR="00D32DD4">
        <w:rPr>
          <w:rFonts w:hAnsi="Times New Roman" w:ascii="Times New Roman"/>
          <w:sz w:val="24"/>
          <w:szCs w:val="24"/>
        </w:rPr>
        <w:t>u Bilanci sa stanjem na dan otvaranja stečajnog postupka, postoji znatni iznos potraživanja koja su navedena i u Izvješću stečajnog upravitelja o gospodarskom položaju dužnika, a koje je izneseno na IZVJEŠTAJNOM ROČIŠTU 8. ožujka 2018. godine.</w:t>
      </w:r>
    </w:p>
    <w:p w:rsidRDefault="00D32DD4" w:rsidP="00AE039C" w:rsidR="00D32DD4">
      <w:pPr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Međutim, sva ta potraživanja su nenaplativa ili vrlo teško naplativa, a sve uz tužbene zahtjeve što opet zahtjeva određeni polog financijskih sredstava kako bi se postupak naplate putem tužbi mogao pokrenuti.</w:t>
      </w:r>
    </w:p>
    <w:p w:rsidRDefault="00D32DD4" w:rsidP="00AE039C" w:rsidR="00D32DD4">
      <w:pPr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Veći dio tražbina odnos se na potraživanja od člana društva Antuna Rodića i njegovih povezanih društava.</w:t>
      </w:r>
    </w:p>
    <w:p w:rsidRDefault="001122E3" w:rsidP="00AE039C" w:rsidR="00D32DD4">
      <w:pPr>
        <w:ind w:left="1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Ured za suzbijanje korupcije i organiziranog kriminaliteta je dana 21. ožujka 2018. godine je donio rješenje o provođenju istrage kojom su obuhvaćeni, pored ostalih, i raniji zakonski zastupnici stečajnog dužnika i to XIII okr. Sandro Rodić i XIV okr. Anton Rodić.</w:t>
      </w:r>
    </w:p>
    <w:p w:rsidRDefault="006E5064" w:rsidP="00AE039C" w:rsidR="006E5064">
      <w:pPr>
        <w:ind w:left="1080"/>
        <w:rPr>
          <w:rFonts w:hAnsi="Times New Roman" w:ascii="Times New Roman"/>
          <w:sz w:val="24"/>
          <w:szCs w:val="24"/>
        </w:rPr>
      </w:pPr>
    </w:p>
    <w:p w:rsidRDefault="00AE039C" w:rsidP="00202173" w:rsidR="00AE039C">
      <w:pPr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080AB5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AE039C">
        <w:rPr>
          <w:rFonts w:hAnsi="Times New Roman" w:ascii="Times New Roman"/>
          <w:sz w:val="24"/>
          <w:szCs w:val="24"/>
        </w:rPr>
        <w:t>.</w:t>
      </w:r>
      <w:r w:rsidRPr="006E5064">
        <w:rPr>
          <w:rFonts w:cs="Arial" w:hAnsi="Arial" w:ascii="Arial"/>
          <w:b/>
          <w:sz w:val="24"/>
          <w:szCs w:val="24"/>
        </w:rPr>
        <w:t xml:space="preserve"> </w:t>
      </w:r>
      <w:r>
        <w:rPr>
          <w:rFonts w:cs="Arial" w:hAnsi="Arial" w:ascii="Arial"/>
          <w:b/>
          <w:sz w:val="24"/>
          <w:szCs w:val="24"/>
        </w:rPr>
        <w:t xml:space="preserve">IV.     PODACI </w:t>
      </w:r>
      <w:r w:rsidRPr="00080AB5">
        <w:rPr>
          <w:rFonts w:cs="Arial" w:hAnsi="Arial" w:ascii="Arial"/>
          <w:b/>
          <w:sz w:val="24"/>
          <w:szCs w:val="24"/>
        </w:rPr>
        <w:t>VEZANI UZ TRENUTNO STANJE STEČAJNOG POSTUPKA</w:t>
      </w:r>
    </w:p>
    <w:p w:rsidRDefault="006E5064" w:rsidP="006E5064" w:rsidR="006E5064" w:rsidRPr="00080AB5">
      <w:pPr>
        <w:jc w:val="both"/>
        <w:rPr>
          <w:rFonts w:cs="Arial" w:hAnsi="Arial" w:ascii="Arial"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</w:rPr>
      </w:pPr>
      <w:r w:rsidRPr="006E5064">
        <w:rPr>
          <w:rFonts w:hAnsi="Times New Roman" w:ascii="Times New Roman"/>
          <w:sz w:val="24"/>
          <w:szCs w:val="24"/>
        </w:rPr>
        <w:t>Stečajni dužnik nema zaposlenika.</w:t>
      </w: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t>Trenutno stanje sredstava na žiro računu iznosi   0,00 kn</w:t>
      </w: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t>NEPODMIRENI TROŠKOVI STEČAJNOG POSTUPKA u hrk</w:t>
      </w:r>
    </w:p>
    <w:tbl>
      <w:tblPr>
        <w:tblW w:type="dxa" w:w="89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0"/>
        <w:gridCol w:w="3969"/>
        <w:gridCol w:w="284"/>
        <w:gridCol w:w="1785"/>
        <w:gridCol w:w="1107"/>
        <w:gridCol w:w="236"/>
        <w:gridCol w:w="1284"/>
      </w:tblGrid>
      <w:tr w:rsidTr="00990265" w:rsidR="006E5064" w:rsidRPr="006E5064">
        <w:trPr>
          <w:trHeight w:val="315"/>
        </w:trPr>
        <w:tc>
          <w:tcPr>
            <w:tcW w:type="dxa" w:w="6288"/>
            <w:gridSpan w:val="4"/>
            <w:tcBorders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Materijalni troškovi:</w:t>
            </w:r>
          </w:p>
        </w:tc>
        <w:tc>
          <w:tcPr>
            <w:tcW w:type="dxa" w:w="1107"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E3396D" w:rsidR="006E5064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FA7B53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1. putni troškovi, </w:t>
            </w:r>
            <w:r w:rsidR="00FA7B53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80 kmx2,00 kn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</w:tcPr>
          <w:p w:rsidRDefault="00FA7B53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  <w:r w:rsidR="006E5064"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60,00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6E5064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2. izrada žiga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135,00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6E5064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3. Biljezi</w:t>
            </w:r>
          </w:p>
        </w:tc>
        <w:tc>
          <w:tcPr>
            <w:tcW w:type="dxa" w:w="284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85"/>
            <w:tcBorders>
              <w:left w:val="nil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990265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4. Obrasci razni ( Fina)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vAlign w:val="bottom"/>
          </w:tcPr>
          <w:p w:rsidRDefault="00990265" w:rsidP="00990265" w:rsidR="00990265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E3396D" w:rsidR="00990265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5. Trošak telefona (paušalno)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vAlign w:val="bottom"/>
          </w:tcPr>
          <w:p w:rsidRDefault="00FA7B53" w:rsidP="00990265" w:rsidR="00990265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  <w:r w:rsidR="00990265"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00,00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990265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0265" w:rsidP="00FA7B53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6. Knjigovod.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u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sluge (875,00x</w:t>
            </w:r>
            <w:r w:rsidR="00FA7B53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mj)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vAlign w:val="bottom"/>
          </w:tcPr>
          <w:p w:rsidRDefault="00FA7B53" w:rsidP="00FA7B53" w:rsidR="00990265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6.12</w:t>
            </w:r>
            <w:r w:rsidR="00990265"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5,00</w:t>
            </w:r>
          </w:p>
        </w:tc>
        <w:tc>
          <w:tcPr>
            <w:tcW w:type="dxa" w:w="236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  <w:hideMark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3396D" w:rsidR="00990265" w:rsidRPr="006E5064">
        <w:trPr>
          <w:trHeight w:val="300"/>
        </w:trPr>
        <w:tc>
          <w:tcPr>
            <w:tcW w:type="dxa" w:w="250"/>
            <w:tcBorders>
              <w:righ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left w:val="nil"/>
              <w:righ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troškovi stečajnog postupka</w:t>
            </w:r>
          </w:p>
        </w:tc>
        <w:tc>
          <w:tcPr>
            <w:tcW w:type="dxa" w:w="2069"/>
            <w:gridSpan w:val="2"/>
            <w:tcBorders>
              <w:left w:val="nil"/>
            </w:tcBorders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7"/>
            <w:vAlign w:val="bottom"/>
          </w:tcPr>
          <w:p w:rsidRDefault="00FA7B53" w:rsidP="00990265" w:rsidR="00990265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7.620,00</w:t>
            </w:r>
          </w:p>
        </w:tc>
        <w:tc>
          <w:tcPr>
            <w:tcW w:type="dxa" w:w="236"/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shd w:fill="auto" w:color="auto" w:val="clear"/>
            <w:noWrap/>
            <w:vAlign w:val="bottom"/>
          </w:tcPr>
          <w:p w:rsidRDefault="00990265" w:rsidP="00990265" w:rsidR="00990265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6E5064" w:rsidP="006E5064" w:rsidR="006E5064" w:rsidRPr="006E5064">
      <w:pPr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t>PREDRAČUN TROŠKOVA U SLUČAJU NASTAVKA STEČAJNOG POSTUPKA</w:t>
      </w:r>
    </w:p>
    <w:tbl>
      <w:tblPr>
        <w:tblW w:type="dxa" w:w="9421"/>
        <w:tblInd w:type="dxa" w:w="108"/>
        <w:tblLook w:val="04A0" w:noVBand="1" w:noHBand="0" w:lastColumn="0" w:firstColumn="1" w:lastRow="0" w:firstRow="1"/>
      </w:tblPr>
      <w:tblGrid>
        <w:gridCol w:w="4800"/>
        <w:gridCol w:w="480"/>
        <w:gridCol w:w="236"/>
        <w:gridCol w:w="1146"/>
        <w:gridCol w:w="515"/>
        <w:gridCol w:w="960"/>
        <w:gridCol w:w="1296"/>
      </w:tblGrid>
      <w:tr w:rsidTr="00E3396D" w:rsidR="006E5064" w:rsidRPr="006E5064">
        <w:trPr>
          <w:trHeight w:val="315"/>
        </w:trPr>
        <w:tc>
          <w:tcPr>
            <w:tcW w:type="dxa" w:w="5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Naziv troška</w:t>
            </w:r>
          </w:p>
        </w:tc>
        <w:tc>
          <w:tcPr>
            <w:tcW w:type="dxa" w:w="236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46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Svrha</w:t>
            </w:r>
          </w:p>
        </w:tc>
        <w:tc>
          <w:tcPr>
            <w:tcW w:type="dxa" w:w="51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color w:val="000000"/>
                <w:sz w:val="24"/>
                <w:szCs w:val="24"/>
                <w:lang w:eastAsia="hr-HR"/>
              </w:rPr>
              <w:t>Iznos u hrk</w:t>
            </w:r>
          </w:p>
        </w:tc>
      </w:tr>
      <w:tr w:rsidTr="00E3396D" w:rsidR="006E5064" w:rsidRPr="006E5064">
        <w:trPr>
          <w:trHeight w:val="315"/>
        </w:trPr>
        <w:tc>
          <w:tcPr>
            <w:tcW w:type="dxa" w:w="55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Trošak sudskog postupka (procjena)</w:t>
            </w:r>
            <w:r w:rsidR="00990265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 P-3519/16</w:t>
            </w:r>
          </w:p>
        </w:tc>
        <w:tc>
          <w:tcPr>
            <w:tcW w:type="dxa" w:w="2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Stupanje u posjed predmeta stečajne mase </w:t>
            </w: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6E5064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.000,00</w:t>
            </w:r>
          </w:p>
        </w:tc>
      </w:tr>
      <w:tr w:rsidTr="00E3396D" w:rsidR="006E5064" w:rsidRPr="006E5064">
        <w:trPr>
          <w:trHeight w:val="315"/>
        </w:trPr>
        <w:tc>
          <w:tcPr>
            <w:tcW w:type="dxa" w:w="55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Procjena vrijednosti pokretnina</w:t>
            </w:r>
          </w:p>
        </w:tc>
        <w:tc>
          <w:tcPr>
            <w:tcW w:type="dxa" w:w="2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Procjena pokretnina</w:t>
            </w: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4.640,00</w:t>
            </w:r>
          </w:p>
        </w:tc>
      </w:tr>
      <w:tr w:rsidTr="00E3396D" w:rsidR="006E5064" w:rsidRPr="006E5064">
        <w:trPr>
          <w:trHeight w:val="315"/>
        </w:trPr>
        <w:tc>
          <w:tcPr>
            <w:tcW w:type="dxa" w:w="55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6E5064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Knjigovodstvene usluge (6 mj x 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875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,00)</w:t>
            </w:r>
          </w:p>
        </w:tc>
        <w:tc>
          <w:tcPr>
            <w:tcW w:type="dxa" w:w="2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6E5064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E3396D" w:rsidR="006E5064" w:rsidRPr="006E5064">
        <w:trPr>
          <w:trHeight w:val="315"/>
        </w:trPr>
        <w:tc>
          <w:tcPr>
            <w:tcW w:type="dxa" w:w="551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Putni troškovi, telefon i sl </w:t>
            </w:r>
          </w:p>
        </w:tc>
        <w:tc>
          <w:tcPr>
            <w:tcW w:type="dxa" w:w="166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Trošak </w:t>
            </w:r>
          </w:p>
        </w:tc>
        <w:tc>
          <w:tcPr>
            <w:tcW w:type="dxa" w:w="96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6.800,00</w:t>
            </w:r>
          </w:p>
        </w:tc>
      </w:tr>
      <w:tr w:rsidTr="00E3396D" w:rsidR="006E5064" w:rsidRPr="006E5064">
        <w:trPr>
          <w:trHeight w:val="315"/>
        </w:trPr>
        <w:tc>
          <w:tcPr>
            <w:tcW w:type="dxa" w:w="4800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6E506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 ostale obveze stečajne mase</w:t>
            </w:r>
          </w:p>
        </w:tc>
        <w:tc>
          <w:tcPr>
            <w:tcW w:type="dxa" w:w="716"/>
            <w:gridSpan w:val="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E5064" w:rsidP="00E3396D" w:rsidR="006E5064" w:rsidRPr="006E5064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121.690,00</w:t>
            </w:r>
          </w:p>
        </w:tc>
      </w:tr>
    </w:tbl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t xml:space="preserve">SVEUKUPNEI TROŠKOVI STEČAJNOG POSTUPKA :        </w:t>
      </w:r>
      <w:r>
        <w:rPr>
          <w:rFonts w:hAnsi="Times New Roman" w:ascii="Times New Roman"/>
          <w:b/>
          <w:sz w:val="24"/>
          <w:szCs w:val="24"/>
        </w:rPr>
        <w:t>12</w:t>
      </w:r>
      <w:r w:rsidR="00FA7B53">
        <w:rPr>
          <w:rFonts w:hAnsi="Times New Roman" w:ascii="Times New Roman"/>
          <w:b/>
          <w:sz w:val="24"/>
          <w:szCs w:val="24"/>
        </w:rPr>
        <w:t>9</w:t>
      </w:r>
      <w:r>
        <w:rPr>
          <w:rFonts w:hAnsi="Times New Roman" w:ascii="Times New Roman"/>
          <w:b/>
          <w:sz w:val="24"/>
          <w:szCs w:val="24"/>
        </w:rPr>
        <w:t>.</w:t>
      </w:r>
      <w:r w:rsidR="00FA7B53">
        <w:rPr>
          <w:rFonts w:hAnsi="Times New Roman" w:ascii="Times New Roman"/>
          <w:b/>
          <w:sz w:val="24"/>
          <w:szCs w:val="24"/>
        </w:rPr>
        <w:t>3</w:t>
      </w:r>
      <w:r>
        <w:rPr>
          <w:rFonts w:hAnsi="Times New Roman" w:ascii="Times New Roman"/>
          <w:b/>
          <w:sz w:val="24"/>
          <w:szCs w:val="24"/>
        </w:rPr>
        <w:t>10,00</w:t>
      </w:r>
      <w:r w:rsidRPr="006E5064">
        <w:rPr>
          <w:rFonts w:hAnsi="Times New Roman" w:ascii="Times New Roman"/>
          <w:b/>
          <w:sz w:val="24"/>
          <w:szCs w:val="24"/>
        </w:rPr>
        <w:t xml:space="preserve"> hrk                                               </w:t>
      </w: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990265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990265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990265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990265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b/>
          <w:sz w:val="24"/>
          <w:szCs w:val="24"/>
        </w:rPr>
      </w:pPr>
      <w:r w:rsidRPr="006E5064">
        <w:rPr>
          <w:rFonts w:hAnsi="Times New Roman" w:ascii="Times New Roman"/>
          <w:b/>
          <w:sz w:val="24"/>
          <w:szCs w:val="24"/>
        </w:rPr>
        <w:t xml:space="preserve">IV </w:t>
      </w:r>
      <w:r w:rsidRPr="006E5064">
        <w:rPr>
          <w:rFonts w:hAnsi="Times New Roman" w:ascii="Times New Roman"/>
          <w:b/>
          <w:sz w:val="24"/>
          <w:szCs w:val="24"/>
        </w:rPr>
        <w:tab/>
        <w:t xml:space="preserve">DALJNJI TIJEK STEČAJNOG POSTUPKA </w:t>
      </w:r>
    </w:p>
    <w:p w:rsidRDefault="006E5064" w:rsidP="006E5064" w:rsidR="006E506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90265" w:rsidP="006E5064" w:rsidR="00EE4CB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Predlaže se </w:t>
      </w:r>
      <w:r w:rsidR="00FA7B53">
        <w:rPr>
          <w:rFonts w:hAnsi="Times New Roman" w:ascii="Times New Roman"/>
          <w:sz w:val="24"/>
          <w:szCs w:val="24"/>
        </w:rPr>
        <w:t>Sudu</w:t>
      </w:r>
      <w:r>
        <w:rPr>
          <w:rFonts w:hAnsi="Times New Roman" w:ascii="Times New Roman"/>
          <w:sz w:val="24"/>
          <w:szCs w:val="24"/>
        </w:rPr>
        <w:t xml:space="preserve"> da</w:t>
      </w:r>
      <w:r w:rsidR="00EE4CB8">
        <w:rPr>
          <w:rFonts w:hAnsi="Times New Roman" w:ascii="Times New Roman"/>
          <w:sz w:val="24"/>
          <w:szCs w:val="24"/>
        </w:rPr>
        <w:t>:</w:t>
      </w:r>
    </w:p>
    <w:p w:rsidRDefault="00990265" w:rsidP="00EE4CB8" w:rsidR="00EE4CB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EE4CB8">
        <w:rPr>
          <w:rFonts w:hAnsi="Times New Roman" w:ascii="Times New Roman"/>
          <w:sz w:val="24"/>
          <w:szCs w:val="24"/>
        </w:rPr>
        <w:t>sazove sk</w:t>
      </w:r>
      <w:r w:rsidR="00EE4CB8">
        <w:rPr>
          <w:rFonts w:hAnsi="Times New Roman" w:ascii="Times New Roman"/>
          <w:sz w:val="24"/>
          <w:szCs w:val="24"/>
        </w:rPr>
        <w:t xml:space="preserve">upštinu vjerovnika na kojoj bi se, </w:t>
      </w:r>
      <w:r w:rsidRPr="00EE4CB8">
        <w:rPr>
          <w:rFonts w:hAnsi="Times New Roman" w:ascii="Times New Roman"/>
          <w:sz w:val="24"/>
          <w:szCs w:val="24"/>
        </w:rPr>
        <w:t xml:space="preserve">na temelju ovog izvješća, a i usmenog obrazloženja stečajnog upravitelja, </w:t>
      </w:r>
      <w:r w:rsidR="00EE4CB8">
        <w:rPr>
          <w:rFonts w:hAnsi="Times New Roman" w:ascii="Times New Roman"/>
          <w:sz w:val="24"/>
          <w:szCs w:val="24"/>
        </w:rPr>
        <w:t>odlučilo</w:t>
      </w:r>
      <w:r w:rsidR="00786124" w:rsidRPr="00EE4CB8">
        <w:rPr>
          <w:rFonts w:hAnsi="Times New Roman" w:ascii="Times New Roman"/>
          <w:sz w:val="24"/>
          <w:szCs w:val="24"/>
        </w:rPr>
        <w:t xml:space="preserve"> </w:t>
      </w:r>
      <w:r w:rsidR="00EE4CB8">
        <w:rPr>
          <w:rFonts w:hAnsi="Times New Roman" w:ascii="Times New Roman"/>
          <w:sz w:val="24"/>
          <w:szCs w:val="24"/>
        </w:rPr>
        <w:t>o</w:t>
      </w:r>
      <w:r w:rsidR="00786124" w:rsidRPr="00EE4CB8">
        <w:rPr>
          <w:rFonts w:hAnsi="Times New Roman" w:ascii="Times New Roman"/>
          <w:sz w:val="24"/>
          <w:szCs w:val="24"/>
        </w:rPr>
        <w:t xml:space="preserve"> pravn</w:t>
      </w:r>
      <w:r w:rsidR="00EE4CB8">
        <w:rPr>
          <w:rFonts w:hAnsi="Times New Roman" w:ascii="Times New Roman"/>
          <w:sz w:val="24"/>
          <w:szCs w:val="24"/>
        </w:rPr>
        <w:t>o</w:t>
      </w:r>
      <w:r w:rsidR="00786124" w:rsidRPr="00EE4CB8">
        <w:rPr>
          <w:rFonts w:hAnsi="Times New Roman" w:ascii="Times New Roman"/>
          <w:sz w:val="24"/>
          <w:szCs w:val="24"/>
        </w:rPr>
        <w:t>m status</w:t>
      </w:r>
      <w:r w:rsidR="00EE4CB8">
        <w:rPr>
          <w:rFonts w:hAnsi="Times New Roman" w:ascii="Times New Roman"/>
          <w:sz w:val="24"/>
          <w:szCs w:val="24"/>
        </w:rPr>
        <w:t>u</w:t>
      </w:r>
      <w:r w:rsidR="00786124" w:rsidRPr="00EE4CB8">
        <w:rPr>
          <w:rFonts w:hAnsi="Times New Roman" w:ascii="Times New Roman"/>
          <w:sz w:val="24"/>
          <w:szCs w:val="24"/>
        </w:rPr>
        <w:t xml:space="preserve"> nekretnine </w:t>
      </w:r>
      <w:r w:rsidR="00EE4CB8">
        <w:rPr>
          <w:rFonts w:hAnsi="Times New Roman" w:ascii="Times New Roman"/>
          <w:sz w:val="24"/>
          <w:szCs w:val="24"/>
        </w:rPr>
        <w:t xml:space="preserve">te </w:t>
      </w:r>
      <w:r w:rsidRPr="00EE4CB8">
        <w:rPr>
          <w:rFonts w:hAnsi="Times New Roman" w:ascii="Times New Roman"/>
          <w:sz w:val="24"/>
          <w:szCs w:val="24"/>
        </w:rPr>
        <w:t>o eventualnom nastavku  sudskih parnica,</w:t>
      </w:r>
    </w:p>
    <w:p w:rsidRDefault="00990265" w:rsidP="00EE4CB8" w:rsidR="00990265" w:rsidRPr="00EE4CB8">
      <w:pPr>
        <w:pStyle w:val="Odlomakpopisa"/>
        <w:ind w:left="780"/>
        <w:jc w:val="both"/>
        <w:rPr>
          <w:rFonts w:hAnsi="Times New Roman" w:ascii="Times New Roman"/>
          <w:sz w:val="24"/>
          <w:szCs w:val="24"/>
        </w:rPr>
      </w:pPr>
      <w:r w:rsidRPr="00EE4CB8">
        <w:rPr>
          <w:rFonts w:hAnsi="Times New Roman" w:ascii="Times New Roman"/>
          <w:sz w:val="24"/>
          <w:szCs w:val="24"/>
        </w:rPr>
        <w:t xml:space="preserve"> </w:t>
      </w:r>
    </w:p>
    <w:p w:rsidRDefault="00786124" w:rsidP="00EE4CB8" w:rsidR="00786124" w:rsidRPr="00EE4CB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EE4CB8">
        <w:rPr>
          <w:rFonts w:hAnsi="Times New Roman" w:ascii="Times New Roman"/>
          <w:sz w:val="24"/>
          <w:szCs w:val="24"/>
        </w:rPr>
        <w:t xml:space="preserve">Ukoliko bi </w:t>
      </w:r>
      <w:r w:rsidR="00EE4CB8">
        <w:rPr>
          <w:rFonts w:hAnsi="Times New Roman" w:ascii="Times New Roman"/>
          <w:sz w:val="24"/>
          <w:szCs w:val="24"/>
        </w:rPr>
        <w:t xml:space="preserve">skupština  </w:t>
      </w:r>
      <w:r w:rsidRPr="00EE4CB8">
        <w:rPr>
          <w:rFonts w:hAnsi="Times New Roman" w:ascii="Times New Roman"/>
          <w:sz w:val="24"/>
          <w:szCs w:val="24"/>
        </w:rPr>
        <w:t>donijel</w:t>
      </w:r>
      <w:r w:rsidR="00EE4CB8">
        <w:rPr>
          <w:rFonts w:hAnsi="Times New Roman" w:ascii="Times New Roman"/>
          <w:sz w:val="24"/>
          <w:szCs w:val="24"/>
        </w:rPr>
        <w:t>a</w:t>
      </w:r>
      <w:r w:rsidRPr="00EE4CB8">
        <w:rPr>
          <w:rFonts w:hAnsi="Times New Roman" w:ascii="Times New Roman"/>
          <w:sz w:val="24"/>
          <w:szCs w:val="24"/>
        </w:rPr>
        <w:t xml:space="preserve"> odluka o nastavku sudskih parnica, poz</w:t>
      </w:r>
      <w:r w:rsidR="00EE4CB8">
        <w:rPr>
          <w:rFonts w:hAnsi="Times New Roman" w:ascii="Times New Roman"/>
          <w:sz w:val="24"/>
          <w:szCs w:val="24"/>
        </w:rPr>
        <w:t>i</w:t>
      </w:r>
      <w:r w:rsidRPr="00EE4CB8">
        <w:rPr>
          <w:rFonts w:hAnsi="Times New Roman" w:ascii="Times New Roman"/>
          <w:sz w:val="24"/>
          <w:szCs w:val="24"/>
        </w:rPr>
        <w:t>va</w:t>
      </w:r>
      <w:r w:rsidR="00EE4CB8">
        <w:rPr>
          <w:rFonts w:hAnsi="Times New Roman" w:ascii="Times New Roman"/>
          <w:sz w:val="24"/>
          <w:szCs w:val="24"/>
        </w:rPr>
        <w:t>ju</w:t>
      </w:r>
      <w:r w:rsidRPr="00EE4CB8">
        <w:rPr>
          <w:rFonts w:hAnsi="Times New Roman" w:ascii="Times New Roman"/>
          <w:sz w:val="24"/>
          <w:szCs w:val="24"/>
        </w:rPr>
        <w:t xml:space="preserve">  se zainteresirani vjerovnici da predujme predvidive troškove u iznosu od 12</w:t>
      </w:r>
      <w:r w:rsidR="00FA7B53" w:rsidRPr="00EE4CB8">
        <w:rPr>
          <w:rFonts w:hAnsi="Times New Roman" w:ascii="Times New Roman"/>
          <w:sz w:val="24"/>
          <w:szCs w:val="24"/>
        </w:rPr>
        <w:t>9.3</w:t>
      </w:r>
      <w:r w:rsidRPr="00EE4CB8">
        <w:rPr>
          <w:rFonts w:hAnsi="Times New Roman" w:ascii="Times New Roman"/>
          <w:sz w:val="24"/>
          <w:szCs w:val="24"/>
        </w:rPr>
        <w:t>10,00 kn.</w:t>
      </w:r>
    </w:p>
    <w:p w:rsidRDefault="00934687" w:rsidP="006E5064" w:rsidR="0093468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34687" w:rsidP="006E5064" w:rsidR="0093468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34687" w:rsidP="006E5064" w:rsidR="00934687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34687" w:rsidP="006E5064" w:rsidR="00934687" w:rsidRPr="00934687">
      <w:pPr>
        <w:jc w:val="both"/>
        <w:rPr>
          <w:rFonts w:hAnsi="Times New Roman" w:ascii="Times New Roman"/>
          <w:sz w:val="24"/>
          <w:szCs w:val="24"/>
        </w:rPr>
      </w:pPr>
      <w:r w:rsidRPr="00934687">
        <w:rPr>
          <w:rFonts w:hAnsi="Times New Roman" w:ascii="Times New Roman"/>
          <w:sz w:val="24"/>
          <w:szCs w:val="24"/>
        </w:rPr>
        <w:t>U Zagrebu,</w:t>
      </w:r>
      <w:r w:rsidR="00EE4CB8">
        <w:rPr>
          <w:rFonts w:hAnsi="Times New Roman" w:ascii="Times New Roman"/>
          <w:sz w:val="24"/>
          <w:szCs w:val="24"/>
        </w:rPr>
        <w:t xml:space="preserve"> </w:t>
      </w:r>
      <w:r w:rsidR="00FA7B53">
        <w:rPr>
          <w:rFonts w:hAnsi="Times New Roman" w:ascii="Times New Roman"/>
          <w:sz w:val="24"/>
          <w:szCs w:val="24"/>
        </w:rPr>
        <w:t>22</w:t>
      </w:r>
      <w:r w:rsidRPr="00934687">
        <w:rPr>
          <w:rFonts w:hAnsi="Times New Roman" w:ascii="Times New Roman"/>
          <w:sz w:val="24"/>
          <w:szCs w:val="24"/>
        </w:rPr>
        <w:t>. li</w:t>
      </w:r>
      <w:r w:rsidR="00FA7B53">
        <w:rPr>
          <w:rFonts w:hAnsi="Times New Roman" w:ascii="Times New Roman"/>
          <w:sz w:val="24"/>
          <w:szCs w:val="24"/>
        </w:rPr>
        <w:t>stopada</w:t>
      </w:r>
      <w:r w:rsidRPr="00934687">
        <w:rPr>
          <w:rFonts w:hAnsi="Times New Roman" w:ascii="Times New Roman"/>
          <w:sz w:val="24"/>
          <w:szCs w:val="24"/>
        </w:rPr>
        <w:t xml:space="preserve"> 2018. godine                                     Stečajni upravitelj:</w:t>
      </w:r>
    </w:p>
    <w:p w:rsidRDefault="00934687" w:rsidP="006E5064" w:rsidR="00934687" w:rsidRPr="006E5064">
      <w:pPr>
        <w:jc w:val="both"/>
        <w:rPr>
          <w:rFonts w:hAnsi="Times New Roman" w:ascii="Times New Roman"/>
          <w:sz w:val="24"/>
          <w:szCs w:val="24"/>
        </w:rPr>
      </w:pPr>
      <w:r w:rsidRPr="0093468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="00FA7B53">
        <w:rPr>
          <w:rFonts w:hAnsi="Times New Roman" w:ascii="Times New Roman"/>
          <w:sz w:val="24"/>
          <w:szCs w:val="24"/>
        </w:rPr>
        <w:t xml:space="preserve">     </w:t>
      </w:r>
      <w:r w:rsidRPr="00934687">
        <w:rPr>
          <w:rFonts w:hAnsi="Times New Roman" w:ascii="Times New Roman"/>
          <w:sz w:val="24"/>
          <w:szCs w:val="24"/>
        </w:rPr>
        <w:t xml:space="preserve">                Nikola Krvavica</w:t>
      </w:r>
    </w:p>
    <w:p w:rsidRDefault="006E5064" w:rsidP="006E5064" w:rsidR="006E5064" w:rsidRPr="006E5064">
      <w:pPr>
        <w:jc w:val="right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right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right"/>
        <w:rPr>
          <w:rFonts w:hAnsi="Times New Roman" w:ascii="Times New Roman"/>
          <w:sz w:val="24"/>
          <w:szCs w:val="24"/>
        </w:rPr>
      </w:pPr>
    </w:p>
    <w:p w:rsidRDefault="006E5064" w:rsidP="006E5064" w:rsidR="006E5064">
      <w:pPr>
        <w:jc w:val="center"/>
        <w:rPr>
          <w:rFonts w:hAnsi="Times New Roman" w:ascii="Times New Roman"/>
          <w:sz w:val="24"/>
          <w:szCs w:val="24"/>
        </w:rPr>
      </w:pPr>
    </w:p>
    <w:p w:rsidRDefault="00934687" w:rsidP="006E5064" w:rsidR="00934687" w:rsidRPr="006E5064">
      <w:pPr>
        <w:jc w:val="center"/>
        <w:rPr>
          <w:rFonts w:hAnsi="Times New Roman" w:ascii="Times New Roman"/>
          <w:sz w:val="24"/>
          <w:szCs w:val="24"/>
        </w:rPr>
      </w:pPr>
    </w:p>
    <w:p w:rsidRDefault="006E5064" w:rsidP="006E5064" w:rsidR="006E5064" w:rsidRPr="006E5064">
      <w:pPr>
        <w:jc w:val="both"/>
        <w:rPr>
          <w:rFonts w:hAnsi="Times New Roman" w:ascii="Times New Roman"/>
          <w:sz w:val="24"/>
          <w:szCs w:val="24"/>
        </w:rPr>
      </w:pPr>
    </w:p>
    <w:p w:rsidRDefault="006E5064" w:rsidP="006E5064" w:rsidR="006E5064">
      <w:pPr>
        <w:jc w:val="right"/>
        <w:rPr>
          <w:rFonts w:cs="Arial" w:hAnsi="Arial" w:ascii="Arial"/>
          <w:sz w:val="24"/>
          <w:szCs w:val="24"/>
        </w:rPr>
      </w:pPr>
    </w:p>
    <w:p w:rsidRDefault="006E5064" w:rsidP="006E5064" w:rsidR="006E5064" w:rsidRPr="00080AB5">
      <w:pPr>
        <w:jc w:val="both"/>
        <w:rPr>
          <w:rFonts w:cs="Arial" w:hAnsi="Arial" w:ascii="Arial"/>
          <w:sz w:val="24"/>
          <w:szCs w:val="24"/>
        </w:rPr>
      </w:pPr>
    </w:p>
    <w:p w:rsidRDefault="00AE039C" w:rsidP="00202173" w:rsidR="00AE039C">
      <w:pPr>
        <w:rPr>
          <w:rFonts w:hAnsi="Times New Roman" w:ascii="Times New Roman"/>
          <w:sz w:val="24"/>
          <w:szCs w:val="24"/>
        </w:rPr>
      </w:pPr>
    </w:p>
    <w:p w:rsidRDefault="00AE039C" w:rsidP="00202173" w:rsidR="00AE039C" w:rsidRPr="007F1F35">
      <w:pPr>
        <w:rPr>
          <w:rFonts w:hAnsi="Times New Roman" w:ascii="Times New Roman"/>
          <w:sz w:val="24"/>
          <w:szCs w:val="24"/>
        </w:rPr>
      </w:pPr>
    </w:p>
    <w:p w:rsidRDefault="007F1F35" w:rsidP="00202173" w:rsidR="00DE065C" w:rsidRPr="007F1F35">
      <w:pPr>
        <w:pStyle w:val="Uvuenotijeloteksta"/>
        <w:ind w:firstLine="0" w:right="-288" w:left="142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     </w:t>
      </w:r>
    </w:p>
    <w:p w:rsidRDefault="00FE1857" w:rsidP="00FE1857" w:rsidR="00FE1857">
      <w:pPr>
        <w:jc w:val="both"/>
        <w:rPr>
          <w:rFonts w:hAnsi="Times New Roman" w:ascii="Times New Roman"/>
          <w:sz w:val="24"/>
          <w:szCs w:val="24"/>
        </w:rPr>
      </w:pPr>
    </w:p>
    <w:sectPr w:rsidR="00FE18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77051"/>
    <w:multiLevelType w:val="hybridMultilevel"/>
    <w:tmpl w:val="6B60AB38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E348E2"/>
    <w:multiLevelType w:val="hybridMultilevel"/>
    <w:tmpl w:val="980477C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43957D50"/>
    <w:multiLevelType w:val="hybridMultilevel"/>
    <w:tmpl w:val="616037C0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511F5B9B"/>
    <w:multiLevelType w:val="hybridMultilevel"/>
    <w:tmpl w:val="1F08E5F8"/>
    <w:lvl w:tplc="0A2A2CFC" w:ilvl="0">
      <w:start w:val="1"/>
      <w:numFmt w:val="upperRoman"/>
      <w:lvlText w:val="%1."/>
      <w:lvlJc w:val="left"/>
      <w:pPr>
        <w:ind w:hanging="7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626640A6"/>
    <w:multiLevelType w:val="hybridMultilevel"/>
    <w:tmpl w:val="2168D5B8"/>
    <w:lvl w:tplc="D69821C6" w:ilvl="0">
      <w:start w:val="2"/>
      <w:numFmt w:val="bullet"/>
      <w:lvlText w:val="-"/>
      <w:lvlJc w:val="left"/>
      <w:pPr>
        <w:ind w:hanging="360" w:left="720"/>
      </w:pPr>
      <w:rPr>
        <w:rFonts w:cs="Arial" w:eastAsia="Batang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C0F428F"/>
    <w:multiLevelType w:val="hybridMultilevel"/>
    <w:tmpl w:val="5CB4FD40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6">
    <w:nsid w:val="6E284418"/>
    <w:multiLevelType w:val="hybridMultilevel"/>
    <w:tmpl w:val="2E0A8CE4"/>
    <w:lvl w:tplc="041A000F" w:ilvl="0">
      <w:start w:val="1"/>
      <w:numFmt w:val="decimal"/>
      <w:lvlText w:val="%1."/>
      <w:lvlJc w:val="left"/>
      <w:pPr>
        <w:ind w:hanging="360" w:left="1200"/>
      </w:p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7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3416"/>
    <w:rsid w:val="001122E3"/>
    <w:rsid w:val="00202173"/>
    <w:rsid w:val="002E1ACC"/>
    <w:rsid w:val="003E01C3"/>
    <w:rsid w:val="00427AE0"/>
    <w:rsid w:val="00496E68"/>
    <w:rsid w:val="00563416"/>
    <w:rsid w:val="006801B7"/>
    <w:rsid w:val="006E5064"/>
    <w:rsid w:val="00786124"/>
    <w:rsid w:val="007A4067"/>
    <w:rsid w:val="007F1F35"/>
    <w:rsid w:val="00893365"/>
    <w:rsid w:val="00893E04"/>
    <w:rsid w:val="00934687"/>
    <w:rsid w:val="00990265"/>
    <w:rsid w:val="009A2B75"/>
    <w:rsid w:val="009C4B7A"/>
    <w:rsid w:val="00A41F25"/>
    <w:rsid w:val="00AE039C"/>
    <w:rsid w:val="00C20C4D"/>
    <w:rsid w:val="00CB1FD4"/>
    <w:rsid w:val="00D32DD4"/>
    <w:rsid w:val="00D3406A"/>
    <w:rsid w:val="00DE016F"/>
    <w:rsid w:val="00DE065C"/>
    <w:rsid w:val="00E2322E"/>
    <w:rsid w:val="00EC27DE"/>
    <w:rsid w:val="00EE4CB8"/>
    <w:rsid w:val="00F37695"/>
    <w:rsid w:val="00FA511C"/>
    <w:rsid w:val="00FA7B53"/>
    <w:rsid w:val="00FE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416"/>
    <w:pPr>
      <w:spacing w:after="80"/>
    </w:pPr>
    <w:rPr>
      <w:rFonts w:cs="Times New Roman" w:eastAsia="Calibri" w:hAnsi="Calibri" w:ascii="Calibri"/>
    </w:rPr>
  </w:style>
  <w:style w:styleId="Naslov1" w:type="paragraph">
    <w:name w:val="heading 1"/>
    <w:basedOn w:val="Normal"/>
    <w:next w:val="Normal"/>
    <w:link w:val="Naslov1Char"/>
    <w:qFormat/>
    <w:rsid w:val="00563416"/>
    <w:pPr>
      <w:keepNext/>
      <w:spacing w:after="0"/>
      <w:outlineLvl w:val="0"/>
    </w:pPr>
    <w:rPr>
      <w:rFonts w:cs="Arial" w:eastAsia="Times New Roman" w:hAnsi="Arial" w:ascii="Arial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3416"/>
    <w:rPr>
      <w:rFonts w:cs="Arial" w:eastAsia="Times New Roman" w:hAnsi="Arial" w:asci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93E04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93E04"/>
    <w:rPr>
      <w:rFonts w:cs="Arial" w:eastAsia="Times New Roman" w:hAnsi="Arial" w:asci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7F1F35"/>
    <w:pPr>
      <w:spacing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F1F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122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C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C4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C4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C4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416"/>
    <w:pPr>
      <w:spacing w:after="80"/>
    </w:pPr>
    <w:rPr>
      <w:rFonts w:ascii="Calibri" w:cs="Times New Roman" w:eastAsia="Calibri" w:hAnsi="Calibri"/>
    </w:rPr>
  </w:style>
  <w:style w:styleId="Naslov1" w:type="paragraph">
    <w:name w:val="heading 1"/>
    <w:basedOn w:val="Normal"/>
    <w:next w:val="Normal"/>
    <w:link w:val="Naslov1Char"/>
    <w:qFormat/>
    <w:rsid w:val="00563416"/>
    <w:pPr>
      <w:keepNext/>
      <w:spacing w:after="0"/>
      <w:outlineLvl w:val="0"/>
    </w:pPr>
    <w:rPr>
      <w:rFonts w:ascii="Arial" w:cs="Arial" w:eastAsia="Times New Roman" w:hAnsi="Arial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3416"/>
    <w:rPr>
      <w:rFonts w:ascii="Arial" w:cs="Arial" w:eastAsia="Times New Roman" w:hAnsi="Arial"/>
      <w:b/>
      <w:bCs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893E04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93E04"/>
    <w:rPr>
      <w:rFonts w:ascii="Arial" w:cs="Arial" w:eastAsia="Times New Roman" w:hAnsi="Arial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7F1F35"/>
    <w:pPr>
      <w:spacing w:after="120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F1F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122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C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C4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C4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C4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00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706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5</properties:Pages>
  <properties:Words>1199</properties:Words>
  <properties:Characters>6977</properties:Characters>
  <properties:Lines>263</properties:Lines>
  <properties:Paragraphs>88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2018-10-22T17:04:00Z</dcterms:created>
  <dc:creator>Korisnik</dc:creator>
  <dc:description/>
  <cp:keywords/>
  <cp:lastModifiedBy>Matea Bizjak</cp:lastModifiedBy>
  <dcterms:modified xmlns:xsi="http://www.w3.org/2001/XMLSchema-instance" xsi:type="dcterms:W3CDTF">2018-10-24T08:18:00Z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St-5048/2016-46 / Podnesak - Izvješće stečajnog upravitelja (- IZVJEŠĆE tromjesečno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