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f247" w14:paraId="ea6f247" w:rsidRDefault="00CE03E6" w:rsidR="00CE03E6">
      <w:pPr>
        <w:pStyle w:val="Tijeloteksta"/>
        <w15:collapsed w:val="false"/>
        <w:rPr>
          <w:rFonts w:ascii="Times New Roman"/>
          <w:b w:val="false"/>
          <w:sz w:val="22"/>
        </w:rPr>
      </w:pPr>
      <w:bookmarkStart w:name="_GoBack" w:id="0"/>
      <w:bookmarkEnd w:id="0"/>
    </w:p>
    <w:p w:rsidRDefault="00F97D4C" w:rsidR="00CE03E6">
      <w:pPr>
        <w:pStyle w:val="Tijeloteksta"/>
        <w:spacing w:lineRule="auto" w:line="256" w:before="93"/>
        <w:ind w:hanging="442" w:right="4063" w:left="3836"/>
      </w:pPr>
      <w:r>
        <w:t>TABLICE PRIJAVLJENIH TRAŽBINA, RAZLUČNIH PRAVA I IZLUČNIH PRAVA NA TEMELJU ČLANKA 259. STAVKA 1. STEČAJNOG ZAKONA</w:t>
      </w:r>
    </w:p>
    <w:p w:rsidRDefault="00CE03E6" w:rsidR="00CE03E6">
      <w:pPr>
        <w:pStyle w:val="Tijeloteksta"/>
        <w:rPr>
          <w:sz w:val="22"/>
        </w:rPr>
      </w:pPr>
    </w:p>
    <w:p w:rsidRDefault="00CE03E6" w:rsidR="00CE03E6">
      <w:pPr>
        <w:pStyle w:val="Tijeloteksta"/>
        <w:spacing w:before="2"/>
        <w:rPr>
          <w:sz w:val="21"/>
        </w:rPr>
      </w:pPr>
    </w:p>
    <w:p w:rsidRDefault="00F97D4C" w:rsidR="00CE03E6">
      <w:pPr>
        <w:pStyle w:val="Tijeloteksta"/>
        <w:spacing w:lineRule="auto" w:line="256"/>
        <w:ind w:right="9338" w:left="147"/>
      </w:pPr>
      <w:r>
        <w:t>Nadležni trgovački sud: Trgovački sud Bjelovar Poslovni broj spisa: St-798/2018</w:t>
      </w:r>
    </w:p>
    <w:p w:rsidRDefault="00F97D4C" w:rsidR="00CE03E6">
      <w:pPr>
        <w:pStyle w:val="Tijeloteksta"/>
        <w:spacing w:before="2"/>
        <w:ind w:left="147"/>
      </w:pPr>
      <w:r>
        <w:t>Dužnik: Stečajna masa iza LOKI d.o.o. u stečaju Virovitica, Ferde Rusana 100, OIB: 10085040239</w:t>
      </w:r>
    </w:p>
    <w:p w:rsidRDefault="00CE03E6" w:rsidR="00CE03E6">
      <w:pPr>
        <w:pStyle w:val="Tijeloteksta"/>
        <w:rPr>
          <w:sz w:val="22"/>
        </w:rPr>
      </w:pPr>
    </w:p>
    <w:p w:rsidRDefault="00CE03E6" w:rsidR="00CE03E6">
      <w:pPr>
        <w:pStyle w:val="Tijeloteksta"/>
        <w:spacing w:before="6"/>
        <w:rPr>
          <w:sz w:val="22"/>
        </w:rPr>
      </w:pPr>
    </w:p>
    <w:p w:rsidRDefault="00F97D4C" w:rsidR="00CE03E6">
      <w:pPr>
        <w:pStyle w:val="Tijeloteksta"/>
        <w:ind w:left="4040"/>
      </w:pPr>
      <w:r>
        <w:t>I a) TABLICA PRIJAVLJENIH TRAŽBINA I VIŠEG ISPLATNOG REDA</w:t>
      </w:r>
    </w:p>
    <w:p w:rsidRDefault="00CE03E6" w:rsidR="00CE03E6">
      <w:pPr>
        <w:pStyle w:val="Tijeloteksta"/>
        <w:spacing w:before="10"/>
        <w:rPr>
          <w:sz w:val="14"/>
        </w:rPr>
      </w:pPr>
    </w:p>
    <w:p w:rsidRDefault="00F97D4C" w:rsidR="00CE03E6">
      <w:pPr>
        <w:spacing w:after="6" w:before="93"/>
        <w:ind w:right="289"/>
        <w:jc w:val="right"/>
        <w:rPr>
          <w:sz w:val="20"/>
        </w:rPr>
      </w:pPr>
      <w:r>
        <w:rPr>
          <w:sz w:val="20"/>
        </w:rPr>
        <w:t>Stranica-1</w:t>
      </w:r>
    </w:p>
    <w:tbl>
      <w:tblPr>
        <w:tblStyle w:val="TableNormal"/>
        <w:tblW w:type="auto" w:w="0"/>
        <w:tblInd w:type="dxa" w:w="11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425"/>
        <w:gridCol w:w="1277"/>
        <w:gridCol w:w="1308"/>
        <w:gridCol w:w="1577"/>
        <w:gridCol w:w="1342"/>
        <w:gridCol w:w="1263"/>
        <w:gridCol w:w="1073"/>
        <w:gridCol w:w="1263"/>
        <w:gridCol w:w="1215"/>
        <w:gridCol w:w="977"/>
        <w:gridCol w:w="963"/>
        <w:gridCol w:w="773"/>
        <w:gridCol w:w="1104"/>
      </w:tblGrid>
      <w:tr w:rsidR="00CE03E6">
        <w:trPr>
          <w:trHeight w:val="227"/>
        </w:trPr>
        <w:tc>
          <w:tcPr>
            <w:tcW w:type="dxa" w:w="425"/>
            <w:vMerge w:val="restart"/>
          </w:tcPr>
          <w:p w:rsidRDefault="00F97D4C" w:rsidR="00CE03E6">
            <w:pPr>
              <w:pStyle w:val="TableParagraph"/>
              <w:ind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Red</w:t>
            </w:r>
          </w:p>
          <w:p w:rsidRDefault="00F97D4C" w:rsidR="00CE03E6">
            <w:pPr>
              <w:pStyle w:val="TableParagraph"/>
              <w:spacing w:lineRule="exact" w:line="215" w:before="17"/>
              <w:rPr>
                <w:b/>
                <w:sz w:val="20"/>
              </w:rPr>
            </w:pPr>
            <w:r>
              <w:rPr>
                <w:b/>
                <w:sz w:val="20"/>
              </w:rPr>
              <w:t>br.</w:t>
            </w:r>
          </w:p>
        </w:tc>
        <w:tc>
          <w:tcPr>
            <w:tcW w:type="dxa" w:w="1277"/>
            <w:vMerge w:val="restart"/>
          </w:tcPr>
          <w:p w:rsidRDefault="00F97D4C" w:rsidR="00CE03E6">
            <w:pPr>
              <w:pStyle w:val="TableParagraph"/>
              <w:ind w:right="84" w:lef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</w:p>
          <w:p w:rsidRDefault="00F97D4C" w:rsidR="00CE03E6">
            <w:pPr>
              <w:pStyle w:val="TableParagraph"/>
              <w:spacing w:lineRule="exact" w:line="215" w:before="17"/>
              <w:ind w:right="84" w:lef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308"/>
            <w:vMerge w:val="restart"/>
          </w:tcPr>
          <w:p w:rsidRDefault="00F97D4C" w:rsidR="00CE03E6">
            <w:pPr>
              <w:pStyle w:val="TableParagraph"/>
              <w:ind w:right="101" w:left="1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OIB</w:t>
            </w:r>
          </w:p>
          <w:p w:rsidRDefault="00F97D4C" w:rsidR="00CE03E6">
            <w:pPr>
              <w:pStyle w:val="TableParagraph"/>
              <w:spacing w:lineRule="exact" w:line="215" w:before="17"/>
              <w:ind w:right="101" w:left="1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577"/>
            <w:vMerge w:val="restart"/>
          </w:tcPr>
          <w:p w:rsidRDefault="00F97D4C" w:rsidR="00CE03E6">
            <w:pPr>
              <w:pStyle w:val="TableParagraph"/>
              <w:ind w:right="234" w:lef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Adresa</w:t>
            </w:r>
          </w:p>
          <w:p w:rsidRDefault="00F97D4C" w:rsidR="00CE03E6">
            <w:pPr>
              <w:pStyle w:val="TableParagraph"/>
              <w:spacing w:lineRule="exact" w:line="215" w:before="17"/>
              <w:ind w:right="235" w:lef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2605"/>
            <w:gridSpan w:val="2"/>
          </w:tcPr>
          <w:p w:rsidRDefault="00F97D4C" w:rsidR="00CE03E6">
            <w:pPr>
              <w:pStyle w:val="TableParagraph"/>
              <w:spacing w:lineRule="exact" w:line="207"/>
              <w:ind w:left="147"/>
              <w:rPr>
                <w:b/>
                <w:sz w:val="20"/>
              </w:rPr>
            </w:pPr>
            <w:r>
              <w:rPr>
                <w:b/>
                <w:sz w:val="20"/>
              </w:rPr>
              <w:t>Iznos prij. tražb., kn</w:t>
            </w:r>
          </w:p>
        </w:tc>
        <w:tc>
          <w:tcPr>
            <w:tcW w:type="dxa" w:w="1073"/>
            <w:vMerge w:val="restart"/>
          </w:tcPr>
          <w:p w:rsidRDefault="00F97D4C" w:rsidR="00CE03E6">
            <w:pPr>
              <w:pStyle w:val="TableParagraph"/>
              <w:ind w:left="93"/>
              <w:rPr>
                <w:b/>
                <w:sz w:val="20"/>
              </w:rPr>
            </w:pPr>
            <w:r>
              <w:rPr>
                <w:b/>
                <w:sz w:val="20"/>
              </w:rPr>
              <w:t>Prav.osn.</w:t>
            </w:r>
          </w:p>
          <w:p w:rsidRDefault="00F97D4C" w:rsidR="00CE03E6">
            <w:pPr>
              <w:pStyle w:val="TableParagraph"/>
              <w:spacing w:lineRule="exact" w:line="215" w:before="17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prij.traž.</w:t>
            </w:r>
          </w:p>
        </w:tc>
        <w:tc>
          <w:tcPr>
            <w:tcW w:type="dxa" w:w="2478"/>
            <w:gridSpan w:val="2"/>
          </w:tcPr>
          <w:p w:rsidRDefault="00F97D4C" w:rsidR="00CE03E6">
            <w:pPr>
              <w:pStyle w:val="TableParagraph"/>
              <w:spacing w:lineRule="exact" w:line="207"/>
              <w:ind w:left="201"/>
              <w:rPr>
                <w:b/>
                <w:sz w:val="20"/>
              </w:rPr>
            </w:pPr>
            <w:r>
              <w:rPr>
                <w:b/>
                <w:sz w:val="20"/>
              </w:rPr>
              <w:t>Izn.priz.tražbine, kn</w:t>
            </w:r>
          </w:p>
        </w:tc>
        <w:tc>
          <w:tcPr>
            <w:tcW w:type="dxa" w:w="977"/>
            <w:vMerge w:val="restart"/>
          </w:tcPr>
          <w:p w:rsidRDefault="00F97D4C" w:rsidR="00CE03E6">
            <w:pPr>
              <w:pStyle w:val="TableParagraph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>Prav.osn.</w:t>
            </w:r>
          </w:p>
          <w:p w:rsidRDefault="00F97D4C" w:rsidR="00CE03E6">
            <w:pPr>
              <w:pStyle w:val="TableParagraph"/>
              <w:spacing w:lineRule="exact" w:line="215" w:before="17"/>
              <w:ind w:right="-15" w:left="22"/>
              <w:rPr>
                <w:b/>
                <w:sz w:val="20"/>
              </w:rPr>
            </w:pPr>
            <w:r>
              <w:rPr>
                <w:b/>
                <w:sz w:val="20"/>
              </w:rPr>
              <w:t>priz.tražb.</w:t>
            </w:r>
          </w:p>
        </w:tc>
        <w:tc>
          <w:tcPr>
            <w:tcW w:type="dxa" w:w="963"/>
            <w:vMerge w:val="restart"/>
          </w:tcPr>
          <w:p w:rsidRDefault="00F97D4C" w:rsidR="00CE03E6">
            <w:pPr>
              <w:pStyle w:val="TableParagraph"/>
              <w:ind w:right="-15" w:left="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Izn.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ospo.</w:t>
            </w:r>
          </w:p>
          <w:p w:rsidRDefault="00F97D4C" w:rsidR="00CE03E6">
            <w:pPr>
              <w:pStyle w:val="TableParagraph"/>
              <w:spacing w:lineRule="exact" w:line="215" w:before="17"/>
              <w:ind w:right="86" w:lef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traž, kn</w:t>
            </w:r>
          </w:p>
        </w:tc>
        <w:tc>
          <w:tcPr>
            <w:tcW w:type="dxa" w:w="773"/>
            <w:vMerge w:val="restart"/>
          </w:tcPr>
          <w:p w:rsidRDefault="00F97D4C" w:rsidR="00CE03E6">
            <w:pPr>
              <w:pStyle w:val="TableParagraph"/>
              <w:ind w:left="62"/>
              <w:rPr>
                <w:b/>
                <w:sz w:val="20"/>
              </w:rPr>
            </w:pPr>
            <w:r>
              <w:rPr>
                <w:b/>
                <w:sz w:val="20"/>
              </w:rPr>
              <w:t>Razlog</w:t>
            </w:r>
          </w:p>
          <w:p w:rsidRDefault="00F97D4C" w:rsidR="00CE03E6">
            <w:pPr>
              <w:pStyle w:val="TableParagraph"/>
              <w:spacing w:lineRule="exact" w:line="215" w:before="17"/>
              <w:ind w:left="3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osp.tra.</w:t>
            </w:r>
          </w:p>
        </w:tc>
        <w:tc>
          <w:tcPr>
            <w:tcW w:type="dxa" w:w="1104"/>
            <w:vMerge w:val="restart"/>
          </w:tcPr>
          <w:p w:rsidRDefault="00F97D4C" w:rsidR="00CE03E6">
            <w:pPr>
              <w:pStyle w:val="TableParagraph"/>
              <w:ind w:left="202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</w:p>
          <w:p w:rsidRDefault="00F97D4C" w:rsidR="00CE03E6">
            <w:pPr>
              <w:pStyle w:val="TableParagraph"/>
              <w:spacing w:lineRule="exact" w:line="215" w:before="17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ovrš ispr</w:t>
            </w:r>
          </w:p>
        </w:tc>
      </w:tr>
      <w:tr w:rsidR="00CE03E6">
        <w:trPr>
          <w:trHeight w:val="227"/>
        </w:trPr>
        <w:tc>
          <w:tcPr>
            <w:tcW w:type="dxa" w:w="425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1277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1308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1577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1342"/>
          </w:tcPr>
          <w:p w:rsidRDefault="00F97D4C" w:rsidR="00CE03E6">
            <w:pPr>
              <w:pStyle w:val="TableParagraph"/>
              <w:spacing w:lineRule="exact" w:line="207"/>
              <w:ind w:left="469"/>
              <w:rPr>
                <w:sz w:val="20"/>
              </w:rPr>
            </w:pPr>
            <w:r>
              <w:rPr>
                <w:sz w:val="20"/>
              </w:rPr>
              <w:t>Neto</w:t>
            </w:r>
          </w:p>
        </w:tc>
        <w:tc>
          <w:tcPr>
            <w:tcW w:type="dxa" w:w="1263"/>
          </w:tcPr>
          <w:p w:rsidRDefault="00F97D4C" w:rsidR="00CE03E6">
            <w:pPr>
              <w:pStyle w:val="TableParagraph"/>
              <w:spacing w:lineRule="exact" w:line="207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>Bruto</w:t>
            </w:r>
          </w:p>
        </w:tc>
        <w:tc>
          <w:tcPr>
            <w:tcW w:type="dxa" w:w="1073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1263"/>
          </w:tcPr>
          <w:p w:rsidRDefault="00F97D4C" w:rsidR="00CE03E6">
            <w:pPr>
              <w:pStyle w:val="TableParagraph"/>
              <w:spacing w:lineRule="exact" w:line="207"/>
              <w:ind w:left="415"/>
              <w:rPr>
                <w:b/>
                <w:sz w:val="20"/>
              </w:rPr>
            </w:pPr>
            <w:r>
              <w:rPr>
                <w:b/>
                <w:sz w:val="20"/>
              </w:rPr>
              <w:t>Neto</w:t>
            </w:r>
          </w:p>
        </w:tc>
        <w:tc>
          <w:tcPr>
            <w:tcW w:type="dxa" w:w="1215"/>
          </w:tcPr>
          <w:p w:rsidRDefault="00F97D4C" w:rsidR="00CE03E6">
            <w:pPr>
              <w:pStyle w:val="TableParagraph"/>
              <w:spacing w:lineRule="exact" w:line="207"/>
              <w:ind w:left="347"/>
              <w:rPr>
                <w:b/>
                <w:sz w:val="20"/>
              </w:rPr>
            </w:pPr>
            <w:r>
              <w:rPr>
                <w:b/>
                <w:sz w:val="20"/>
              </w:rPr>
              <w:t>Bruto</w:t>
            </w:r>
          </w:p>
        </w:tc>
        <w:tc>
          <w:tcPr>
            <w:tcW w:type="dxa" w:w="977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963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773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  <w:tc>
          <w:tcPr>
            <w:tcW w:type="dxa" w:w="1104"/>
            <w:vMerge/>
            <w:tcBorders>
              <w:top w:val="nil"/>
            </w:tcBorders>
          </w:tcPr>
          <w:p w:rsidRDefault="00CE03E6" w:rsidR="00CE03E6">
            <w:pPr>
              <w:rPr>
                <w:sz w:val="2"/>
                <w:szCs w:val="2"/>
              </w:rPr>
            </w:pPr>
          </w:p>
        </w:tc>
      </w:tr>
      <w:tr w:rsidR="00CE03E6">
        <w:trPr>
          <w:trHeight w:val="2204"/>
        </w:trPr>
        <w:tc>
          <w:tcPr>
            <w:tcW w:type="dxa" w:w="425"/>
          </w:tcPr>
          <w:p w:rsidRDefault="00F97D4C" w:rsidR="00CE03E6">
            <w:pPr>
              <w:pStyle w:val="TableParagraph"/>
              <w:ind w:left="93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type="dxa" w:w="1277"/>
          </w:tcPr>
          <w:p w:rsidRDefault="00F97D4C" w:rsidR="00CE03E6">
            <w:pPr>
              <w:pStyle w:val="TableParagraph"/>
              <w:spacing w:lineRule="auto" w:line="256"/>
              <w:rPr>
                <w:sz w:val="20"/>
              </w:rPr>
            </w:pPr>
            <w:r>
              <w:rPr>
                <w:sz w:val="20"/>
              </w:rPr>
              <w:t>MINISTAR- STVO FINANCIJA, PU PODRU- ČNI URED BJELOVAR</w:t>
            </w:r>
          </w:p>
          <w:p w:rsidRDefault="00F97D4C" w:rsidR="00CE03E6">
            <w:pPr>
              <w:pStyle w:val="TableParagraph"/>
              <w:spacing w:lineRule="auto" w:line="256"/>
              <w:rPr>
                <w:sz w:val="20"/>
              </w:rPr>
            </w:pPr>
            <w:r>
              <w:rPr>
                <w:sz w:val="20"/>
              </w:rPr>
              <w:t>zastupnik po zakonu: ŽDO</w:t>
            </w:r>
          </w:p>
          <w:p w:rsidRDefault="00F97D4C" w:rsidR="00CE03E6">
            <w:pPr>
              <w:pStyle w:val="TableParagraph"/>
              <w:spacing w:lineRule="exact" w:line="215" w:before="1"/>
              <w:rPr>
                <w:sz w:val="20"/>
              </w:rPr>
            </w:pPr>
            <w:r>
              <w:rPr>
                <w:sz w:val="20"/>
              </w:rPr>
              <w:t>u Bjelovaru</w:t>
            </w:r>
          </w:p>
        </w:tc>
        <w:tc>
          <w:tcPr>
            <w:tcW w:type="dxa" w:w="1308"/>
          </w:tcPr>
          <w:p w:rsidRDefault="00F97D4C" w:rsidR="00CE03E6">
            <w:pPr>
              <w:pStyle w:val="TableParagraph"/>
              <w:ind w:left="54"/>
              <w:rPr>
                <w:sz w:val="20"/>
              </w:rPr>
            </w:pPr>
            <w:r>
              <w:rPr>
                <w:sz w:val="20"/>
              </w:rPr>
              <w:t>18683136487</w:t>
            </w:r>
          </w:p>
        </w:tc>
        <w:tc>
          <w:tcPr>
            <w:tcW w:type="dxa" w:w="1577"/>
          </w:tcPr>
          <w:p w:rsidRDefault="00F97D4C" w:rsidR="00CE03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Boškovićeva 5</w:t>
            </w:r>
          </w:p>
          <w:p w:rsidRDefault="00F97D4C" w:rsidR="00CE03E6">
            <w:pPr>
              <w:pStyle w:val="TableParagraph"/>
              <w:spacing w:lineRule="auto" w:line="240" w:before="17"/>
              <w:rPr>
                <w:sz w:val="20"/>
              </w:rPr>
            </w:pPr>
            <w:r>
              <w:rPr>
                <w:sz w:val="20"/>
              </w:rPr>
              <w:t>10000 ZAGREB</w:t>
            </w:r>
          </w:p>
        </w:tc>
        <w:tc>
          <w:tcPr>
            <w:tcW w:type="dxa" w:w="1342"/>
          </w:tcPr>
          <w:p w:rsidRDefault="00F97D4C" w:rsidR="00CE03E6">
            <w:pPr>
              <w:pStyle w:val="TableParagraph"/>
              <w:ind w:left="418"/>
              <w:rPr>
                <w:sz w:val="20"/>
              </w:rPr>
            </w:pPr>
            <w:r>
              <w:rPr>
                <w:sz w:val="20"/>
              </w:rPr>
              <w:t>17.695,18</w:t>
            </w:r>
          </w:p>
        </w:tc>
        <w:tc>
          <w:tcPr>
            <w:tcW w:type="dxa" w:w="1263"/>
          </w:tcPr>
          <w:p w:rsidRDefault="00F97D4C" w:rsidR="00CE03E6">
            <w:pPr>
              <w:pStyle w:val="TableParagraph"/>
              <w:ind w:left="339"/>
              <w:rPr>
                <w:sz w:val="20"/>
              </w:rPr>
            </w:pPr>
            <w:r>
              <w:rPr>
                <w:sz w:val="20"/>
              </w:rPr>
              <w:t>17.695,18</w:t>
            </w:r>
          </w:p>
        </w:tc>
        <w:tc>
          <w:tcPr>
            <w:tcW w:type="dxa" w:w="1073"/>
          </w:tcPr>
          <w:p w:rsidRDefault="00F97D4C" w:rsidR="00CE03E6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Doprinosi</w:t>
            </w:r>
          </w:p>
        </w:tc>
        <w:tc>
          <w:tcPr>
            <w:tcW w:type="dxa" w:w="1263"/>
          </w:tcPr>
          <w:p w:rsidRDefault="00F97D4C" w:rsidR="00CE03E6">
            <w:pPr>
              <w:pStyle w:val="TableParagraph"/>
              <w:ind w:left="338"/>
              <w:rPr>
                <w:sz w:val="20"/>
              </w:rPr>
            </w:pPr>
            <w:r>
              <w:rPr>
                <w:sz w:val="20"/>
              </w:rPr>
              <w:t>17.695,18</w:t>
            </w:r>
          </w:p>
        </w:tc>
        <w:tc>
          <w:tcPr>
            <w:tcW w:type="dxa" w:w="1215"/>
          </w:tcPr>
          <w:p w:rsidRDefault="00F97D4C" w:rsidR="00CE03E6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w:t>17.695,18</w:t>
            </w:r>
          </w:p>
        </w:tc>
        <w:tc>
          <w:tcPr>
            <w:tcW w:type="dxa" w:w="977"/>
          </w:tcPr>
          <w:p w:rsidRDefault="00F97D4C" w:rsidR="00CE03E6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Doprinosi</w:t>
            </w:r>
          </w:p>
        </w:tc>
        <w:tc>
          <w:tcPr>
            <w:tcW w:type="dxa" w:w="963"/>
          </w:tcPr>
          <w:p w:rsidRDefault="00F97D4C" w:rsidR="00CE03E6">
            <w:pPr>
              <w:pStyle w:val="TableParagraph"/>
              <w:ind w:left="533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type="dxa" w:w="773"/>
          </w:tcPr>
          <w:p w:rsidRDefault="00F97D4C" w:rsidR="00CE03E6">
            <w:pPr>
              <w:pStyle w:val="TableParagraph"/>
              <w:ind w:lef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type="dxa" w:w="1104"/>
          </w:tcPr>
          <w:p w:rsidRDefault="00F97D4C" w:rsidR="00CE03E6">
            <w:pPr>
              <w:pStyle w:val="TableParagraph"/>
              <w:spacing w:lineRule="auto" w:line="256"/>
              <w:ind w:right="270" w:left="3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 xml:space="preserve">Rješenja </w:t>
            </w:r>
            <w:r>
              <w:rPr>
                <w:sz w:val="20"/>
              </w:rPr>
              <w:t>i obrasci za iznos od</w:t>
            </w:r>
          </w:p>
          <w:p w:rsidRDefault="00F97D4C" w:rsidR="00CE03E6">
            <w:pPr>
              <w:pStyle w:val="TableParagraph"/>
              <w:spacing w:lineRule="exact" w:line="230"/>
              <w:ind w:left="34"/>
              <w:jc w:val="both"/>
              <w:rPr>
                <w:sz w:val="20"/>
              </w:rPr>
            </w:pPr>
            <w:r>
              <w:rPr>
                <w:sz w:val="20"/>
              </w:rPr>
              <w:t>17.695,18</w:t>
            </w:r>
          </w:p>
          <w:p w:rsidRDefault="00F97D4C" w:rsidR="00CE03E6">
            <w:pPr>
              <w:pStyle w:val="TableParagraph"/>
              <w:spacing w:lineRule="auto" w:line="240" w:before="14"/>
              <w:ind w:left="34"/>
              <w:jc w:val="both"/>
              <w:rPr>
                <w:sz w:val="20"/>
              </w:rPr>
            </w:pPr>
            <w:r>
              <w:rPr>
                <w:sz w:val="20"/>
              </w:rPr>
              <w:t>kn</w:t>
            </w:r>
          </w:p>
        </w:tc>
      </w:tr>
    </w:tbl>
    <w:p w:rsidRDefault="00CE03E6" w:rsidR="00CE03E6">
      <w:pPr>
        <w:pStyle w:val="Tijeloteksta"/>
        <w:rPr>
          <w:b w:val="false"/>
          <w:sz w:val="22"/>
        </w:rPr>
      </w:pPr>
    </w:p>
    <w:p w:rsidRDefault="00CE03E6" w:rsidR="00CE03E6">
      <w:pPr>
        <w:pStyle w:val="Tijeloteksta"/>
        <w:rPr>
          <w:b w:val="false"/>
          <w:sz w:val="22"/>
        </w:rPr>
      </w:pPr>
    </w:p>
    <w:p w:rsidRDefault="00CE03E6" w:rsidR="00CE03E6">
      <w:pPr>
        <w:pStyle w:val="Tijeloteksta"/>
        <w:spacing w:before="9"/>
        <w:rPr>
          <w:b w:val="false"/>
          <w:sz w:val="19"/>
        </w:rPr>
      </w:pPr>
    </w:p>
    <w:p w:rsidRDefault="00F97D4C" w:rsidR="00CE03E6">
      <w:pPr>
        <w:ind w:left="572"/>
        <w:rPr>
          <w:sz w:val="20"/>
        </w:rPr>
      </w:pPr>
      <w:r>
        <w:rPr>
          <w:sz w:val="20"/>
        </w:rPr>
        <w:t>Virovitica, 29.04.2019.</w:t>
      </w:r>
    </w:p>
    <w:p w:rsidRDefault="00CE03E6" w:rsidR="00CE03E6">
      <w:pPr>
        <w:pStyle w:val="Tijeloteksta"/>
        <w:rPr>
          <w:b w:val="false"/>
          <w:sz w:val="22"/>
        </w:rPr>
      </w:pPr>
    </w:p>
    <w:p w:rsidRDefault="00CE03E6" w:rsidR="00CE03E6">
      <w:pPr>
        <w:pStyle w:val="Tijeloteksta"/>
        <w:spacing w:before="6"/>
        <w:rPr>
          <w:b w:val="false"/>
          <w:sz w:val="22"/>
        </w:rPr>
      </w:pPr>
    </w:p>
    <w:p w:rsidRDefault="00F97D4C" w:rsidR="00CE03E6">
      <w:pPr>
        <w:spacing w:lineRule="auto" w:line="256"/>
        <w:ind w:hanging="111" w:right="1676" w:left="10998"/>
        <w:rPr>
          <w:sz w:val="20"/>
        </w:rPr>
      </w:pPr>
      <w:r>
        <w:rPr>
          <w:sz w:val="20"/>
        </w:rPr>
        <w:t>Stečajni upravitelj: Branko Valentić</w:t>
      </w:r>
    </w:p>
    <w:sectPr w:rsidR="00CE03E6">
      <w:type w:val="continuous"/>
      <w:pgSz w:orient="landscape" w:h="11910" w:w="16840"/>
      <w:pgMar w:gutter="0" w:footer="720" w:header="720" w:left="980" w:bottom="280" w:right="1060" w:top="110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3E6"/>
    <w:rsid w:val="00493240"/>
    <w:rsid w:val="006563F0"/>
    <w:rsid w:val="00CE03E6"/>
    <w:rsid w:val="00F9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  <w:autoSpaceDE w:val="false"/>
        <w:autoSpaceDN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Pr>
      <w:rFonts w:cs="Arial" w:eastAsia="Arial"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b/>
      <w:bCs/>
      <w:sz w:val="20"/>
      <w:szCs w:val="20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  <w:pPr>
      <w:spacing w:lineRule="exact" w:line="222"/>
      <w:ind w:left="37"/>
    </w:pPr>
  </w:style>
  <w:style w:styleId="Tekstrezerviranogmjesta" w:type="character">
    <w:name w:val="Placeholder Text"/>
    <w:basedOn w:val="Zadanifontodlomka"/>
    <w:uiPriority w:val="99"/>
    <w:semiHidden/>
    <w:rsid w:val="00493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240"/>
    <w:rPr>
      <w:rFonts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24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24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  <w:autoSpaceDE w:val="0"/>
        <w:autoSpaceDN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Pr>
      <w:rFonts w:ascii="Arial" w:cs="Arial" w:eastAsia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b/>
      <w:bCs/>
      <w:sz w:val="20"/>
      <w:szCs w:val="20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  <w:pPr>
      <w:spacing w:line="222" w:lineRule="exact"/>
      <w:ind w:left="37"/>
    </w:pPr>
  </w:style>
  <w:style w:styleId="Tekstrezerviranogmjesta" w:type="character">
    <w:name w:val="Placeholder Text"/>
    <w:basedOn w:val="Zadanifontodlomka"/>
    <w:uiPriority w:val="99"/>
    <w:semiHidden/>
    <w:rsid w:val="00493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240"/>
    <w:rPr>
      <w:rFonts w:asci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24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24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761</properties:Characters>
  <properties:Lines>81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2019-05-02T10:04:00Z</dcterms:created>
  <dc:creator>Nenad</dc:creator>
  <cp:lastModifiedBy>Vesna Dragišić</cp:lastModifiedBy>
  <dcterms:modified xmlns:xsi="http://www.w3.org/2001/XMLSchema-instance" xsi:type="dcterms:W3CDTF">2019-05-02T10:07:00Z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or" pid="2" fmtid="{D5CDD505-2E9C-101B-9397-08002B2CF9AE}">
    <vt:lpwstr>PDF Architect 6</vt:lpwstr>
  </prop:property>
  <prop:property name="LastSaved" pid="3" fmtid="{D5CDD505-2E9C-101B-9397-08002B2CF9AE}">
    <vt:filetime>2019-04-30T00:00:00Z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St-798/2018-8 / Podnesak - Tablica prijavljenih i osporenih tražbina (Valentić Tablica I V reda.docx)</vt:lpwstr>
  </prop:property>
  <prop:property name="CC_coloring" pid="6" fmtid="{D5CDD505-2E9C-101B-9397-08002B2CF9AE}">
    <vt:bool>false</vt:bool>
  </prop:property>
  <prop:property name="BrojStranica" pid="7" fmtid="{D5CDD505-2E9C-101B-9397-08002B2CF9AE}">
    <vt:i4>1</vt:i4>
  </prop:property>
</prop:Properties>
</file>