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af63" w14:paraId="12faf63" w:rsidRDefault="00647AA1" w:rsidP="00647AA1" w:rsidR="00647AA1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</w:p>
    <w:p w:rsidRDefault="00A57987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4C4B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6A4C4B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HIDROMONT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Čukovice</w:t>
      </w:r>
      <w:proofErr w:type="spellEnd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63120097243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1D79B5" w:rsidR="00647AA1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HIDROMONT j.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Sukošan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Čukovice</w:t>
      </w:r>
      <w:proofErr w:type="spellEnd"/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OIB: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63120097243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47AA1" w:rsidP="00647AA1" w:rsidR="005F53D9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II. Nalaže se Financijskoj agenciji neposredno po primitku ovog rješenja, osloboditi sredstva u iznosu od </w:t>
      </w:r>
      <w:r w:rsidR="006A4C4B">
        <w:rPr>
          <w:rFonts w:cs="Times New Roman" w:hAnsi="Times New Roman" w:ascii="Times New Roman"/>
          <w:sz w:val="24"/>
          <w:szCs w:val="24"/>
        </w:rPr>
        <w:t>5</w:t>
      </w:r>
      <w:r w:rsidR="00D04E17" w:rsidRPr="00D04E17">
        <w:rPr>
          <w:rFonts w:cs="Times New Roman" w:hAnsi="Times New Roman" w:ascii="Times New Roman"/>
          <w:sz w:val="24"/>
          <w:szCs w:val="24"/>
        </w:rPr>
        <w:t>.</w:t>
      </w:r>
      <w:r w:rsidR="006A4C4B">
        <w:rPr>
          <w:rFonts w:cs="Times New Roman" w:hAnsi="Times New Roman" w:ascii="Times New Roman"/>
          <w:sz w:val="24"/>
          <w:szCs w:val="24"/>
        </w:rPr>
        <w:t>000</w:t>
      </w:r>
      <w:r w:rsidR="00D04E17" w:rsidRPr="00D04E17">
        <w:rPr>
          <w:rFonts w:cs="Times New Roman" w:hAnsi="Times New Roman" w:ascii="Times New Roman"/>
          <w:sz w:val="24"/>
          <w:szCs w:val="24"/>
        </w:rPr>
        <w:t>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zaplijenjena s računa dužnika na temelju odredbe čl. 112. st. 1. Stečajnog zakona na ime predujma za namirenje troškova stečajnoga postupka te ista staviti na raspolaganje uvodno označenom dužniku.</w:t>
      </w:r>
    </w:p>
    <w:p w:rsidRDefault="00647AA1" w:rsidP="00647AA1" w:rsidR="00647AA1" w:rsidRPr="00D04E17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 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>III. Ročište u prethodnom postupku zakazano za dan 13. veljače 2018. neće se održati.</w:t>
      </w:r>
    </w:p>
    <w:p w:rsidRDefault="00647AA1" w:rsidP="00647AA1" w:rsidR="00647AA1" w:rsidRPr="00D04E17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1BC3" w:rsidP="006A4C4B" w:rsidR="005A1BC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 w:rsidR="001D79B5"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14. prosinca 2017. u Očevidniku redoslijeda osnova za plaćanje ima neizvršene osnove za plaćanje u iznosu od 51.665,03 kuna u neprekinutom razdoblju od 120 dana te da ima jednog zaposlenika. </w:t>
      </w:r>
    </w:p>
    <w:p w:rsidRDefault="006A4C4B" w:rsidP="006A4C4B" w:rsidR="006A4C4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 rješenjem ovog suda poslovni broj gornji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</w:t>
      </w:r>
      <w:r w:rsidR="008A64E3">
        <w:rPr>
          <w:rFonts w:cs="Times New Roman" w:eastAsia="Times New Roman" w:hAnsi="Times New Roman" w:ascii="Times New Roman"/>
          <w:sz w:val="24"/>
          <w:szCs w:val="24"/>
          <w:lang w:eastAsia="hr-HR"/>
        </w:rPr>
        <w:t>cima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A64E3">
        <w:rPr>
          <w:rFonts w:cs="Times New Roman" w:eastAsia="Times New Roman" w:hAnsi="Times New Roman" w:ascii="Times New Roman"/>
          <w:sz w:val="24"/>
          <w:szCs w:val="24"/>
          <w:lang w:eastAsia="hr-HR"/>
        </w:rPr>
        <w:t>17. i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5A1BC3" w:rsidP="005A1BC3" w:rsidR="005A1BC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Nadalje, odredbom 128. st. 9. SZ-a je propisano je da će sud obustaviti postupak ako dužnik do završetka prethodnoga postupka postane sposoban za plaćanje.  </w:t>
      </w:r>
    </w:p>
    <w:p w:rsidRDefault="005A1BC3" w:rsidP="005A1BC3" w:rsidR="005A1BC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iz potvrd</w:t>
      </w:r>
      <w:r w:rsidR="008A64E3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 w:rsidR="008A64E3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A64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19.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jasno proizlazi da račun dužnika više nije u blokadi te da u Očevidniku redoslijeda osnova za plaćanje više nema evidentiranih neizvršenih osnova za plaćanje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5A1BC3" w:rsidP="005A1BC3" w:rsidR="005A1BC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647AA1" w:rsidP="005A1BC3" w:rsidR="00647AA1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S obzirom da iz prijedloga Financijske agencije od proizlazi da je s računa dužnika zaplijenila iznos od </w:t>
      </w:r>
      <w:r w:rsidR="008A64E3">
        <w:rPr>
          <w:rFonts w:cs="Times New Roman" w:hAnsi="Times New Roman" w:ascii="Times New Roman"/>
          <w:sz w:val="24"/>
          <w:szCs w:val="24"/>
        </w:rPr>
        <w:t>5</w:t>
      </w:r>
      <w:r w:rsidR="00D04E17" w:rsidRPr="00D04E17">
        <w:rPr>
          <w:rFonts w:cs="Times New Roman" w:hAnsi="Times New Roman" w:ascii="Times New Roman"/>
          <w:sz w:val="24"/>
          <w:szCs w:val="24"/>
        </w:rPr>
        <w:t>.</w:t>
      </w:r>
      <w:r w:rsidR="008A64E3">
        <w:rPr>
          <w:rFonts w:cs="Times New Roman" w:hAnsi="Times New Roman" w:ascii="Times New Roman"/>
          <w:sz w:val="24"/>
          <w:szCs w:val="24"/>
        </w:rPr>
        <w:t>000</w:t>
      </w:r>
      <w:r w:rsidR="00D04E17" w:rsidRPr="00D04E17">
        <w:rPr>
          <w:rFonts w:cs="Times New Roman" w:hAnsi="Times New Roman" w:ascii="Times New Roman"/>
          <w:sz w:val="24"/>
          <w:szCs w:val="24"/>
        </w:rPr>
        <w:t>,00</w:t>
      </w:r>
      <w:r w:rsidRPr="00D04E17">
        <w:rPr>
          <w:rFonts w:cs="Times New Roman" w:hAnsi="Times New Roman" w:ascii="Times New Roman"/>
          <w:sz w:val="24"/>
          <w:szCs w:val="24"/>
        </w:rPr>
        <w:t xml:space="preserve"> kuna na ime predujma za namirenje troškova stečajnoga postupka, to se odluka suda iz točke II. izreke ovog rješenja temelji na odgovarajućoj primjeni odredbe čl. 112. st. 7. SZ-a. </w:t>
      </w:r>
    </w:p>
    <w:p w:rsidRDefault="00647AA1" w:rsidP="00647AA1" w:rsidR="00647AA1" w:rsidRPr="00D04E1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5F5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4E1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3D9" w:rsidP="00647AA1" w:rsidR="005F53D9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7987" w:rsidP="00A57987" w:rsidR="00647AA1" w:rsidRPr="00F21753">
      <w:pPr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-ovlaštena službenica:                                    </w:t>
      </w:r>
      <w:r w:rsidR="00647AA1" w:rsidRPr="00F21753">
        <w:rPr>
          <w:rFonts w:cs="Times New Roman" w:hAnsi="Times New Roman" w:ascii="Times New Roman"/>
          <w:sz w:val="24"/>
          <w:szCs w:val="24"/>
        </w:rPr>
        <w:t>Sutkinja:</w:t>
      </w:r>
    </w:p>
    <w:p w:rsidRDefault="00A57987" w:rsidP="00A57987" w:rsidR="00647AA1" w:rsidRPr="00F21753">
      <w:pPr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="00647AA1" w:rsidRPr="00F21753">
        <w:rPr>
          <w:rFonts w:cs="Times New Roman" w:hAnsi="Times New Roman" w:ascii="Times New Roman"/>
          <w:sz w:val="24"/>
          <w:szCs w:val="24"/>
        </w:rPr>
        <w:t>Tina Grgas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647AA1" w:rsidP="00647AA1" w:rsidR="00647AA1" w:rsidRPr="008C6596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neposredno </w:t>
      </w:r>
    </w:p>
    <w:p w:rsidRDefault="00647AA1" w:rsidP="00647AA1" w:rsidR="00647AA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8A64E3" w:rsidP="008A64E3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76" w:after="200"/>
      </w:pPr>
    </w:p>
    <w:p w:rsidRDefault="00647AA1" w:rsidP="00647AA1" w:rsidR="00647AA1"/>
    <w:p w:rsidRDefault="00B8172B" w:rsidR="00B8172B"/>
    <w:sectPr w:rsidSect="00DF177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7E3" w:rsidR="006907E3">
      <w:pPr>
        <w:spacing w:lineRule="auto" w:line="240"/>
      </w:pPr>
      <w:r>
        <w:separator/>
      </w:r>
    </w:p>
  </w:endnote>
  <w:endnote w:id="0" w:type="continuationSeparator">
    <w:p w:rsidRDefault="006907E3" w:rsidR="006907E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7E3" w:rsidR="006907E3">
      <w:pPr>
        <w:spacing w:lineRule="auto" w:line="240"/>
      </w:pPr>
      <w:r>
        <w:separator/>
      </w:r>
    </w:p>
  </w:footnote>
  <w:footnote w:id="0" w:type="continuationSeparator">
    <w:p w:rsidRDefault="006907E3" w:rsidR="006907E3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1D002D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79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D04E17">
          <w:rPr>
            <w:rFonts w:cs="Times New Roman" w:hAnsi="Times New Roman" w:ascii="Times New Roman"/>
            <w:sz w:val="24"/>
            <w:szCs w:val="24"/>
          </w:rPr>
          <w:t>5</w:t>
        </w:r>
        <w:r w:rsidR="008A64E3">
          <w:rPr>
            <w:rFonts w:cs="Times New Roman" w:hAnsi="Times New Roman" w:ascii="Times New Roman"/>
            <w:sz w:val="24"/>
            <w:szCs w:val="24"/>
          </w:rPr>
          <w:t>02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5F53D9">
          <w:rPr>
            <w:rFonts w:cs="Times New Roman" w:hAnsi="Times New Roman" w:ascii="Times New Roman"/>
            <w:sz w:val="24"/>
            <w:szCs w:val="24"/>
          </w:rPr>
          <w:t>7-</w:t>
        </w:r>
        <w:r w:rsidR="008A64E3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6907E3" w:rsidP="00346962" w:rsidR="004F4201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1D002D"/>
    <w:rsid w:val="001D79B5"/>
    <w:rsid w:val="003841F4"/>
    <w:rsid w:val="005A1BC3"/>
    <w:rsid w:val="005F53D9"/>
    <w:rsid w:val="00647AA1"/>
    <w:rsid w:val="006907E3"/>
    <w:rsid w:val="006A4C4B"/>
    <w:rsid w:val="008A64E3"/>
    <w:rsid w:val="00A57987"/>
    <w:rsid w:val="00A908BB"/>
    <w:rsid w:val="00B8172B"/>
    <w:rsid w:val="00D04E17"/>
    <w:rsid w:val="00E335D1"/>
    <w:rsid w:val="00E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AA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A579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79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79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79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79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98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9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AA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A579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7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7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7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7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98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9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>
      <item>Dalibor Marić</item>
    </izvorni_sadrzaj>
    <derivirana_varijabla naziv="DomainObject.Predmet.OstaliListFormated_1">
      <item>Dalibor Marić</item>
    </derivirana_varijabla>
  </DomainObject.Predmet.OstaliListFormated>
  <DomainObject.Predmet.OstaliListFormatedOIB>
    <izvorni_sadrzaj>
      <item>Dalibor Marić, OIB 36838903368</item>
    </izvorni_sadrzaj>
    <derivirana_varijabla naziv="DomainObject.Predmet.OstaliListFormatedOIB_1">
      <item>Dalibor Marić, OIB 36838903368</item>
    </derivirana_varijabla>
  </DomainObject.Predmet.OstaliListFormatedOIB>
  <DomainObject.Predmet.OstaliListFormatedWithAdress>
    <izvorni_sadrzaj>
      <item>Dalibor Marić, ČUKOVICE 65 (ranije: SUKOŠAN, SUKOŠAN, 13), 23206 Sukošan</item>
    </izvorni_sadrzaj>
    <derivirana_varijabla naziv="DomainObject.Predmet.OstaliListFormatedWithAdress_1">
      <item>Dalibor Marić, ČUKOVICE 65 (ranije: SUKOŠAN, SUKOŠAN, 13), 23206 Sukošan</item>
    </derivirana_varijabla>
  </DomainObject.Predmet.OstaliListFormatedWithAdress>
  <DomainObject.Predmet.OstaliListFormatedWithAdressOIB>
    <izvorni_sadrzaj>
      <item>Dalibor Marić, OIB 36838903368, ČUKOVICE 65 (ranije: SUKOŠAN, SUKOŠAN, 13), 23206 Sukošan</item>
    </izvorni_sadrzaj>
    <derivirana_varijabla naziv="DomainObject.Predmet.OstaliListFormatedWithAdressOIB_1">
      <item>Dalibor Marić, OIB 36838903368, ČUKOVICE 65 (ranije: SUKOŠAN, SUKOŠAN, 13), 23206 Sukošan</item>
    </derivirana_varijabla>
  </DomainObject.Predmet.OstaliListFormatedWithAdressOIB>
  <DomainObject.Predmet.OstaliListNazivFormated>
    <izvorni_sadrzaj>
      <item>Dalibor Marić</item>
    </izvorni_sadrzaj>
    <derivirana_varijabla naziv="DomainObject.Predmet.OstaliListNazivFormated_1">
      <item>Dalibor Marić</item>
    </derivirana_varijabla>
  </DomainObject.Predmet.OstaliListNazivFormated>
  <DomainObject.Predmet.OstaliListNazivFormatedOIB>
    <izvorni_sadrzaj>
      <item>Dalibor Marić, OIB 36838903368</item>
    </izvorni_sadrzaj>
    <derivirana_varijabla naziv="DomainObject.Predmet.OstaliListNazivFormatedOIB_1">
      <item>Dalibor Marić, OIB 36838903368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  <item>Dalibor Marić</item>
    </izvorni_sadrzaj>
    <derivirana_varijabla naziv="DomainObject.Predmet.SudioniciListNaziv_1">
      <item>FINA</item>
      <item>HIDROMONT j.d.o.o. za proizvodnju, usluge i trgovinu</item>
      <item>Dalibor Marić</item>
    </derivirana_varijabla>
  </DomainObject.Predmet.SudioniciListNaziv>
  <DomainObject.Predmet.SudioniciListAdressOIB>
    <izvorni_sadrzaj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izvorni_sadrzaj>
    <derivirana_varijabla naziv="DomainObject.Predmet.SudioniciListAdressOIB_1">
      <item>FINA, OIB 85821130368</item>
      <item>HIDROMONT j.d.o.o. za proizvodnju, usluge i trgovinu, OIB 63120097243, Čukovice 65,23206 Sukošan</item>
      <item>Dalibor Marić, OIB 36838903368, ČUKOVICE 65 (ranije: SUKOŠAN, SUKOŠAN, 13),23206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  <item>, OIB 36838903368</item>
    </izvorni_sadrzaj>
    <derivirana_varijabla naziv="DomainObject.Predmet.SudioniciListNazivOIB_1">
      <item>, OIB 85821130368</item>
      <item>, OIB 63120097243</item>
      <item>, OIB 36838903368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3341</properties:Characters>
  <properties:Lines>89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cp:lastPrinted>2018-01-25T14:04:00Z</cp:lastPrinted>
  <dcterms:modified xmlns:xsi="http://www.w3.org/2001/XMLSchema-instance" xsi:type="dcterms:W3CDTF">2018-01-26T07:05:00Z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