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6b21" w14:paraId="4376b21" w:rsidRDefault="00AB4602" w:rsidP="00822A69" w:rsidR="00822A69" w:rsidRPr="00822A6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2A69" w:rsidRPr="00822A69">
        <w:rPr>
          <w:rFonts w:cs="Times New Roman"/>
          <w:b/>
        </w:rPr>
        <w:t xml:space="preserve">      </w:t>
      </w:r>
      <w:r w:rsidR="00822A69" w:rsidRPr="00822A69">
        <w:rPr>
          <w:rFonts w:cs="Times New Roman"/>
        </w:rPr>
        <w:t>REPUBLIKA HRVATSKA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 xml:space="preserve"> TRGOVAČKI SUD U ZAGREBU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 xml:space="preserve">          Stalna služba u Karlovcu 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Karlovac, Trg hrvatskih branitelja 1/II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U   I M E   R E P U B L I K E    H R V A T S K E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R J E Š E N J E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SPAINTEX d.o.o. u stečaju, Zagreb,  Pustoselina 5, OIB: 25940623737, 5. ožujka 2019.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r i j e š i o   j e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Obustavlja se i zaključuje stečajni postupak nad stečajnim dužnikom SPAINTEX d.o.o. u stečaju, Zagreb,  Pustoselina 5, OIB: 25940623737, s danom 5. ožujka 2019., zbog nedostatnosti stečajne mase za ispunjenje ostalih obveza stečajne mase.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Obrazloženje</w:t>
      </w: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Rješenjem ovog suda poslovni broj St-6799/16 od 18. travnja 2017. otvoren je stečajni postupak nad dužnikom SPAINTEX d.o.o. u stečaju, Zagreb,  Pustoselina 5, OIB: 25940623737.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 xml:space="preserve"> 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U podnesku od 6. lipnja 2018. stečajni upravitelj je naveo kako će dati prijedlog sudu za obustavu stečajnog postupka u smislu odredbe čl.294. Stečajnog zakona (Narodne novine broj 71/15, 104/17, dalje:SZ-a) jer stečajna masa nije dostatna za ispunjenje ostalih obveza stečajne mase s obzirom da je imovina dužnika unovčena za iznos od 20.437,85 kn, da ukupni primici s uključenim PDV-om iznose 30.921,72 kn, da su ukupni izdaci 14.406,10 kn, a da su nenamirene obveze stečajne mase 28.427,76 kn.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lastRenderedPageBreak/>
        <w:tab/>
        <w:t>Zaključkom ovog suda poslovni broj St-6799/16 od 26. rujna 2018. prijava nedostatnosti stečajne mase objavljena je na e-oglasnoj ploči suda te je dana mogućnost stečajnim vjerovnicima i vjerovnicima ostalih obveza stečajne mase očitovanja o toj prijavi.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O prijavi nedostatnosti stečajne mase stečajni vjerovnici niti vjerovnici ostalih obveza stečajne mase nisu se očitovali.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Stečajni upravitelj je u podnesku od 28. prosinca 2018. naveo da je stečajnu masu podijelio u skladu s odredbom čl.295. SZ-a, te da sud može obustaviti i zaključiti stečajni postupak.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Temeljem čl.297. st.1. SZ-a stečajni postupak je obustavljen i zaključen nakon prijave o nedostatnosti stečajne mase, pa  je odlučeno kao u točki I. izreke rješenja.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ab/>
      </w:r>
      <w:r w:rsidRPr="00822A69">
        <w:rPr>
          <w:rFonts w:cs="Times New Roman" w:eastAsia="Times New Roman"/>
          <w:lang w:eastAsia="hr-HR"/>
        </w:rPr>
        <w:tab/>
      </w: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U Karlovcu 5. ožujka 2019.</w:t>
      </w: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 xml:space="preserve">           Stečajni sudac:</w:t>
      </w:r>
    </w:p>
    <w:p w:rsidRDefault="00822A69" w:rsidP="00822A69" w:rsidR="00822A6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22A69" w:rsidP="00822A69" w:rsidR="00822A6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22A69" w:rsidP="00822A69" w:rsidR="00822A6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Za točnost otpravka-</w:t>
      </w:r>
    </w:p>
    <w:p w:rsidRDefault="00822A69" w:rsidP="00822A69" w:rsidR="00822A69" w:rsidRPr="00822A69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 Draženka Prpić</w:t>
      </w:r>
    </w:p>
    <w:p w:rsidRDefault="00822A69" w:rsidP="00822A69" w:rsidR="00822A69" w:rsidRPr="00822A6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UPUTA O PRAVNOM LIJEKU:</w:t>
      </w: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Protiv ovog rješenja dopuštena je žalba u roku od 8 dana od dana dostave ovog rješenja. Žalba se podnosi Visokom trgovačkom sudu RH putem ovog suda u dva primjerka.</w:t>
      </w:r>
    </w:p>
    <w:p w:rsidRDefault="00822A69" w:rsidP="00822A69" w:rsidR="00822A69" w:rsidRPr="00822A69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Dna: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1. Stečajni upravitelj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2. e-Oglasna ploča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3. Sudski registar, po pravomoćnosti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4. ŽDO u Karlovcu</w:t>
      </w:r>
    </w:p>
    <w:p w:rsidRDefault="00822A69" w:rsidP="00822A69" w:rsidR="00822A69" w:rsidRPr="00822A69">
      <w:pPr>
        <w:spacing w:after="0"/>
        <w:rPr>
          <w:rFonts w:cs="Times New Roman" w:eastAsia="Times New Roman"/>
          <w:lang w:eastAsia="hr-HR"/>
        </w:rPr>
      </w:pPr>
      <w:r w:rsidRPr="00822A69">
        <w:rPr>
          <w:rFonts w:cs="Times New Roman" w:eastAsia="Times New Roman"/>
          <w:lang w:eastAsia="hr-HR"/>
        </w:rPr>
        <w:t>5. Vjerovnicima javnim priopćenjem na e-oglasnoj ploči ovog suda</w:t>
      </w:r>
    </w:p>
    <w:p w:rsidRDefault="00AE649C" w:rsidP="004F27AE" w:rsidR="00AE649C" w:rsidRPr="00B76F3C">
      <w:pPr>
        <w:pStyle w:val="NormaleSPIS"/>
      </w:pPr>
    </w:p>
    <w:sectPr w:rsidSect="00822A69" w:rsidR="00AE649C" w:rsidRPr="00B76F3C">
      <w:headerReference w:type="default" r:id="rId11"/>
      <w:pgSz w:code="9" w:h="16839" w:w="11907"/>
      <w:pgMar w:gutter="0" w:footer="1134" w:header="1134" w:left="1417" w:bottom="1417" w:right="1417" w:top="8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7820735"/>
      <w:docPartObj>
        <w:docPartGallery w:val="Page Numbers (Top of Page)"/>
        <w:docPartUnique/>
      </w:docPartObj>
    </w:sdtPr>
    <w:sdtContent>
      <w:p w:rsidRDefault="00822A69" w:rsidR="00822A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22A69" w:rsidP="00822A69" w:rsidR="00822A69">
    <w:pPr>
      <w:pStyle w:val="Zaglavlje"/>
      <w:tabs>
        <w:tab w:pos="9072" w:val="clear"/>
        <w:tab w:pos="7500" w:val="left"/>
        <w:tab w:pos="9073" w:val="right"/>
      </w:tabs>
      <w:jc w:val="left"/>
    </w:pPr>
    <w:r>
      <w:tab/>
    </w:r>
  </w:p>
  <w:p w:rsidRDefault="00822A69" w:rsidP="00822A69" w:rsidR="008333A9">
    <w:pPr>
      <w:pStyle w:val="Zaglavlje"/>
      <w:tabs>
        <w:tab w:pos="9072" w:val="clear"/>
        <w:tab w:pos="7500" w:val="left"/>
        <w:tab w:pos="9073" w:val="right"/>
      </w:tabs>
      <w:jc w:val="left"/>
    </w:pPr>
    <w:r>
      <w:tab/>
      <w:t>1 St-6799/2016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A69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511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St-6799/2016-33</izvorni_sadrzaj>
    <derivirana_varijabla naziv="DomainObject.Oznaka_1">St-6799/2016-33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  <item>Goran Brozović</item>
    </izvorni_sadrzaj>
    <derivirana_varijabla naziv="DomainObject.Predmet.OstaliListFormated_1">
      <item>Biserka Katunar</item>
      <item>Goran Brozović</item>
    </derivirana_varijabla>
  </DomainObject.Predmet.OstaliListFormated>
  <DomainObject.Predmet.OstaliListFormatedOIB>
    <izvorni_sadrzaj>
      <item>Biserka Katunar, OIB 10351397459</item>
      <item>Goran Brozović, OIB 39833571469</item>
    </izvorni_sadrzaj>
    <derivirana_varijabla naziv="DomainObject.Predmet.OstaliListFormatedOIB_1">
      <item>Biserka Katunar, OIB 10351397459</item>
      <item>Goran Brozović, OIB 39833571469</item>
    </derivirana_varijabla>
  </DomainObject.Predmet.OstaliListFormatedOIB>
  <DomainObject.Predmet.OstaliListFormatedWithAdress>
    <izvorni_sadrzaj>
      <item>Biserka Katunar, Tičarnica 1 A, 47000 Karlovac</item>
      <item>Goran Brozović, Pavlenski Put 5, 10000 Zagreb</item>
    </izvorni_sadrzaj>
    <derivirana_varijabla naziv="DomainObject.Predmet.OstaliListFormatedWithAdress_1">
      <item>Biserka Katunar, Tičarnica 1 A, 47000 Karlovac</item>
      <item>Goran Brozović, Pavlenski Put 5, 10000 Zagreb</item>
    </derivirana_varijabla>
  </DomainObject.Predmet.OstaliListFormatedWithAdress>
  <DomainObject.Predmet.OstaliListFormatedWithAdressOIB>
    <izvorni_sadrzaj>
      <item>Biserka Katunar, OIB 10351397459, Tičarnica 1 A, 47000 Karlovac</item>
      <item>Goran Brozović, OIB 39833571469, Pavlenski Put 5, 10000 Zagreb</item>
    </izvorni_sadrzaj>
    <derivirana_varijabla naziv="DomainObject.Predmet.OstaliListFormatedWithAdressOIB_1">
      <item>Biserka Katunar, OIB 10351397459, Tičarnica 1 A, 47000 Karlovac</item>
      <item>Goran Brozović, OIB 39833571469, Pavlenski Put 5, 10000 Zagreb</item>
    </derivirana_varijabla>
  </DomainObject.Predmet.OstaliListFormatedWithAdressOIB>
  <DomainObject.Predmet.OstaliListNazivFormated>
    <izvorni_sadrzaj>
      <item>Biserka Katunar</item>
      <item>Goran Brozović</item>
    </izvorni_sadrzaj>
    <derivirana_varijabla naziv="DomainObject.Predmet.OstaliListNazivFormated_1">
      <item>Biserka Katunar</item>
      <item>Goran Brozović</item>
    </derivirana_varijabla>
  </DomainObject.Predmet.OstaliListNazivFormated>
  <DomainObject.Predmet.OstaliListNazivFormatedOIB>
    <izvorni_sadrzaj>
      <item>Biserka Katunar, OIB 10351397459</item>
      <item>Goran Brozović, OIB 39833571469</item>
    </izvorni_sadrzaj>
    <derivirana_varijabla naziv="DomainObject.Predmet.OstaliListNazivFormatedOIB_1">
      <item>Biserka Katunar, OIB 10351397459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St-6799/2016-33</izvorni_sadrzaj>
    <derivirana_varijabla naziv="DomainObject.PoslovniBrojDokumenta_1">St-6799/2016-33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  <item>Goran Brozović</item>
    </izvorni_sadrzaj>
    <derivirana_varijabla naziv="DomainObject.Predmet.SudioniciListNaziv_1">
      <item>FINA Regionalni centar Zagreb</item>
      <item>SPAINTEX d.o.o.</item>
      <item>Biserka Katunar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992F7-7A10-4920-973F-25B9CF1EE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2404</properties:Characters>
  <properties:Lines>80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2019-03-05T07:32:00Z</cp:lastPrinted>
  <dcterms:modified xmlns:xsi="http://www.w3.org/2001/XMLSchema-instance" xsi:type="dcterms:W3CDTF">2019-03-05T07:32:00Z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St-6799/2016-33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