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fe0f4" w14:paraId="a6fe0f4" w:rsidRDefault="00AE649C" w:rsidP="00FA5B5E" w:rsidR="00AE649C" w:rsidRPr="00B76F3C">
      <w:pPr>
        <w:pStyle w:val="Naslov3"/>
        <w15:collapsed w:val="false"/>
      </w:pPr>
    </w:p>
    <w:p w:rsidRDefault="007F7DA5" w:rsidP="007F7DA5" w:rsidR="007F7DA5" w:rsidRPr="007F7DA5">
      <w:pPr>
        <w:spacing w:after="0"/>
        <w:jc w:val="right"/>
        <w:rPr>
          <w:rFonts w:cs="Times New Roman" w:eastAsia="Times New Roman"/>
        </w:rPr>
      </w:pPr>
      <w:r w:rsidRPr="007F7DA5">
        <w:rPr>
          <w:rFonts w:cs="Times New Roman" w:eastAsia="Times New Roman"/>
        </w:rPr>
        <w:t>Poslovni broj 3 St -89/15-5</w:t>
      </w:r>
    </w:p>
    <w:p w:rsidRDefault="007F7DA5" w:rsidP="007F7DA5" w:rsidR="007F7DA5" w:rsidRPr="007F7DA5">
      <w:pPr>
        <w:spacing w:after="0"/>
        <w:ind w:firstLine="720"/>
        <w:jc w:val="both"/>
        <w:rPr>
          <w:rFonts w:cs="Times New Roman" w:eastAsia="Times New Roman"/>
          <w:bCs/>
        </w:rPr>
      </w:pPr>
    </w:p>
    <w:p w:rsidRDefault="007F7DA5" w:rsidP="007F7DA5" w:rsidR="007F7DA5" w:rsidRPr="007F7DA5">
      <w:pPr>
        <w:spacing w:after="0"/>
        <w:ind w:firstLine="720"/>
        <w:jc w:val="both"/>
        <w:rPr>
          <w:rFonts w:cs="Times New Roman" w:eastAsia="Times New Roman"/>
          <w:bCs/>
        </w:rPr>
      </w:pPr>
    </w:p>
    <w:p w:rsidRDefault="007F7DA5" w:rsidP="007F7DA5" w:rsidR="007F7DA5" w:rsidRPr="007F7DA5">
      <w:pPr>
        <w:spacing w:after="0"/>
        <w:ind w:firstLine="720"/>
        <w:jc w:val="both"/>
        <w:rPr>
          <w:rFonts w:cs="Times New Roman" w:eastAsia="Times New Roman"/>
          <w:bCs/>
        </w:rPr>
      </w:pPr>
    </w:p>
    <w:p w:rsidRDefault="007F7DA5" w:rsidP="007F7DA5" w:rsidR="007F7DA5" w:rsidRPr="007F7DA5">
      <w:pPr>
        <w:spacing w:after="0"/>
        <w:ind w:firstLine="720"/>
        <w:jc w:val="both"/>
        <w:rPr>
          <w:rFonts w:cs="Times New Roman" w:eastAsia="Times New Roman"/>
          <w:bCs/>
        </w:rPr>
      </w:pPr>
      <w:r w:rsidRPr="007F7DA5">
        <w:rPr>
          <w:rFonts w:cs="Times New Roman" w:eastAsia="Times New Roman"/>
          <w:bCs/>
        </w:rPr>
        <w:t>REPUBLIKA HRVATSKA</w:t>
      </w:r>
    </w:p>
    <w:p w:rsidRDefault="007F7DA5" w:rsidP="007F7DA5" w:rsidR="007F7DA5" w:rsidRPr="007F7DA5">
      <w:pPr>
        <w:spacing w:after="0"/>
        <w:ind w:firstLine="720"/>
        <w:jc w:val="both"/>
        <w:rPr>
          <w:rFonts w:cs="Times New Roman" w:eastAsia="Times New Roman"/>
          <w:bCs/>
        </w:rPr>
      </w:pPr>
      <w:r w:rsidRPr="007F7DA5">
        <w:rPr>
          <w:rFonts w:cs="Times New Roman" w:eastAsia="Times New Roman"/>
          <w:bCs/>
        </w:rPr>
        <w:t>TRGOVAČKI SUD U ZADRU</w:t>
      </w:r>
    </w:p>
    <w:p w:rsidRDefault="007F7DA5" w:rsidP="007F7DA5" w:rsidR="007F7DA5" w:rsidRPr="007F7DA5">
      <w:pPr>
        <w:spacing w:after="0"/>
        <w:ind w:firstLine="720"/>
        <w:jc w:val="both"/>
        <w:rPr>
          <w:rFonts w:cs="Times New Roman" w:eastAsia="Times New Roman"/>
          <w:bCs/>
        </w:rPr>
      </w:pPr>
      <w:r w:rsidRPr="007F7DA5">
        <w:rPr>
          <w:rFonts w:cs="Times New Roman" w:eastAsia="Times New Roman"/>
          <w:bCs/>
        </w:rPr>
        <w:t>Dr. Franje Tuđmana 35</w:t>
      </w:r>
    </w:p>
    <w:p w:rsidRDefault="007F7DA5" w:rsidP="007F7DA5" w:rsidR="007F7DA5" w:rsidRPr="007F7DA5">
      <w:pPr>
        <w:spacing w:after="0"/>
        <w:jc w:val="both"/>
        <w:rPr>
          <w:rFonts w:cs="Times New Roman" w:eastAsia="Times New Roman"/>
        </w:rPr>
      </w:pPr>
      <w:r w:rsidRPr="007F7DA5">
        <w:rPr>
          <w:rFonts w:cs="Times New Roman" w:eastAsia="Times New Roman"/>
        </w:rPr>
        <w:t xml:space="preserve">                                               </w:t>
      </w:r>
      <w:r w:rsidRPr="007F7DA5">
        <w:rPr>
          <w:rFonts w:cs="Times New Roman" w:eastAsia="Times New Roman"/>
        </w:rPr>
        <w:tab/>
      </w:r>
      <w:r w:rsidRPr="007F7DA5">
        <w:rPr>
          <w:rFonts w:cs="Times New Roman" w:eastAsia="Times New Roman"/>
        </w:rPr>
        <w:tab/>
      </w:r>
      <w:r w:rsidRPr="007F7DA5">
        <w:rPr>
          <w:rFonts w:cs="Times New Roman" w:eastAsia="Times New Roman"/>
        </w:rPr>
        <w:tab/>
      </w:r>
      <w:r w:rsidRPr="007F7DA5">
        <w:rPr>
          <w:rFonts w:cs="Times New Roman" w:eastAsia="Times New Roman"/>
        </w:rPr>
        <w:tab/>
        <w:t xml:space="preserve">         </w:t>
      </w:r>
      <w:r w:rsidRPr="007F7DA5">
        <w:rPr>
          <w:rFonts w:cs="Times New Roman" w:eastAsia="Times New Roman"/>
        </w:rPr>
        <w:tab/>
        <w:t xml:space="preserve">         </w:t>
      </w:r>
    </w:p>
    <w:p w:rsidRDefault="007F7DA5" w:rsidP="007F7DA5" w:rsidR="007F7DA5" w:rsidRPr="007F7DA5">
      <w:pPr>
        <w:spacing w:after="0"/>
        <w:jc w:val="both"/>
        <w:rPr>
          <w:rFonts w:cs="Times New Roman" w:eastAsia="Times New Roman"/>
        </w:rPr>
      </w:pPr>
      <w:r w:rsidRPr="007F7DA5">
        <w:rPr>
          <w:rFonts w:cs="Times New Roman" w:eastAsia="Times New Roman"/>
        </w:rPr>
        <w:t xml:space="preserve">                                          </w:t>
      </w:r>
      <w:r w:rsidRPr="007F7DA5">
        <w:rPr>
          <w:rFonts w:cs="Times New Roman" w:eastAsia="Times New Roman"/>
        </w:rPr>
        <w:tab/>
      </w:r>
      <w:r w:rsidRPr="007F7DA5">
        <w:rPr>
          <w:rFonts w:cs="Times New Roman" w:eastAsia="Times New Roman"/>
        </w:rPr>
        <w:tab/>
        <w:t xml:space="preserve">         </w:t>
      </w:r>
      <w:r w:rsidRPr="007F7DA5">
        <w:rPr>
          <w:rFonts w:cs="Times New Roman" w:eastAsia="Times New Roman"/>
        </w:rPr>
        <w:tab/>
        <w:t xml:space="preserve">           </w:t>
      </w:r>
      <w:r w:rsidRPr="007F7DA5">
        <w:rPr>
          <w:rFonts w:cs="Times New Roman" w:eastAsia="Times New Roman"/>
        </w:rPr>
        <w:tab/>
      </w:r>
      <w:r w:rsidRPr="007F7DA5">
        <w:rPr>
          <w:rFonts w:cs="Times New Roman" w:eastAsia="Times New Roman"/>
        </w:rPr>
        <w:tab/>
      </w:r>
    </w:p>
    <w:p w:rsidRDefault="007F7DA5" w:rsidP="007F7DA5" w:rsidR="007F7DA5" w:rsidRPr="007F7DA5">
      <w:pPr>
        <w:spacing w:after="0"/>
        <w:jc w:val="center"/>
        <w:rPr>
          <w:rFonts w:cs="Times New Roman" w:eastAsia="Times New Roman"/>
        </w:rPr>
      </w:pPr>
      <w:r w:rsidRPr="007F7DA5">
        <w:rPr>
          <w:rFonts w:cs="Times New Roman" w:eastAsia="Times New Roman"/>
        </w:rPr>
        <w:t xml:space="preserve">R E P U B L I K A   H R V A T S K A </w:t>
      </w:r>
    </w:p>
    <w:p w:rsidRDefault="007F7DA5" w:rsidP="007F7DA5" w:rsidR="007F7DA5" w:rsidRPr="007F7DA5">
      <w:pPr>
        <w:spacing w:after="0"/>
        <w:jc w:val="both"/>
        <w:rPr>
          <w:rFonts w:cs="Times New Roman" w:eastAsia="Times New Roman"/>
        </w:rPr>
      </w:pPr>
    </w:p>
    <w:p w:rsidRDefault="007F7DA5" w:rsidP="007F7DA5" w:rsidR="007F7DA5" w:rsidRPr="007F7DA5">
      <w:pPr>
        <w:spacing w:after="0"/>
        <w:jc w:val="center"/>
        <w:rPr>
          <w:rFonts w:cs="Times New Roman" w:eastAsia="Times New Roman"/>
        </w:rPr>
      </w:pPr>
      <w:r w:rsidRPr="007F7DA5">
        <w:rPr>
          <w:rFonts w:cs="Times New Roman" w:eastAsia="Times New Roman"/>
        </w:rPr>
        <w:t xml:space="preserve">Z A K LJ U Č A K </w:t>
      </w:r>
    </w:p>
    <w:p w:rsidRDefault="007F7DA5" w:rsidP="007F7DA5" w:rsidR="007F7DA5" w:rsidRPr="007F7DA5">
      <w:pPr>
        <w:spacing w:after="0"/>
        <w:jc w:val="center"/>
        <w:rPr>
          <w:rFonts w:cs="Times New Roman" w:eastAsia="Times New Roman"/>
        </w:rPr>
      </w:pPr>
    </w:p>
    <w:p w:rsidRDefault="007F7DA5" w:rsidP="007F7DA5" w:rsidR="007F7DA5" w:rsidRPr="007F7DA5">
      <w:pPr>
        <w:spacing w:after="0"/>
        <w:ind w:firstLine="720"/>
        <w:jc w:val="both"/>
        <w:rPr>
          <w:rFonts w:cs="Times New Roman" w:eastAsia="Times New Roman"/>
        </w:rPr>
      </w:pPr>
      <w:r w:rsidRPr="007F7DA5">
        <w:rPr>
          <w:rFonts w:cs="Times New Roman" w:eastAsia="Times New Roman"/>
        </w:rPr>
        <w:t>Trgovački sud u Zadru, OIB:</w:t>
      </w:r>
      <w:r w:rsidRPr="007F7DA5">
        <w:rPr>
          <w:rFonts w:cs="Times New Roman" w:eastAsia="Times New Roman"/>
          <w:lang w:eastAsia="hr-HR"/>
        </w:rPr>
        <w:t xml:space="preserve"> 39670464653</w:t>
      </w:r>
      <w:r w:rsidRPr="007F7DA5">
        <w:rPr>
          <w:rFonts w:cs="Times New Roman" w:eastAsia="Times New Roman"/>
        </w:rPr>
        <w:t xml:space="preserve">, po sutkinji Ani Markač, na prijedlog više sudske savjetnice Tine Grgas, u skraćenom stečajnom postupku nad dužnikom NOA d.o.o. Benkovac, Ante Starčevića 2, OIB:53457189570, zastupanom po članici uprave Katarini Pešut iz Benkovca, Ante Starčevića 2, povodom zahtjeva Ministarstva financija-Porezne uprave, Područnog ureda Dalmacija od  25. kolovoza 2015., 26. listopada 2015. </w:t>
      </w:r>
    </w:p>
    <w:p w:rsidRDefault="007F7DA5" w:rsidP="007F7DA5" w:rsidR="007F7DA5" w:rsidRPr="007F7DA5">
      <w:pPr>
        <w:spacing w:after="0"/>
        <w:jc w:val="both"/>
        <w:rPr>
          <w:rFonts w:cs="Times New Roman" w:eastAsia="Times New Roman"/>
        </w:rPr>
      </w:pPr>
    </w:p>
    <w:p w:rsidRDefault="007F7DA5" w:rsidP="007F7DA5" w:rsidR="007F7DA5" w:rsidRPr="007F7DA5">
      <w:pPr>
        <w:spacing w:after="0"/>
        <w:jc w:val="center"/>
        <w:rPr>
          <w:rFonts w:cs="Times New Roman" w:eastAsia="Times New Roman"/>
        </w:rPr>
      </w:pPr>
      <w:r w:rsidRPr="007F7DA5">
        <w:rPr>
          <w:rFonts w:cs="Times New Roman" w:eastAsia="Times New Roman"/>
        </w:rPr>
        <w:t>z a k lj u č i o   j e</w:t>
      </w:r>
    </w:p>
    <w:p w:rsidRDefault="007F7DA5" w:rsidP="007F7DA5" w:rsidR="007F7DA5" w:rsidRPr="007F7DA5">
      <w:pPr>
        <w:spacing w:after="0"/>
        <w:jc w:val="both"/>
        <w:rPr>
          <w:rFonts w:cs="Times New Roman" w:eastAsia="Times New Roman"/>
        </w:rPr>
      </w:pPr>
    </w:p>
    <w:p w:rsidRDefault="007F7DA5" w:rsidP="007F7DA5" w:rsidR="007F7DA5" w:rsidRPr="007F7DA5">
      <w:pPr>
        <w:spacing w:after="0"/>
        <w:jc w:val="both"/>
        <w:rPr>
          <w:rFonts w:cs="Times New Roman" w:eastAsia="Times New Roman"/>
        </w:rPr>
      </w:pPr>
      <w:r w:rsidRPr="007F7DA5">
        <w:rPr>
          <w:rFonts w:cs="Times New Roman" w:eastAsia="Times New Roman"/>
        </w:rPr>
        <w:t xml:space="preserve">      1.  Poziva se članica uprave dužnika Katarina Pešut iz Benkovca, Ante Starčevića 2, OIB:33420129844, u roku od 15 (petnaest) dana od dana primitka ovog zaključka, podnijeti ovom sudu pozivom na poslovni broj gornji, javnobilježnički ovjerovljen prokazni popis imovine dužnika, uz upozorenje da se davanjem netočnih ili nepotpunih podataka izlaže odgovornosti kao za lažan iskaz pred sudom.</w:t>
      </w:r>
    </w:p>
    <w:p w:rsidRDefault="007F7DA5" w:rsidP="007F7DA5" w:rsidR="007F7DA5" w:rsidRPr="007F7DA5">
      <w:pPr>
        <w:spacing w:after="0"/>
        <w:ind w:left="720"/>
        <w:jc w:val="both"/>
        <w:rPr>
          <w:rFonts w:cs="Times New Roman" w:eastAsia="Times New Roman"/>
        </w:rPr>
      </w:pPr>
    </w:p>
    <w:p w:rsidRDefault="007F7DA5" w:rsidP="007F7DA5" w:rsidR="007F7DA5" w:rsidRPr="007F7DA5">
      <w:pPr>
        <w:numPr>
          <w:ilvl w:val="0"/>
          <w:numId w:val="47"/>
        </w:numPr>
        <w:tabs>
          <w:tab w:pos="567" w:val="num"/>
        </w:tabs>
        <w:spacing w:after="0"/>
        <w:ind w:firstLine="315" w:left="0"/>
        <w:jc w:val="both"/>
        <w:rPr>
          <w:rFonts w:cs="Times New Roman" w:eastAsia="Times New Roman"/>
        </w:rPr>
      </w:pPr>
      <w:r w:rsidRPr="007F7DA5">
        <w:rPr>
          <w:rFonts w:cs="Times New Roman" w:eastAsia="Times New Roman"/>
        </w:rPr>
        <w:t>Pozivaju se vjerovnici dužnika NOA d.o.o. Benkovac, Ante Starčevića 2, OIB:53457189570 da najkasnije u roku od 45 (četrdesetpet) dana od dana objave poziva na e-oglasnoj ploči ovog suda</w:t>
      </w:r>
      <w:r w:rsidRPr="007F7DA5">
        <w:rPr>
          <w:rFonts w:cs="Times New Roman" w:eastAsia="Times New Roman"/>
          <w:b/>
        </w:rPr>
        <w:t xml:space="preserve"> </w:t>
      </w:r>
      <w:r w:rsidRPr="007F7DA5">
        <w:rPr>
          <w:rFonts w:cs="Times New Roman" w:eastAsia="Times New Roman"/>
        </w:rPr>
        <w:t>predlože otvaranje stečajnog postupka nad dužnikom.</w:t>
      </w:r>
    </w:p>
    <w:p w:rsidRDefault="007F7DA5" w:rsidP="007F7DA5" w:rsidR="007F7DA5" w:rsidRPr="007F7DA5">
      <w:pPr>
        <w:spacing w:after="0"/>
        <w:jc w:val="both"/>
        <w:rPr>
          <w:rFonts w:cs="Times New Roman" w:eastAsia="Times New Roman"/>
        </w:rPr>
      </w:pPr>
    </w:p>
    <w:p w:rsidRDefault="007F7DA5" w:rsidP="007F7DA5" w:rsidR="007F7DA5" w:rsidRPr="007F7DA5">
      <w:pPr>
        <w:numPr>
          <w:ilvl w:val="0"/>
          <w:numId w:val="47"/>
        </w:numPr>
        <w:spacing w:after="0"/>
        <w:jc w:val="both"/>
        <w:rPr>
          <w:rFonts w:cs="Times New Roman" w:eastAsia="Times New Roman"/>
        </w:rPr>
      </w:pPr>
      <w:r w:rsidRPr="007F7DA5">
        <w:rPr>
          <w:rFonts w:cs="Times New Roman" w:eastAsia="Times New Roman"/>
        </w:rPr>
        <w:t>NOA d.o.o. Benkovac nema zaposlenika i nesposoban je za plaćanje.</w:t>
      </w:r>
    </w:p>
    <w:p w:rsidRDefault="007F7DA5" w:rsidP="007F7DA5" w:rsidR="007F7DA5" w:rsidRPr="007F7DA5">
      <w:pPr>
        <w:spacing w:after="0"/>
        <w:jc w:val="both"/>
        <w:rPr>
          <w:rFonts w:cs="Times New Roman" w:eastAsia="Times New Roman"/>
        </w:rPr>
      </w:pPr>
    </w:p>
    <w:p w:rsidRDefault="007F7DA5" w:rsidP="007F7DA5" w:rsidR="007F7DA5" w:rsidRPr="007F7DA5">
      <w:pPr>
        <w:numPr>
          <w:ilvl w:val="0"/>
          <w:numId w:val="47"/>
        </w:numPr>
        <w:tabs>
          <w:tab w:pos="426" w:val="num"/>
        </w:tabs>
        <w:spacing w:after="0"/>
        <w:ind w:firstLine="315" w:left="0"/>
        <w:jc w:val="both"/>
        <w:rPr>
          <w:rFonts w:cs="Times New Roman" w:eastAsia="Times New Roman"/>
        </w:rPr>
      </w:pPr>
      <w:r w:rsidRPr="007F7DA5">
        <w:rPr>
          <w:rFonts w:cs="Times New Roman" w:eastAsia="Times New Roman"/>
        </w:rPr>
        <w:t>Visina tražbina koje čekaju na naplatu iz sredstva s računa navedene pravne osobe iznosi 302.041,63 kune.</w:t>
      </w:r>
    </w:p>
    <w:p w:rsidRDefault="007F7DA5" w:rsidP="007F7DA5" w:rsidR="007F7DA5" w:rsidRPr="007F7DA5">
      <w:pPr>
        <w:spacing w:after="0"/>
        <w:jc w:val="both"/>
        <w:rPr>
          <w:rFonts w:cs="Times New Roman" w:eastAsia="Times New Roman"/>
        </w:rPr>
      </w:pPr>
    </w:p>
    <w:p w:rsidRDefault="007F7DA5" w:rsidP="007F7DA5" w:rsidR="007F7DA5" w:rsidRPr="007F7DA5">
      <w:pPr>
        <w:numPr>
          <w:ilvl w:val="0"/>
          <w:numId w:val="47"/>
        </w:numPr>
        <w:tabs>
          <w:tab w:pos="426" w:val="num"/>
        </w:tabs>
        <w:spacing w:after="0"/>
        <w:ind w:firstLine="315" w:left="0"/>
        <w:jc w:val="both"/>
        <w:rPr>
          <w:rFonts w:cs="Times New Roman" w:eastAsia="Times New Roman"/>
        </w:rPr>
      </w:pPr>
      <w:r w:rsidRPr="007F7DA5">
        <w:rPr>
          <w:rFonts w:cs="Times New Roman" w:eastAsia="Times New Roman"/>
        </w:rPr>
        <w:t>Vjerovnici koji predlože otvaranje stečajnog postupka nad dužnikom, osim podnositelja zahtjeva, posebnim će zaključkom biti pozvani na solidarno plaćanje predujma za pokriće troškova postupka.</w:t>
      </w:r>
    </w:p>
    <w:p w:rsidRDefault="007F7DA5" w:rsidP="007F7DA5" w:rsidR="007F7DA5" w:rsidRPr="007F7DA5">
      <w:pPr>
        <w:spacing w:after="0"/>
        <w:jc w:val="both"/>
        <w:rPr>
          <w:rFonts w:cs="Times New Roman" w:eastAsia="Times New Roman"/>
        </w:rPr>
      </w:pPr>
    </w:p>
    <w:p w:rsidRDefault="007F7DA5" w:rsidP="007F7DA5" w:rsidR="007F7DA5" w:rsidRPr="007F7DA5">
      <w:pPr>
        <w:numPr>
          <w:ilvl w:val="0"/>
          <w:numId w:val="47"/>
        </w:numPr>
        <w:tabs>
          <w:tab w:pos="567" w:val="num"/>
        </w:tabs>
        <w:spacing w:after="0"/>
        <w:ind w:firstLine="315" w:left="0"/>
        <w:jc w:val="both"/>
        <w:rPr>
          <w:rFonts w:cs="Times New Roman" w:eastAsia="Times New Roman"/>
        </w:rPr>
      </w:pPr>
      <w:r w:rsidRPr="007F7DA5">
        <w:rPr>
          <w:rFonts w:cs="Times New Roman" w:eastAsia="Times New Roman"/>
        </w:rPr>
        <w:t xml:space="preserve">    Ukoliko član uprave dužnika iz točke 1. izreke ovog rješenja ne podnese prokazni popis imovine dužnika u navedenom roku ili ako iz toga popisa proizlazi da dužnik ima imovinu koja ne bi bila dostatna ni za pokriće predvidivih troškova stečajnog postupka, te ako vjerovnici ne predlože otvaranje stečajnog postupka nad dužnikom u navedenom roku i ne predujme sredstva  za pokriće troškova tog postupka, smatrat će se da je dužnik nesposoban </w:t>
      </w:r>
      <w:r w:rsidRPr="007F7DA5">
        <w:rPr>
          <w:rFonts w:cs="Times New Roman" w:eastAsia="Times New Roman"/>
        </w:rPr>
        <w:lastRenderedPageBreak/>
        <w:t>za plaćanje te će sud po službenoj dužnosti donijeti rješenje o otvaranju i zaključenju stečajnog postupka.</w:t>
      </w:r>
    </w:p>
    <w:p w:rsidRDefault="007F7DA5" w:rsidP="007F7DA5" w:rsidR="007F7DA5" w:rsidRPr="007F7DA5">
      <w:pPr>
        <w:spacing w:after="0"/>
        <w:ind w:left="720"/>
        <w:contextualSpacing/>
        <w:rPr>
          <w:rFonts w:cs="Times New Roman" w:eastAsia="Times New Roman"/>
        </w:rPr>
      </w:pPr>
    </w:p>
    <w:p w:rsidRDefault="007F7DA5" w:rsidP="007F7DA5" w:rsidR="007F7DA5" w:rsidRPr="007F7DA5">
      <w:pPr>
        <w:numPr>
          <w:ilvl w:val="0"/>
          <w:numId w:val="47"/>
        </w:numPr>
        <w:tabs>
          <w:tab w:pos="567" w:val="num"/>
        </w:tabs>
        <w:spacing w:after="0"/>
        <w:ind w:firstLine="315" w:left="0"/>
        <w:jc w:val="both"/>
        <w:rPr>
          <w:rFonts w:cs="Times New Roman" w:eastAsia="Times New Roman"/>
        </w:rPr>
      </w:pPr>
      <w:r w:rsidRPr="007F7DA5">
        <w:rPr>
          <w:rFonts w:cs="Times New Roman" w:eastAsia="Times New Roman"/>
        </w:rPr>
        <w:t xml:space="preserve"> Ako se ne ispune uvjeti za istovremeno otvaranje i zaključenje stečajnog postupka nad dužnikom iz točke 6. izreke ovog rješenja, sud će obustaviti skraćeni stečajni postupak i donijeti rješenje o pokretanju prethodnog postupka, odnosno otvaranju stečajnog postupka.</w:t>
      </w:r>
    </w:p>
    <w:p w:rsidRDefault="007F7DA5" w:rsidP="007F7DA5" w:rsidR="007F7DA5" w:rsidRPr="007F7DA5">
      <w:pPr>
        <w:spacing w:after="0"/>
        <w:jc w:val="both"/>
        <w:rPr>
          <w:rFonts w:cs="Times New Roman" w:eastAsia="Times New Roman"/>
        </w:rPr>
      </w:pPr>
    </w:p>
    <w:p w:rsidRDefault="007F7DA5" w:rsidP="007F7DA5" w:rsidR="007F7DA5" w:rsidRPr="007F7DA5">
      <w:pPr>
        <w:spacing w:after="0"/>
        <w:jc w:val="both"/>
        <w:rPr>
          <w:rFonts w:cs="Times New Roman" w:eastAsia="Times New Roman"/>
        </w:rPr>
      </w:pPr>
    </w:p>
    <w:p w:rsidRDefault="007F7DA5" w:rsidP="007F7DA5" w:rsidR="007F7DA5" w:rsidRPr="007F7DA5">
      <w:pPr>
        <w:spacing w:after="0"/>
        <w:jc w:val="center"/>
        <w:rPr>
          <w:rFonts w:cs="Times New Roman" w:eastAsia="Times New Roman"/>
        </w:rPr>
      </w:pPr>
      <w:r w:rsidRPr="007F7DA5">
        <w:rPr>
          <w:rFonts w:cs="Times New Roman" w:eastAsia="Times New Roman"/>
        </w:rPr>
        <w:t>O b r a z l o ž e n j e</w:t>
      </w:r>
    </w:p>
    <w:p w:rsidRDefault="007F7DA5" w:rsidP="007F7DA5" w:rsidR="007F7DA5" w:rsidRPr="007F7DA5">
      <w:pPr>
        <w:spacing w:after="0"/>
        <w:jc w:val="center"/>
        <w:rPr>
          <w:rFonts w:cs="Times New Roman" w:eastAsia="Times New Roman"/>
          <w:b/>
        </w:rPr>
      </w:pPr>
    </w:p>
    <w:p w:rsidRDefault="007F7DA5" w:rsidP="007F7DA5" w:rsidR="007F7DA5" w:rsidRPr="007F7DA5">
      <w:pPr>
        <w:spacing w:after="0"/>
        <w:ind w:firstLine="315"/>
        <w:jc w:val="both"/>
        <w:rPr>
          <w:rFonts w:cs="Times New Roman" w:eastAsia="Times New Roman"/>
        </w:rPr>
      </w:pPr>
      <w:r w:rsidRPr="007F7DA5">
        <w:rPr>
          <w:rFonts w:cs="Times New Roman" w:eastAsia="Times New Roman"/>
        </w:rPr>
        <w:t xml:space="preserve">      Postupajući po prijedlogu Ministarstva financija-Porezne uprave, Područnog ureda Zadar od 25. kolovoza 2015. za pokretanje skraćenog stečajnog postupka nad dužnikom NOA d.o.o. Benkovac, Ante Starčevića 2, OIB:53457189570, ovaj sud je rješenjem pod poslovnim brojem gornjim od 31. kolovoza 2015., a temeljem odredbi čl. 335.a do 335.d Stečajnog zakona (Narodne novine 44/96, 29/99,129/99, 123/03, 82/06, 116/10, 25/12 i 133/12, dalje: SZ) pokrenuo skraćeni stečajni postupak nad navedenim dužnikom. </w:t>
      </w:r>
    </w:p>
    <w:p w:rsidRDefault="007F7DA5" w:rsidP="007F7DA5" w:rsidR="007F7DA5" w:rsidRPr="007F7DA5">
      <w:pPr>
        <w:spacing w:after="0"/>
        <w:ind w:firstLine="315"/>
        <w:jc w:val="both"/>
        <w:rPr>
          <w:rFonts w:cs="Times New Roman" w:eastAsia="Times New Roman"/>
        </w:rPr>
      </w:pPr>
    </w:p>
    <w:p w:rsidRDefault="007F7DA5" w:rsidP="007F7DA5" w:rsidR="007F7DA5" w:rsidRPr="007F7DA5">
      <w:pPr>
        <w:spacing w:after="0"/>
        <w:ind w:firstLine="315"/>
        <w:jc w:val="both"/>
        <w:rPr>
          <w:rFonts w:cs="Times New Roman" w:eastAsia="Times New Roman"/>
        </w:rPr>
      </w:pPr>
      <w:r w:rsidRPr="007F7DA5">
        <w:rPr>
          <w:rFonts w:cs="Times New Roman" w:eastAsia="Times New Roman"/>
        </w:rPr>
        <w:t xml:space="preserve">            S obzirom da je navedeno rješenje postalo pravomoćno, to je temeljem odredbi članka 335.e do  335.j SZ-a odlučeno kao u izreci rješenja.</w:t>
      </w:r>
    </w:p>
    <w:p w:rsidRDefault="007F7DA5" w:rsidP="007F7DA5" w:rsidR="007F7DA5" w:rsidRPr="007F7DA5">
      <w:pPr>
        <w:spacing w:after="0"/>
        <w:ind w:firstLine="720"/>
        <w:jc w:val="both"/>
        <w:rPr>
          <w:rFonts w:cs="Times New Roman" w:eastAsia="Times New Roman"/>
        </w:rPr>
      </w:pPr>
    </w:p>
    <w:p w:rsidRDefault="007F7DA5" w:rsidP="007F7DA5" w:rsidR="007F7DA5" w:rsidRPr="007F7DA5">
      <w:pPr>
        <w:spacing w:after="0"/>
        <w:ind w:firstLine="720"/>
        <w:jc w:val="both"/>
        <w:rPr>
          <w:rFonts w:cs="Times New Roman" w:eastAsia="Times New Roman"/>
        </w:rPr>
      </w:pPr>
    </w:p>
    <w:p w:rsidRDefault="007F7DA5" w:rsidP="007F7DA5" w:rsidR="007F7DA5" w:rsidRPr="007F7DA5">
      <w:pPr>
        <w:spacing w:after="0"/>
        <w:jc w:val="center"/>
        <w:rPr>
          <w:rFonts w:cs="Times New Roman" w:eastAsia="Times New Roman"/>
        </w:rPr>
      </w:pPr>
      <w:r w:rsidRPr="007F7DA5">
        <w:rPr>
          <w:rFonts w:cs="Times New Roman" w:eastAsia="Times New Roman"/>
        </w:rPr>
        <w:t xml:space="preserve">U Zadru 26. listopada 2015.          </w:t>
      </w:r>
    </w:p>
    <w:p w:rsidRDefault="007F7DA5" w:rsidP="007F7DA5" w:rsidR="007F7DA5" w:rsidRPr="007F7DA5">
      <w:pPr>
        <w:spacing w:after="0"/>
        <w:jc w:val="center"/>
        <w:rPr>
          <w:rFonts w:cs="Times New Roman" w:eastAsia="Times New Roman"/>
        </w:rPr>
      </w:pPr>
    </w:p>
    <w:p w:rsidRDefault="007F7DA5" w:rsidP="007F7DA5" w:rsidR="007F7DA5" w:rsidRPr="007F7DA5">
      <w:pPr>
        <w:spacing w:after="0"/>
        <w:jc w:val="right"/>
        <w:rPr>
          <w:rFonts w:cs="Times New Roman" w:eastAsia="Times New Roman"/>
        </w:rPr>
      </w:pPr>
    </w:p>
    <w:p w:rsidRDefault="007F7DA5" w:rsidP="007F7DA5" w:rsidR="007F7DA5" w:rsidRPr="007F7DA5">
      <w:pPr>
        <w:spacing w:after="0"/>
        <w:rPr>
          <w:rFonts w:cs="Times New Roman" w:eastAsia="Times New Roman"/>
        </w:rPr>
      </w:pPr>
      <w:r w:rsidRPr="007F7DA5">
        <w:rPr>
          <w:rFonts w:cs="Times New Roman" w:eastAsia="Times New Roman"/>
        </w:rPr>
        <w:t>Za točnost otpravka-ovlaštena službenica:                                               Sutkinja:</w:t>
      </w:r>
    </w:p>
    <w:p w:rsidRDefault="007F7DA5" w:rsidP="007F7DA5" w:rsidR="007F7DA5" w:rsidRPr="007F7DA5">
      <w:pPr>
        <w:spacing w:after="0"/>
        <w:rPr>
          <w:rFonts w:cs="Times New Roman" w:eastAsia="Times New Roman"/>
        </w:rPr>
      </w:pPr>
      <w:r w:rsidRPr="007F7DA5">
        <w:rPr>
          <w:rFonts w:cs="Times New Roman" w:eastAsia="Times New Roman"/>
        </w:rPr>
        <w:t>Nena Mužanović                                                                                      Ana Markač, v.r.</w:t>
      </w:r>
    </w:p>
    <w:p w:rsidRDefault="007F7DA5" w:rsidP="007F7DA5" w:rsidR="007F7DA5" w:rsidRPr="007F7DA5">
      <w:pPr>
        <w:spacing w:after="0"/>
        <w:rPr>
          <w:rFonts w:cs="Times New Roman" w:eastAsia="Times New Roman"/>
        </w:rPr>
      </w:pPr>
    </w:p>
    <w:p w:rsidRDefault="007F7DA5" w:rsidP="007F7DA5" w:rsidR="007F7DA5" w:rsidRPr="007F7DA5">
      <w:pPr>
        <w:spacing w:after="0"/>
        <w:jc w:val="right"/>
        <w:rPr>
          <w:rFonts w:cs="Times New Roman" w:eastAsia="Times New Roman"/>
          <w:b/>
        </w:rPr>
      </w:pPr>
      <w:r w:rsidRPr="007F7DA5">
        <w:rPr>
          <w:rFonts w:cs="Times New Roman" w:eastAsia="Times New Roman"/>
        </w:rPr>
        <w:t>Viša sudska savjetnica:</w:t>
      </w:r>
    </w:p>
    <w:p w:rsidRDefault="007F7DA5" w:rsidP="007F7DA5" w:rsidR="007F7DA5" w:rsidRPr="007F7DA5">
      <w:pPr>
        <w:spacing w:after="0"/>
        <w:jc w:val="both"/>
        <w:rPr>
          <w:rFonts w:cs="Times New Roman" w:eastAsia="Times New Roman"/>
          <w:b/>
        </w:rPr>
      </w:pPr>
      <w:r w:rsidRPr="007F7DA5">
        <w:rPr>
          <w:rFonts w:cs="Times New Roman" w:eastAsia="Times New Roman"/>
        </w:rPr>
        <w:t xml:space="preserve">                                                                                                                   Tina Grgas, v.r.</w:t>
      </w:r>
    </w:p>
    <w:p w:rsidRDefault="007F7DA5" w:rsidP="007F7DA5" w:rsidR="007F7DA5" w:rsidRPr="007F7DA5">
      <w:pPr>
        <w:spacing w:after="0"/>
        <w:jc w:val="both"/>
        <w:rPr>
          <w:rFonts w:cs="Times New Roman" w:eastAsia="Times New Roman"/>
          <w:b/>
        </w:rPr>
      </w:pPr>
    </w:p>
    <w:p w:rsidRDefault="007F7DA5" w:rsidP="007F7DA5" w:rsidR="007F7DA5" w:rsidRPr="007F7DA5">
      <w:pPr>
        <w:spacing w:after="0"/>
        <w:ind w:firstLine="720"/>
        <w:jc w:val="both"/>
        <w:rPr>
          <w:rFonts w:cs="Times New Roman" w:eastAsia="Times New Roman"/>
        </w:rPr>
      </w:pPr>
      <w:r w:rsidRPr="007F7DA5">
        <w:rPr>
          <w:rFonts w:cs="Times New Roman" w:eastAsia="Times New Roman"/>
        </w:rPr>
        <w:t>UPUTA O PRAVNOM LIJEKU:</w:t>
      </w:r>
    </w:p>
    <w:p w:rsidRDefault="007F7DA5" w:rsidP="007F7DA5" w:rsidR="007F7DA5" w:rsidRPr="007F7DA5">
      <w:pPr>
        <w:spacing w:after="0"/>
        <w:ind w:firstLine="720"/>
        <w:jc w:val="both"/>
        <w:rPr>
          <w:rFonts w:cs="Times New Roman" w:eastAsia="Times New Roman"/>
        </w:rPr>
      </w:pPr>
      <w:r w:rsidRPr="007F7DA5">
        <w:rPr>
          <w:rFonts w:cs="Times New Roman" w:eastAsia="Times New Roman"/>
        </w:rPr>
        <w:t xml:space="preserve">Protiv ovog zaključka nije dopuštena žalba (članak 11. stavak 9. Stečajnog zakona). </w:t>
      </w:r>
    </w:p>
    <w:p w:rsidRDefault="007F7DA5" w:rsidP="007F7DA5" w:rsidR="007F7DA5" w:rsidRPr="007F7DA5">
      <w:pPr>
        <w:spacing w:after="0"/>
        <w:ind w:firstLine="720"/>
        <w:jc w:val="both"/>
        <w:rPr>
          <w:rFonts w:cs="Times New Roman" w:eastAsia="Times New Roman"/>
        </w:rPr>
      </w:pPr>
    </w:p>
    <w:p w:rsidRDefault="007F7DA5" w:rsidP="007F7DA5" w:rsidR="007F7DA5" w:rsidRPr="007F7DA5">
      <w:pPr>
        <w:spacing w:after="0"/>
        <w:ind w:firstLine="720"/>
        <w:jc w:val="both"/>
        <w:rPr>
          <w:rFonts w:cs="Times New Roman" w:eastAsia="Times New Roman"/>
        </w:rPr>
      </w:pPr>
    </w:p>
    <w:p w:rsidRDefault="007F7DA5" w:rsidP="007F7DA5" w:rsidR="007F7DA5" w:rsidRPr="007F7DA5">
      <w:pPr>
        <w:spacing w:after="0"/>
        <w:ind w:firstLine="720"/>
        <w:jc w:val="both"/>
        <w:rPr>
          <w:rFonts w:cs="Times New Roman" w:eastAsia="Times New Roman"/>
        </w:rPr>
      </w:pPr>
      <w:r w:rsidRPr="007F7DA5">
        <w:rPr>
          <w:rFonts w:cs="Times New Roman" w:eastAsia="Times New Roman"/>
        </w:rPr>
        <w:t>DNA:</w:t>
      </w:r>
    </w:p>
    <w:p w:rsidRDefault="007F7DA5" w:rsidP="007F7DA5" w:rsidR="007F7DA5" w:rsidRPr="007F7DA5">
      <w:pPr>
        <w:numPr>
          <w:ilvl w:val="0"/>
          <w:numId w:val="48"/>
        </w:numPr>
        <w:spacing w:after="0"/>
        <w:jc w:val="both"/>
        <w:rPr>
          <w:rFonts w:cs="Times New Roman" w:eastAsia="Times New Roman"/>
        </w:rPr>
      </w:pPr>
      <w:r w:rsidRPr="007F7DA5">
        <w:rPr>
          <w:rFonts w:cs="Times New Roman" w:eastAsia="Times New Roman"/>
        </w:rPr>
        <w:t xml:space="preserve">članu uprave  </w:t>
      </w:r>
    </w:p>
    <w:p w:rsidRDefault="007F7DA5" w:rsidP="007F7DA5" w:rsidR="007F7DA5" w:rsidRPr="007F7DA5">
      <w:pPr>
        <w:numPr>
          <w:ilvl w:val="0"/>
          <w:numId w:val="48"/>
        </w:numPr>
        <w:spacing w:after="0"/>
        <w:jc w:val="both"/>
        <w:rPr>
          <w:rFonts w:cs="Times New Roman" w:eastAsia="Times New Roman"/>
        </w:rPr>
      </w:pPr>
      <w:r w:rsidRPr="007F7DA5">
        <w:rPr>
          <w:rFonts w:cs="Times New Roman" w:eastAsia="Times New Roman"/>
        </w:rPr>
        <w:t>e-oglasna ploča suda</w:t>
      </w:r>
    </w:p>
    <w:p w:rsidRDefault="007F7DA5" w:rsidP="007F7DA5" w:rsidR="007F7DA5" w:rsidRPr="007F7DA5">
      <w:pPr>
        <w:numPr>
          <w:ilvl w:val="0"/>
          <w:numId w:val="48"/>
        </w:numPr>
        <w:spacing w:after="0"/>
        <w:jc w:val="both"/>
        <w:rPr>
          <w:rFonts w:cs="Times New Roman" w:eastAsia="Times New Roman"/>
        </w:rPr>
      </w:pPr>
      <w:r w:rsidRPr="007F7DA5">
        <w:rPr>
          <w:rFonts w:cs="Times New Roman" w:eastAsia="Times New Roman"/>
        </w:rPr>
        <w:t>u spis</w:t>
      </w:r>
    </w:p>
    <w:p w:rsidRDefault="007F7DA5"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A667CA0"/>
    <w:multiLevelType w:val="hybridMultilevel"/>
    <w:tmpl w:val="4EC0A95A"/>
    <w:lvl w:tplc="E39090D0" w:ilvl="0">
      <w:start w:val="2"/>
      <w:numFmt w:val="decimal"/>
      <w:lvlText w:val="%1."/>
      <w:lvlJc w:val="left"/>
      <w:pPr>
        <w:tabs>
          <w:tab w:pos="675" w:val="num"/>
        </w:tabs>
        <w:ind w:hanging="360" w:left="675"/>
      </w:pPr>
    </w:lvl>
    <w:lvl w:tplc="041A0019" w:ilvl="1">
      <w:start w:val="1"/>
      <w:numFmt w:val="lowerLetter"/>
      <w:lvlText w:val="%2."/>
      <w:lvlJc w:val="left"/>
      <w:pPr>
        <w:tabs>
          <w:tab w:pos="1395" w:val="num"/>
        </w:tabs>
        <w:ind w:hanging="360" w:left="1395"/>
      </w:pPr>
    </w:lvl>
    <w:lvl w:tplc="041A001B" w:ilvl="2">
      <w:start w:val="1"/>
      <w:numFmt w:val="lowerRoman"/>
      <w:lvlText w:val="%3."/>
      <w:lvlJc w:val="right"/>
      <w:pPr>
        <w:tabs>
          <w:tab w:pos="2115" w:val="num"/>
        </w:tabs>
        <w:ind w:hanging="180" w:left="2115"/>
      </w:pPr>
    </w:lvl>
    <w:lvl w:tplc="041A000F" w:ilvl="3">
      <w:start w:val="1"/>
      <w:numFmt w:val="decimal"/>
      <w:lvlText w:val="%4."/>
      <w:lvlJc w:val="left"/>
      <w:pPr>
        <w:tabs>
          <w:tab w:pos="2835" w:val="num"/>
        </w:tabs>
        <w:ind w:hanging="360" w:left="2835"/>
      </w:pPr>
    </w:lvl>
    <w:lvl w:tplc="041A0019" w:ilvl="4">
      <w:start w:val="1"/>
      <w:numFmt w:val="lowerLetter"/>
      <w:lvlText w:val="%5."/>
      <w:lvlJc w:val="left"/>
      <w:pPr>
        <w:tabs>
          <w:tab w:pos="3555" w:val="num"/>
        </w:tabs>
        <w:ind w:hanging="360" w:left="3555"/>
      </w:pPr>
    </w:lvl>
    <w:lvl w:tplc="041A001B" w:ilvl="5">
      <w:start w:val="1"/>
      <w:numFmt w:val="lowerRoman"/>
      <w:lvlText w:val="%6."/>
      <w:lvlJc w:val="right"/>
      <w:pPr>
        <w:tabs>
          <w:tab w:pos="4275" w:val="num"/>
        </w:tabs>
        <w:ind w:hanging="180" w:left="4275"/>
      </w:pPr>
    </w:lvl>
    <w:lvl w:tplc="041A000F" w:ilvl="6">
      <w:start w:val="1"/>
      <w:numFmt w:val="decimal"/>
      <w:lvlText w:val="%7."/>
      <w:lvlJc w:val="left"/>
      <w:pPr>
        <w:tabs>
          <w:tab w:pos="4995" w:val="num"/>
        </w:tabs>
        <w:ind w:hanging="360" w:left="4995"/>
      </w:pPr>
    </w:lvl>
    <w:lvl w:tplc="041A0019" w:ilvl="7">
      <w:start w:val="1"/>
      <w:numFmt w:val="lowerLetter"/>
      <w:lvlText w:val="%8."/>
      <w:lvlJc w:val="left"/>
      <w:pPr>
        <w:tabs>
          <w:tab w:pos="5715" w:val="num"/>
        </w:tabs>
        <w:ind w:hanging="360" w:left="5715"/>
      </w:pPr>
    </w:lvl>
    <w:lvl w:tplc="041A001B" w:ilvl="8">
      <w:start w:val="1"/>
      <w:numFmt w:val="lowerRoman"/>
      <w:lvlText w:val="%9."/>
      <w:lvlJc w:val="right"/>
      <w:pPr>
        <w:tabs>
          <w:tab w:pos="6435" w:val="num"/>
        </w:tabs>
        <w:ind w:hanging="180" w:left="6435"/>
      </w:p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1563A51"/>
    <w:multiLevelType w:val="hybridMultilevel"/>
    <w:tmpl w:val="113CA89A"/>
    <w:lvl w:tplc="7E6EBC9A" w:ilvl="0">
      <w:start w:val="1"/>
      <w:numFmt w:val="bullet"/>
      <w:lvlText w:val="-"/>
      <w:lvlJc w:val="left"/>
      <w:pPr>
        <w:tabs>
          <w:tab w:pos="1080" w:val="num"/>
        </w:tabs>
        <w:ind w:hanging="360" w:left="1080"/>
      </w:pPr>
      <w:rPr>
        <w:rFonts w:cs="Arial" w:eastAsia="Times New Roman" w:hAnsi="Arial" w:ascii="Arial" w:hint="default"/>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hAnsi="Wingdings" w:ascii="Wingdings" w:hint="default"/>
      </w:rPr>
    </w:lvl>
    <w:lvl w:tplc="041A0001" w:ilvl="3">
      <w:start w:val="1"/>
      <w:numFmt w:val="bullet"/>
      <w:lvlText w:val=""/>
      <w:lvlJc w:val="left"/>
      <w:pPr>
        <w:tabs>
          <w:tab w:pos="3240" w:val="num"/>
        </w:tabs>
        <w:ind w:hanging="360" w:left="3240"/>
      </w:pPr>
      <w:rPr>
        <w:rFonts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hAnsi="Wingdings" w:ascii="Wingdings" w:hint="default"/>
      </w:rPr>
    </w:lvl>
    <w:lvl w:tplc="041A0001" w:ilvl="6">
      <w:start w:val="1"/>
      <w:numFmt w:val="bullet"/>
      <w:lvlText w:val=""/>
      <w:lvlJc w:val="left"/>
      <w:pPr>
        <w:tabs>
          <w:tab w:pos="5400" w:val="num"/>
        </w:tabs>
        <w:ind w:hanging="360" w:left="5400"/>
      </w:pPr>
      <w:rPr>
        <w:rFonts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hAnsi="Wingdings" w:ascii="Wingdings"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1"/>
  </w:num>
  <w:num w:numId="3">
    <w:abstractNumId w:val="17"/>
  </w:num>
  <w:num w:numId="4">
    <w:abstractNumId w:val="41"/>
  </w:num>
  <w:num w:numId="5">
    <w:abstractNumId w:val="43"/>
  </w:num>
  <w:num w:numId="6">
    <w:abstractNumId w:val="19"/>
  </w:num>
  <w:num w:numId="7">
    <w:abstractNumId w:val="21"/>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2"/>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7F7DA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619957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2015.</izvorni_sadrzaj>
    <derivirana_varijabla naziv="DomainObject.DatumDonosenjaOdluke_1">26.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St-89/2015-4</izvorni_sadrzaj>
    <derivirana_varijabla naziv="DomainObject.Oznaka_1">St-89/2015-4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izvorni_sadrzaj>
    <derivirana_varijabla naziv="DomainObject.Predmet.Broj_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2015.</izvorni_sadrzaj>
    <derivirana_varijabla naziv="DomainObject.Predmet.DatumOsnivanja_1">25.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St-89/2015</izvorni_sadrzaj>
    <derivirana_varijabla naziv="DomainObject.Predmet.OznakaBroj_1">St-89/2015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NOA d.o.o. za usluge</izvorni_sadrzaj>
    <derivirana_varijabla naziv="DomainObject.Predmet.ProtustrankaFormated_1">  NOA d.o.o. za usluge</derivirana_varijabla>
  </DomainObject.Predmet.ProtustrankaFormated>
  <DomainObject.Predmet.ProtustrankaFormatedOIB>
    <izvorni_sadrzaj>  NOA d.o.o. za usluge, OIB 53457189570</izvorni_sadrzaj>
    <derivirana_varijabla naziv="DomainObject.Predmet.ProtustrankaFormatedOIB_1">  NOA d.o.o. za usluge, OIB 53457189570</derivirana_varijabla>
  </DomainObject.Predmet.ProtustrankaFormatedOIB>
  <DomainObject.Predmet.ProtustrankaFormatedWithAdress>
    <izvorni_sadrzaj> NOA d.o.o. za usluge, Ante Starčevića 2 , 23420 Benkovac</izvorni_sadrzaj>
    <derivirana_varijabla naziv="DomainObject.Predmet.ProtustrankaFormatedWithAdress_1"> NOA d.o.o. za usluge, Ante Starčevića 2 , 23420 Benkovac</derivirana_varijabla>
  </DomainObject.Predmet.ProtustrankaFormatedWithAdress>
  <DomainObject.Predmet.ProtustrankaFormatedWithAdressOIB>
    <izvorni_sadrzaj> NOA d.o.o. za usluge, OIB 53457189570, Ante Starčevića 2 , 23420 Benkovac</izvorni_sadrzaj>
    <derivirana_varijabla naziv="DomainObject.Predmet.ProtustrankaFormatedWithAdressOIB_1"> NOA d.o.o. za usluge, OIB 53457189570, Ante Starčevića 2 , 23420 Benkovac</derivirana_varijabla>
  </DomainObject.Predmet.ProtustrankaFormatedWithAdressOIB>
  <DomainObject.Predmet.ProtustrankaWithAdress>
    <izvorni_sadrzaj>NOA d.o.o. za usluge Ante Starčevića 2 , 23420 Benkovac</izvorni_sadrzaj>
    <derivirana_varijabla naziv="DomainObject.Predmet.ProtustrankaWithAdress_1">NOA d.o.o. za usluge Ante Starčevića 2 , 23420 Benkovac</derivirana_varijabla>
  </DomainObject.Predmet.ProtustrankaWithAdress>
  <DomainObject.Predmet.ProtustrankaWithAdressOIB>
    <izvorni_sadrzaj>NOA d.o.o. za usluge, OIB 53457189570, Ante Starčevića 2 , 23420 Benkovac</izvorni_sadrzaj>
    <derivirana_varijabla naziv="DomainObject.Predmet.ProtustrankaWithAdressOIB_1">NOA d.o.o. za usluge, OIB 53457189570, Ante Starčevića 2 , 23420 Benkovac</derivirana_varijabla>
  </DomainObject.Predmet.ProtustrankaWithAdressOIB>
  <DomainObject.Predmet.ProtustrankaNazivFormated>
    <izvorni_sadrzaj>NOA d.o.o. za usluge</izvorni_sadrzaj>
    <derivirana_varijabla naziv="DomainObject.Predmet.ProtustrankaNazivFormated_1">NOA d.o.o. za usluge</derivirana_varijabla>
  </DomainObject.Predmet.ProtustrankaNazivFormated>
  <DomainObject.Predmet.ProtustrankaNazivFormatedOIB>
    <izvorni_sadrzaj>NOA d.o.o. za usluge, OIB 53457189570</izvorni_sadrzaj>
    <derivirana_varijabla naziv="DomainObject.Predmet.ProtustrankaNazivFormatedOIB_1">NOA d.o.o. za usluge, OIB 53457189570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 POREZNA UPRAVA</izvorni_sadrzaj>
    <derivirana_varijabla naziv="DomainObject.Predmet.StrankaFormated_1">  MF - POREZNA UPRAVA</derivirana_varijabla>
  </DomainObject.Predmet.StrankaFormated>
  <DomainObject.Predmet.StrankaFormatedOIB>
    <izvorni_sadrzaj>  MF - POREZNA UPRAVA, OIB 18683136487</izvorni_sadrzaj>
    <derivirana_varijabla naziv="DomainObject.Predmet.StrankaFormatedOIB_1">  MF - POREZNA UPRAVA, OIB 18683136487</derivirana_varijabla>
  </DomainObject.Predmet.StrankaFormatedOIB>
  <DomainObject.Predmet.StrankaFormatedWithAdress>
    <izvorni_sadrzaj> MF - POREZNA UPRAVA</izvorni_sadrzaj>
    <derivirana_varijabla naziv="DomainObject.Predmet.StrankaFormatedWithAdress_1"> MF - POREZNA UPRAVA</derivirana_varijabla>
  </DomainObject.Predmet.StrankaFormatedWithAdress>
  <DomainObject.Predmet.StrankaFormatedWithAdressOIB>
    <izvorni_sadrzaj> MF - POREZNA UPRAVA, OIB 18683136487</izvorni_sadrzaj>
    <derivirana_varijabla naziv="DomainObject.Predmet.StrankaFormatedWithAdressOIB_1"> MF - POREZNA UPRAVA, OIB 18683136487</derivirana_varijabla>
  </DomainObject.Predmet.StrankaFormatedWithAdressOIB>
  <DomainObject.Predmet.StrankaWithAdress>
    <izvorni_sadrzaj>MF - POREZNA UPRAVA </izvorni_sadrzaj>
    <derivirana_varijabla naziv="DomainObject.Predmet.StrankaWithAdress_1">MF - POREZNA UPRAVA </derivirana_varijabla>
  </DomainObject.Predmet.StrankaWithAdress>
  <DomainObject.Predmet.StrankaWithAdressOIB>
    <izvorni_sadrzaj>MF - POREZNA UPRAVA, OIB 18683136487</izvorni_sadrzaj>
    <derivirana_varijabla naziv="DomainObject.Predmet.StrankaWithAdressOIB_1">MF - POREZNA UPRAVA, OIB 18683136487</derivirana_varijabla>
  </DomainObject.Predmet.StrankaWithAdressOIB>
  <DomainObject.Predmet.StrankaNazivFormated>
    <izvorni_sadrzaj>MF - POREZNA UPRAVA</izvorni_sadrzaj>
    <derivirana_varijabla naziv="DomainObject.Predmet.StrankaNazivFormated_1">MF - POREZNA UPRAVA</derivirana_varijabla>
  </DomainObject.Predmet.StrankaNazivFormated>
  <DomainObject.Predmet.StrankaNazivFormatedOIB>
    <izvorni_sadrzaj>MF - POREZNA UPRAVA, OIB 18683136487</izvorni_sadrzaj>
    <derivirana_varijabla naziv="DomainObject.Predmet.StrankaNazivFormatedOIB_1">MF - POREZNA UPRAVA,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MF - POREZNA UPRAVA</item>
    </izvorni_sadrzaj>
    <derivirana_varijabla naziv="DomainObject.Predmet.StrankaListFormated_1">
      <item>MF - POREZNA UPRAVA</item>
    </derivirana_varijabla>
  </DomainObject.Predmet.StrankaListFormated>
  <DomainObject.Predmet.StrankaListFormatedOIB>
    <izvorni_sadrzaj>
      <item>MF - POREZNA UPRAVA, OIB 18683136487</item>
    </izvorni_sadrzaj>
    <derivirana_varijabla naziv="DomainObject.Predmet.StrankaListFormatedOIB_1">
      <item>MF - POREZNA UPRAVA, OIB 18683136487</item>
    </derivirana_varijabla>
  </DomainObject.Predmet.StrankaListFormatedOIB>
  <DomainObject.Predmet.StrankaListFormatedWithAdress>
    <izvorni_sadrzaj>
      <item>MF - POREZNA UPRAVA</item>
    </izvorni_sadrzaj>
    <derivirana_varijabla naziv="DomainObject.Predmet.StrankaListFormatedWithAdress_1">
      <item>MF - POREZNA UPRAVA</item>
    </derivirana_varijabla>
  </DomainObject.Predmet.StrankaListFormatedWithAdress>
  <DomainObject.Predmet.StrankaListFormatedWithAdressOIB>
    <izvorni_sadrzaj>
      <item>MF - POREZNA UPRAVA, OIB 18683136487</item>
    </izvorni_sadrzaj>
    <derivirana_varijabla naziv="DomainObject.Predmet.StrankaListFormatedWithAdressOIB_1">
      <item>MF - POREZNA UPRAVA, OIB 18683136487</item>
    </derivirana_varijabla>
  </DomainObject.Predmet.StrankaListFormatedWithAdressOIB>
  <DomainObject.Predmet.StrankaListNazivFormated>
    <izvorni_sadrzaj>
      <item>MF - POREZNA UPRAVA</item>
    </izvorni_sadrzaj>
    <derivirana_varijabla naziv="DomainObject.Predmet.StrankaListNazivFormated_1">
      <item>MF - POREZNA UPRAVA</item>
    </derivirana_varijabla>
  </DomainObject.Predmet.StrankaListNazivFormated>
  <DomainObject.Predmet.StrankaListNazivFormatedOIB>
    <izvorni_sadrzaj>
      <item>MF - POREZNA UPRAVA, OIB 18683136487</item>
    </izvorni_sadrzaj>
    <derivirana_varijabla naziv="DomainObject.Predmet.StrankaListNazivFormatedOIB_1">
      <item>MF - POREZNA UPRAVA, OIB 18683136487</item>
    </derivirana_varijabla>
  </DomainObject.Predmet.StrankaListNazivFormatedOIB>
  <DomainObject.Predmet.ProtuStrankaListFormated>
    <izvorni_sadrzaj>
      <item>NOA d.o.o. za usluge</item>
    </izvorni_sadrzaj>
    <derivirana_varijabla naziv="DomainObject.Predmet.ProtuStrankaListFormated_1">
      <item>NOA d.o.o. za usluge</item>
    </derivirana_varijabla>
  </DomainObject.Predmet.ProtuStrankaListFormated>
  <DomainObject.Predmet.ProtuStrankaListFormatedOIB>
    <izvorni_sadrzaj>
      <item>NOA d.o.o. za usluge, OIB 53457189570</item>
    </izvorni_sadrzaj>
    <derivirana_varijabla naziv="DomainObject.Predmet.ProtuStrankaListFormatedOIB_1">
      <item>NOA d.o.o. za usluge, OIB 53457189570</item>
    </derivirana_varijabla>
  </DomainObject.Predmet.ProtuStrankaListFormatedOIB>
  <DomainObject.Predmet.ProtuStrankaListFormatedWithAdress>
    <izvorni_sadrzaj>
      <item>NOA d.o.o. za usluge, Ante Starčevića 2 , 23420 Benkovac</item>
    </izvorni_sadrzaj>
    <derivirana_varijabla naziv="DomainObject.Predmet.ProtuStrankaListFormatedWithAdress_1">
      <item>NOA d.o.o. za usluge, Ante Starčevića 2 , 23420 Benkovac</item>
    </derivirana_varijabla>
  </DomainObject.Predmet.ProtuStrankaListFormatedWithAdress>
  <DomainObject.Predmet.ProtuStrankaListFormatedWithAdressOIB>
    <izvorni_sadrzaj>
      <item>NOA d.o.o. za usluge, OIB 53457189570, Ante Starčevića 2 , 23420 Benkovac</item>
    </izvorni_sadrzaj>
    <derivirana_varijabla naziv="DomainObject.Predmet.ProtuStrankaListFormatedWithAdressOIB_1">
      <item>NOA d.o.o. za usluge, OIB 53457189570, Ante Starčevića 2 , 23420 Benkovac</item>
    </derivirana_varijabla>
  </DomainObject.Predmet.ProtuStrankaListFormatedWithAdressOIB>
  <DomainObject.Predmet.ProtuStrankaListNazivFormated>
    <izvorni_sadrzaj>
      <item>NOA d.o.o. za usluge</item>
    </izvorni_sadrzaj>
    <derivirana_varijabla naziv="DomainObject.Predmet.ProtuStrankaListNazivFormated_1">
      <item>NOA d.o.o. za usluge</item>
    </derivirana_varijabla>
  </DomainObject.Predmet.ProtuStrankaListNazivFormated>
  <DomainObject.Predmet.ProtuStrankaListNazivFormatedOIB>
    <izvorni_sadrzaj>
      <item>NOA d.o.o. za usluge, OIB 53457189570</item>
    </izvorni_sadrzaj>
    <derivirana_varijabla naziv="DomainObject.Predmet.ProtuStrankaListNazivFormatedOIB_1">
      <item>NOA d.o.o. za usluge, OIB 53457189570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2015.</izvorni_sadrzaj>
    <derivirana_varijabla naziv="DomainObject.Datum_1">28. listopada 2015.</derivirana_varijabla>
  </DomainObject.Datum>
  <DomainObject.PoslovniBrojDokumenta>
    <izvorni_sadrzaj>St-89/2015-4</izvorni_sadrzaj>
    <derivirana_varijabla naziv="DomainObject.PoslovniBrojDokumenta_1">St-89/2015-4</derivirana_varijabla>
  </DomainObject.PoslovniBrojDokumenta>
  <DomainObject.Predmet.StrankaIDrugi>
    <izvorni_sadrzaj>MF - POREZNA UPRAVA</izvorni_sadrzaj>
    <derivirana_varijabla naziv="DomainObject.Predmet.StrankaIDrugi_1">MF - POREZNA UPRAVA</derivirana_varijabla>
  </DomainObject.Predmet.StrankaIDrugi>
  <DomainObject.Predmet.ProtustrankaIDrugi>
    <izvorni_sadrzaj>NOA d.o.o. za usluge</izvorni_sadrzaj>
    <derivirana_varijabla naziv="DomainObject.Predmet.ProtustrankaIDrugi_1">NOA d.o.o. za usluge</derivirana_varijabla>
  </DomainObject.Predmet.ProtustrankaIDrugi>
  <DomainObject.Predmet.StrankaIDrugiAdressOIB>
    <izvorni_sadrzaj>MF - POREZNA UPRAVA, OIB 18683136487</izvorni_sadrzaj>
    <derivirana_varijabla naziv="DomainObject.Predmet.StrankaIDrugiAdressOIB_1">MF - POREZNA UPRAVA, OIB 18683136487</derivirana_varijabla>
  </DomainObject.Predmet.StrankaIDrugiAdressOIB>
  <DomainObject.Predmet.ProtustrankaIDrugiAdressOIB>
    <izvorni_sadrzaj>NOA d.o.o. za usluge, OIB 53457189570, Ante Starčevića 2 , 23420 Benkovac</izvorni_sadrzaj>
    <derivirana_varijabla naziv="DomainObject.Predmet.ProtustrankaIDrugiAdressOIB_1">NOA d.o.o. za usluge, OIB 53457189570, Ante Starčevića 2 ,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 POREZNA UPRAVA</item>
      <item>NOA d.o.o. za usluge</item>
    </izvorni_sadrzaj>
    <derivirana_varijabla naziv="DomainObject.Predmet.SudioniciListNaziv_1">
      <item>MF - POREZNA UPRAVA</item>
      <item>NOA d.o.o. za usluge</item>
    </derivirana_varijabla>
  </DomainObject.Predmet.SudioniciListNaziv>
  <DomainObject.Predmet.SudioniciListAdressOIB>
    <izvorni_sadrzaj>
      <item>MF - POREZNA UPRAVA, OIB 18683136487</item>
      <item>NOA d.o.o. za usluge, OIB 53457189570, Ante Starčevića 2 ,23420 Benkovac</item>
    </izvorni_sadrzaj>
    <derivirana_varijabla naziv="DomainObject.Predmet.SudioniciListAdressOIB_1">
      <item>MF - POREZNA UPRAVA, OIB 18683136487</item>
      <item>NOA d.o.o. za usluge, OIB 53457189570, Ante Starčevića 2 ,23420 Benkovac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BF9632-20B6-455B-AF2A-505A75F913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525</properties:Words>
  <properties:Characters>2851</properties:Characters>
  <properties:Lines>89</properties:Lines>
  <properties:Paragraphs>30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2015-10-28T08:29:00Z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St-89/2015-4 / Odluka - Zaključak-poziv vjerovnicima u skraćenom postupku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