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608a" w14:paraId="09c608a" w:rsidRDefault="006C3551" w:rsidP="006C3551" w:rsidR="006C3551" w:rsidRPr="006C3551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C3551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0E73BC" w:rsidP="006C3551" w:rsidR="000E73BC" w:rsidRPr="006C35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C3551">
        <w:rPr>
          <w:rFonts w:cs="Times New Roman" w:hAnsi="Times New Roman" w:ascii="Times New Roman"/>
          <w:sz w:val="24"/>
          <w:szCs w:val="24"/>
        </w:rPr>
        <w:t>Pro-hor d.o.o. u stečaju</w:t>
      </w:r>
    </w:p>
    <w:p w:rsidRDefault="000E73BC" w:rsidP="006C3551" w:rsidR="000E73B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C3551">
        <w:rPr>
          <w:rFonts w:cs="Times New Roman" w:hAnsi="Times New Roman" w:ascii="Times New Roman"/>
          <w:sz w:val="24"/>
          <w:szCs w:val="24"/>
        </w:rPr>
        <w:t>ST-5781/16</w:t>
      </w:r>
    </w:p>
    <w:p w:rsidRDefault="006C3551" w:rsidP="006C3551" w:rsidR="006C3551" w:rsidRPr="006C35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3551" w:rsidP="006C3551" w:rsidR="00B96A01" w:rsidRPr="006C355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Vjerovnici I. višeg isplatnog reda</w:t>
      </w:r>
    </w:p>
    <w:tbl>
      <w:tblPr>
        <w:tblStyle w:val="Reetkatablice"/>
        <w:tblW w:type="dxa" w:w="14176"/>
        <w:tblInd w:type="dxa" w:w="-690"/>
        <w:tblCellMar>
          <w:left w:type="dxa" w:w="19"/>
          <w:right w:type="dxa" w:w="29"/>
        </w:tblCellMar>
        <w:tblLook w:val="04A0" w:noVBand="1" w:noHBand="0" w:lastColumn="0" w:firstColumn="1" w:lastRow="0" w:firstRow="1"/>
      </w:tblPr>
      <w:tblGrid>
        <w:gridCol w:w="412"/>
        <w:gridCol w:w="1929"/>
        <w:gridCol w:w="1385"/>
        <w:gridCol w:w="1155"/>
        <w:gridCol w:w="1168"/>
        <w:gridCol w:w="1168"/>
        <w:gridCol w:w="1021"/>
        <w:gridCol w:w="1391"/>
        <w:gridCol w:w="1394"/>
        <w:gridCol w:w="1786"/>
        <w:gridCol w:w="1367"/>
      </w:tblGrid>
      <w:tr w:rsidTr="000E73BC" w:rsidR="000E73BC" w:rsidRPr="006C3551">
        <w:trPr>
          <w:trHeight w:val="1605"/>
        </w:trPr>
        <w:tc>
          <w:tcPr>
            <w:tcW w:type="dxa" w:w="425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R. br</w:t>
            </w:r>
          </w:p>
        </w:tc>
        <w:tc>
          <w:tcPr>
            <w:tcW w:type="dxa" w:w="1846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387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143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Adresa / sjedište vjerovnika</w:t>
            </w:r>
          </w:p>
        </w:tc>
        <w:tc>
          <w:tcPr>
            <w:tcW w:type="dxa" w:w="1106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125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023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Iznos priznate tražbine</w:t>
            </w:r>
            <w:r w:rsidRPr="006C355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br/>
              <w:t>(kn)</w:t>
            </w:r>
          </w:p>
        </w:tc>
        <w:tc>
          <w:tcPr>
            <w:tcW w:type="dxa" w:w="1419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Pravna osnova priznate tražbine</w:t>
            </w:r>
          </w:p>
        </w:tc>
        <w:tc>
          <w:tcPr>
            <w:tcW w:type="dxa" w:w="1443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Iznos osporene tražbine</w:t>
            </w:r>
            <w:r w:rsidRPr="006C355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br/>
              <w:t>(kn)</w:t>
            </w:r>
          </w:p>
        </w:tc>
        <w:tc>
          <w:tcPr>
            <w:tcW w:type="dxa" w:w="1840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Razlog osporavanja tražbine</w:t>
            </w:r>
          </w:p>
        </w:tc>
        <w:tc>
          <w:tcPr>
            <w:tcW w:type="dxa" w:w="1419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Oznaka ovršne isprave ako se tražbina zasniva na ovršnoj ispravi</w:t>
            </w:r>
          </w:p>
        </w:tc>
      </w:tr>
      <w:tr w:rsidTr="000E73BC" w:rsidR="000E73BC" w:rsidRPr="006C3551">
        <w:trPr>
          <w:trHeight w:val="2813"/>
        </w:trPr>
        <w:tc>
          <w:tcPr>
            <w:tcW w:type="dxa" w:w="425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846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REPUBLIKA HRVATSKA, MINISTARSTVO FINANCIJA, POREZNA UPRAVA, PODRUČNI URED SREDIŠNJA HRVATSKA, zastupano po Županijskom državnom odvjetništvu u Zagrebu</w:t>
            </w:r>
          </w:p>
        </w:tc>
        <w:tc>
          <w:tcPr>
            <w:tcW w:type="dxa" w:w="1387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143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106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sz w:val="24"/>
                <w:szCs w:val="24"/>
              </w:rPr>
              <w:t xml:space="preserve">39.952,40 </w:t>
            </w:r>
          </w:p>
        </w:tc>
        <w:tc>
          <w:tcPr>
            <w:tcW w:type="dxa" w:w="1125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sz w:val="24"/>
                <w:szCs w:val="24"/>
              </w:rPr>
              <w:t>doprinosi za mirovinsko osiguranje</w:t>
            </w:r>
          </w:p>
        </w:tc>
        <w:tc>
          <w:tcPr>
            <w:tcW w:type="dxa" w:w="1023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sz w:val="24"/>
                <w:szCs w:val="24"/>
              </w:rPr>
              <w:t xml:space="preserve">39.952,40 </w:t>
            </w:r>
          </w:p>
        </w:tc>
        <w:tc>
          <w:tcPr>
            <w:tcW w:type="dxa" w:w="1419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sz w:val="24"/>
                <w:szCs w:val="24"/>
              </w:rPr>
              <w:t>doprinosi za mirovinsko osiguranje</w:t>
            </w:r>
          </w:p>
        </w:tc>
        <w:tc>
          <w:tcPr>
            <w:tcW w:type="dxa" w:w="1443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sz w:val="24"/>
                <w:szCs w:val="24"/>
              </w:rPr>
              <w:t>0.00</w:t>
            </w:r>
          </w:p>
        </w:tc>
        <w:tc>
          <w:tcPr>
            <w:tcW w:type="dxa" w:w="1840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19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0E73BC" w:rsidR="000E73BC" w:rsidRPr="006C3551">
        <w:trPr>
          <w:trHeight w:val="697"/>
        </w:trPr>
        <w:tc>
          <w:tcPr>
            <w:tcW w:type="dxa" w:w="425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846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UKUPNO:</w:t>
            </w:r>
          </w:p>
        </w:tc>
        <w:tc>
          <w:tcPr>
            <w:tcW w:type="dxa" w:w="1387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143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106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sz w:val="24"/>
                <w:szCs w:val="24"/>
              </w:rPr>
              <w:fldChar w:fldCharType="begin"/>
            </w:r>
            <w:r w:rsidRPr="006C3551">
              <w:rPr>
                <w:rFonts w:cs="Times New Roman" w:hAnsi="Times New Roman" w:ascii="Times New Roman"/>
                <w:sz w:val="24"/>
                <w:szCs w:val="24"/>
              </w:rPr>
              <w:instrText xml:space="preserve"> =SUM(ABOVE) </w:instrText>
            </w:r>
            <w:r w:rsidRPr="006C3551">
              <w:rPr>
                <w:rFonts w:cs="Times New Roman" w:hAnsi="Times New Roman" w:ascii="Times New Roman"/>
                <w:sz w:val="24"/>
                <w:szCs w:val="24"/>
              </w:rPr>
              <w:fldChar w:fldCharType="separate"/>
            </w:r>
            <w:r w:rsidRPr="006C3551">
              <w:rPr>
                <w:rFonts w:cs="Times New Roman" w:hAnsi="Times New Roman" w:ascii="Times New Roman"/>
                <w:noProof/>
                <w:sz w:val="24"/>
                <w:szCs w:val="24"/>
              </w:rPr>
              <w:t>39.952,4</w:t>
            </w:r>
            <w:r w:rsidRPr="006C3551">
              <w:rPr>
                <w:rFonts w:cs="Times New Roman" w:hAnsi="Times New Roman" w:ascii="Times New Roman"/>
                <w:sz w:val="24"/>
                <w:szCs w:val="24"/>
              </w:rPr>
              <w:fldChar w:fldCharType="end"/>
            </w:r>
            <w:r w:rsidR="00C861A0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125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023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sz w:val="24"/>
                <w:szCs w:val="24"/>
              </w:rPr>
              <w:fldChar w:fldCharType="begin"/>
            </w:r>
            <w:r w:rsidRPr="006C3551">
              <w:rPr>
                <w:rFonts w:cs="Times New Roman" w:hAnsi="Times New Roman" w:ascii="Times New Roman"/>
                <w:sz w:val="24"/>
                <w:szCs w:val="24"/>
              </w:rPr>
              <w:instrText xml:space="preserve"> =SUM(ABOVE) </w:instrText>
            </w:r>
            <w:r w:rsidRPr="006C3551">
              <w:rPr>
                <w:rFonts w:cs="Times New Roman" w:hAnsi="Times New Roman" w:ascii="Times New Roman"/>
                <w:sz w:val="24"/>
                <w:szCs w:val="24"/>
              </w:rPr>
              <w:fldChar w:fldCharType="separate"/>
            </w:r>
            <w:r w:rsidRPr="006C3551">
              <w:rPr>
                <w:rFonts w:cs="Times New Roman" w:hAnsi="Times New Roman" w:ascii="Times New Roman"/>
                <w:noProof/>
                <w:sz w:val="24"/>
                <w:szCs w:val="24"/>
              </w:rPr>
              <w:t>39.952,4</w:t>
            </w:r>
            <w:r w:rsidRPr="006C3551">
              <w:rPr>
                <w:rFonts w:cs="Times New Roman" w:hAnsi="Times New Roman" w:ascii="Times New Roman"/>
                <w:sz w:val="24"/>
                <w:szCs w:val="24"/>
              </w:rPr>
              <w:fldChar w:fldCharType="end"/>
            </w:r>
            <w:r w:rsidR="00C861A0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419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43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6C3551">
              <w:rPr>
                <w:rFonts w:cs="Times New Roman" w:hAnsi="Times New Roman" w:ascii="Times New Roman"/>
                <w:sz w:val="24"/>
                <w:szCs w:val="24"/>
              </w:rPr>
              <w:fldChar w:fldCharType="begin"/>
            </w:r>
            <w:r w:rsidRPr="006C3551">
              <w:rPr>
                <w:rFonts w:cs="Times New Roman" w:hAnsi="Times New Roman" w:ascii="Times New Roman"/>
                <w:sz w:val="24"/>
                <w:szCs w:val="24"/>
              </w:rPr>
              <w:instrText xml:space="preserve"> =SUM(ABOVE) </w:instrText>
            </w:r>
            <w:r w:rsidRPr="006C3551">
              <w:rPr>
                <w:rFonts w:cs="Times New Roman" w:hAnsi="Times New Roman" w:ascii="Times New Roman"/>
                <w:sz w:val="24"/>
                <w:szCs w:val="24"/>
              </w:rPr>
              <w:fldChar w:fldCharType="separate"/>
            </w:r>
            <w:r w:rsidRPr="006C3551">
              <w:rPr>
                <w:rFonts w:cs="Times New Roman" w:hAnsi="Times New Roman" w:ascii="Times New Roman"/>
                <w:noProof/>
                <w:sz w:val="24"/>
                <w:szCs w:val="24"/>
              </w:rPr>
              <w:t>0</w:t>
            </w:r>
            <w:r w:rsidRPr="006C3551">
              <w:rPr>
                <w:rFonts w:cs="Times New Roman" w:hAnsi="Times New Roman" w:ascii="Times New Roman"/>
                <w:sz w:val="24"/>
                <w:szCs w:val="24"/>
              </w:rPr>
              <w:fldChar w:fldCharType="end"/>
            </w:r>
            <w:r w:rsidRPr="006C355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  <w:tc>
          <w:tcPr>
            <w:tcW w:type="dxa" w:w="1840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9"/>
            <w:shd w:fill="auto" w:color="auto" w:val="clear"/>
            <w:tcMar>
              <w:left w:type="dxa" w:w="19"/>
            </w:tcMar>
          </w:tcPr>
          <w:p w:rsidRDefault="000E73BC" w:rsidP="0046220F" w:rsidR="000E73BC" w:rsidRPr="006C355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:rsidRDefault="006C3551" w:rsidP="006C3551" w:rsidR="006C3551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0E73BC" w:rsidP="006C3551" w:rsidR="000E73BC" w:rsidRPr="006C3551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C3551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0E73BC" w:rsidP="006C3551" w:rsidR="000E73BC" w:rsidRPr="006C3551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C3551">
        <w:rPr>
          <w:rFonts w:cs="Times New Roman" w:hAnsi="Times New Roman" w:ascii="Times New Roman"/>
          <w:sz w:val="24"/>
          <w:szCs w:val="24"/>
        </w:rPr>
        <w:t>Irena Kelava</w:t>
      </w:r>
    </w:p>
    <w:sectPr w:rsidSect="000E73BC" w:rsidR="000E73BC" w:rsidRPr="006C3551">
      <w:pgSz w:orient="landscape" w:h="11906" w:w="16838"/>
      <w:pgMar w:gutter="0" w:footer="0" w:header="0" w:left="1417" w:bottom="1417" w:right="1417" w:top="709"/>
      <w:cols w:space="720"/>
      <w:formProt w:val="false"/>
      <w:docGrid w:charSpace="-2049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A01"/>
    <w:rsid w:val="000B0CBC"/>
    <w:rsid w:val="000E73BC"/>
    <w:rsid w:val="00297C25"/>
    <w:rsid w:val="004B246D"/>
    <w:rsid w:val="006C3551"/>
    <w:rsid w:val="00B96A01"/>
    <w:rsid w:val="00C8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" w:eastAsia="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Heading" w:type="paragraph">
    <w:name w:val="Heading"/>
    <w:basedOn w:val="Normal"/>
    <w:next w:val="Tijeloteksta"/>
    <w:qFormat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x" w:type="paragraph">
    <w:name w:val="Index"/>
    <w:basedOn w:val="Normal"/>
    <w:qFormat/>
    <w:pPr>
      <w:suppressLineNumbers/>
    </w:pPr>
    <w:rPr>
      <w:rFonts w:cs="Arial"/>
    </w:rPr>
  </w:style>
  <w:style w:styleId="Reetkatablice" w:type="table">
    <w:name w:val="Table Grid"/>
    <w:basedOn w:val="Obinatablica"/>
    <w:uiPriority w:val="39"/>
    <w:rsid w:val="000E73BC"/>
    <w:rPr>
      <w:sz w:val="20"/>
      <w:lang w:val="en-GB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0C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C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CB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C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C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Heading" w:type="paragraph">
    <w:name w:val="Heading"/>
    <w:basedOn w:val="Normal"/>
    <w:next w:val="Tijeloteksta"/>
    <w:qFormat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x" w:type="paragraph">
    <w:name w:val="Index"/>
    <w:basedOn w:val="Normal"/>
    <w:qFormat/>
    <w:pPr>
      <w:suppressLineNumbers/>
    </w:pPr>
    <w:rPr>
      <w:rFonts w:cs="Arial"/>
    </w:rPr>
  </w:style>
  <w:style w:styleId="Reetkatablice" w:type="table">
    <w:name w:val="Table Grid"/>
    <w:basedOn w:val="Obinatablica"/>
    <w:uiPriority w:val="39"/>
    <w:rsid w:val="000E73BC"/>
    <w:rPr>
      <w:sz w:val="20"/>
      <w:lang w:val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0C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C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CB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C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C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vjerovnici I. višeg isplatnog reda</izvorni_sadrzaj>
    <derivirana_varijabla naziv="DomainObject.Primjedba_1">vjerovnici I. višeg isplatnog reda</derivirana_varijabla>
  </DomainObject.Primjedba>
  <DomainObject.Oznaka>
    <izvorni_sadrzaj>St-5781/2016-41</izvorni_sadrzaj>
    <derivirana_varijabla naziv="DomainObject.Oznaka_1">St-5781/2016-41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5781</izvorni_sadrzaj>
    <derivirana_varijabla naziv="DomainObject.Predmet.Broj_1">5781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St-5781/2016</izvorni_sadrzaj>
    <derivirana_varijabla naziv="DomainObject.Predmet.OznakaBroj_1">St-5781/2016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PRO-HOR d.o.o.</izvorni_sadrzaj>
    <derivirana_varijabla naziv="DomainObject.Predmet.ProtustrankaFormated_1">  PRO-HOR d.o.o.</derivirana_varijabla>
  </DomainObject.Predmet.ProtustrankaFormated>
  <DomainObject.Predmet.ProtustrankaFormatedOIB>
    <izvorni_sadrzaj>  PRO-HOR d.o.o., OIB 25364250344</izvorni_sadrzaj>
    <derivirana_varijabla naziv="DomainObject.Predmet.ProtustrankaFormatedOIB_1">  PRO-HOR d.o.o., OIB 25364250344</derivirana_varijabla>
  </DomainObject.Predmet.ProtustrankaFormatedOIB>
  <DomainObject.Predmet.ProtustrankaFormatedWithAdress>
    <izvorni_sadrzaj> PRO-HOR d.o.o., Bolnička cesta 51/1, 10000 Zagreb</izvorni_sadrzaj>
    <derivirana_varijabla naziv="DomainObject.Predmet.ProtustrankaFormatedWithAdress_1"> PRO-HOR d.o.o., Bolnička cesta 51/1, 10000 Zagreb</derivirana_varijabla>
  </DomainObject.Predmet.ProtustrankaFormatedWithAdress>
  <DomainObject.Predmet.ProtustrankaFormatedWithAdressOIB>
    <izvorni_sadrzaj> PRO-HOR d.o.o., OIB 25364250344, Bolnička cesta 51/1, 10000 Zagreb</izvorni_sadrzaj>
    <derivirana_varijabla naziv="DomainObject.Predmet.ProtustrankaFormatedWithAdressOIB_1"> PRO-HOR d.o.o., OIB 25364250344, Bolnička cesta 51/1, 10000 Zagreb</derivirana_varijabla>
  </DomainObject.Predmet.ProtustrankaFormatedWithAdressOIB>
  <DomainObject.Predmet.ProtustrankaWithAdress>
    <izvorni_sadrzaj>PRO-HOR d.o.o. Bolnička cesta 51/1, 10000 Zagreb</izvorni_sadrzaj>
    <derivirana_varijabla naziv="DomainObject.Predmet.ProtustrankaWithAdress_1">PRO-HOR d.o.o. Bolnička cesta 51/1, 10000 Zagreb</derivirana_varijabla>
  </DomainObject.Predmet.ProtustrankaWithAdress>
  <DomainObject.Predmet.ProtustrankaWithAdressOIB>
    <izvorni_sadrzaj>PRO-HOR d.o.o., OIB 25364250344, Bolnička cesta 51/1, 10000 Zagreb</izvorni_sadrzaj>
    <derivirana_varijabla naziv="DomainObject.Predmet.ProtustrankaWithAdressOIB_1">PRO-HOR d.o.o., OIB 25364250344, Bolnička cesta 51/1, 10000 Zagreb</derivirana_varijabla>
  </DomainObject.Predmet.ProtustrankaWithAdressOIB>
  <DomainObject.Predmet.ProtustrankaNazivFormated>
    <izvorni_sadrzaj>PRO-HOR d.o.o.</izvorni_sadrzaj>
    <derivirana_varijabla naziv="DomainObject.Predmet.ProtustrankaNazivFormated_1">PRO-HOR d.o.o.</derivirana_varijabla>
  </DomainObject.Predmet.ProtustrankaNazivFormated>
  <DomainObject.Predmet.ProtustrankaNazivFormatedOIB>
    <izvorni_sadrzaj>PRO-HOR d.o.o., OIB 25364250344</izvorni_sadrzaj>
    <derivirana_varijabla naziv="DomainObject.Predmet.ProtustrankaNazivFormatedOIB_1">PRO-HOR d.o.o., OIB 25364250344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Region Gleisdorf eGen</izvorni_sadrzaj>
    <derivirana_varijabla naziv="DomainObject.Predmet.StrankaFormated_1">  FINA Regionalni centar Zagreb; Raiffeisenbank Region Gleisdorf eGen</derivirana_varijabla>
  </DomainObject.Predmet.StrankaFormated>
  <DomainObject.Predmet.StrankaFormatedOIB>
    <izvorni_sadrzaj>  FINA Regionalni centar Zagreb, OIB 85821130368; Raiffeisenbank Region Gleisdorf eGen, OIB 66752856492</izvorni_sadrzaj>
    <derivirana_varijabla naziv="DomainObject.Predmet.StrankaFormatedOIB_1">  FINA Regionalni centar Zagreb, OIB 85821130368; Raiffeisenbank Region Gleisdorf eGen, OIB 66752856492</derivirana_varijabla>
  </DomainObject.Predmet.StrankaFormatedOIB>
  <DomainObject.Predmet.StrankaFormatedWithAdress>
    <izvorni_sadrzaj> FINA Regionalni centar Zagreb, Trg svibanjskih žrtava  1995. 1, 10000 Zagreb; Raiffeisenbank Region Gleisdorf eGen, Florianiplatz 18-19, Gleistdorf</izvorni_sadrzaj>
    <derivirana_varijabla naziv="DomainObject.Predmet.StrankaFormatedWithAdress_1"> FINA Regionalni centar Zagreb, Trg svibanjskih žrtava  1995. 1, 10000 Zagreb; Raiffeisenbank Region Gleisdorf eGen, Florianiplatz 18-19, Gleistdorf</derivirana_varijabla>
  </DomainObject.Predmet.StrankaFormatedWithAdress>
  <DomainObject.Predmet.StrankaFormatedWithAdressOIB>
    <izvorni_sadrzaj> FINA Regionalni centar Zagreb, OIB 85821130368, Trg svibanjskih žrtava  1995. 1, 10000 Zagreb; Raiffeisenbank Region Gleisdorf eGen, OIB 66752856492, Florianiplatz 18-19, Gleistdorf</izvorni_sadrzaj>
    <derivirana_varijabla naziv="DomainObject.Predmet.StrankaFormatedWithAdressOIB_1"> FINA Regionalni centar Zagreb, OIB 85821130368, Trg svibanjskih žrtava  1995. 1, 10000 Zagreb; Raiffeisenbank Region Gleisdorf eGen, OIB 66752856492, Florianiplatz 18-19, Gleistdorf</derivirana_varijabla>
  </DomainObject.Predmet.StrankaFormatedWithAdressOIB>
  <DomainObject.Predmet.StrankaWithAdress>
    <izvorni_sadrzaj>FINA Regionalni centar Zagreb Trg svibanjskih žrtava  1995. 1,10000 Zagreb,Raiffeisenbank Region Gleisdorf eGen Florianiplatz 18-19,Gleistdorf</izvorni_sadrzaj>
    <derivirana_varijabla naziv="DomainObject.Predmet.StrankaWithAdress_1">FINA Regionalni centar Zagreb Trg svibanjskih žrtava  1995. 1,10000 Zagreb,Raiffeisenbank Region Gleisdorf eGen Florianiplatz 18-19,Gleistdorf</derivirana_varijabla>
  </DomainObject.Predmet.StrankaWithAdress>
  <DomainObject.Predmet.StrankaWithAdressOIB>
    <izvorni_sadrzaj>FINA Regionalni centar Zagreb, OIB 85821130368, Trg svibanjskih žrtava  1995. 1,10000 Zagreb,Raiffeisenbank Region Gleisdorf eGen, OIB 66752856492, Florianiplatz 18-19,Gleistdorf</izvorni_sadrzaj>
    <derivirana_varijabla naziv="DomainObject.Predmet.StrankaWithAdressOIB_1">FINA Regionalni centar Zagreb, OIB 85821130368, Trg svibanjskih žrtava  1995. 1,10000 Zagreb,Raiffeisenbank Region Gleisdorf eGen, OIB 66752856492, Florianiplatz 18-19,Gleistdorf</derivirana_varijabla>
  </DomainObject.Predmet.StrankaWithAdressOIB>
  <DomainObject.Predmet.StrankaNazivFormated>
    <izvorni_sadrzaj>FINA Regionalni centar Zagreb,Raiffeisenbank Region Gleisdorf eGen</izvorni_sadrzaj>
    <derivirana_varijabla naziv="DomainObject.Predmet.StrankaNazivFormated_1">FINA Regionalni centar Zagreb,Raiffeisenbank Region Gleisdorf eGen</derivirana_varijabla>
  </DomainObject.Predmet.StrankaNazivFormated>
  <DomainObject.Predmet.StrankaNazivFormatedOIB>
    <izvorni_sadrzaj>FINA Regionalni centar Zagreb, OIB 85821130368,Raiffeisenbank Region Gleisdorf eGen, OIB 66752856492</izvorni_sadrzaj>
    <derivirana_varijabla naziv="DomainObject.Predmet.StrankaNazivFormatedOIB_1">FINA Regionalni centar Zagreb, OIB 85821130368,Raiffeisenbank Region Gleisdorf eGen, OIB 66752856492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Raiffeisenbank Region Gleisdorf eGen</item>
    </izvorni_sadrzaj>
    <derivirana_varijabla naziv="DomainObject.Predmet.StrankaListFormated_1">
      <item>FINA Regionalni centar Zagreb</item>
      <item>Raiffeisenbank Region Gleisdorf eGen</item>
    </derivirana_varijabla>
  </DomainObject.Predmet.StrankaListFormated>
  <DomainObject.Predmet.StrankaListFormatedOIB>
    <izvorni_sadrzaj>
      <item>FINA Regionalni centar Zagreb, OIB 85821130368</item>
      <item>Raiffeisenbank Region Gleisdorf eGen, OIB 66752856492</item>
    </izvorni_sadrzaj>
    <derivirana_varijabla naziv="DomainObject.Predmet.StrankaListFormatedOIB_1">
      <item>FINA Regionalni centar Zagreb, OIB 85821130368</item>
      <item>Raiffeisenbank Region Gleisdorf eGen, OIB 66752856492</item>
    </derivirana_varijabla>
  </DomainObject.Predmet.StrankaListFormatedOIB>
  <DomainObject.Predmet.StrankaListFormatedWithAdress>
    <izvorni_sadrzaj>
      <item>FINA Regionalni centar Zagreb, Trg svibanjskih žrtava  1995. 1, 10000 Zagreb</item>
      <item>Raiffeisenbank Region Gleisdorf eGen, Florianiplatz 18-19, Gleistdorf</item>
    </izvorni_sadrzaj>
    <derivirana_varijabla naziv="DomainObject.Predmet.StrankaListFormatedWithAdress_1">
      <item>FINA Regionalni centar Zagreb, Trg svibanjskih žrtava  1995. 1, 10000 Zagreb</item>
      <item>Raiffeisenbank Region Gleisdorf eGen, Florianiplatz 18-19, Gleistdorf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Raiffeisenbank Region Gleisdorf eGen, OIB 66752856492, Florianiplatz 18-19, Gleistdorf</item>
    </izvorni_sadrzaj>
    <derivirana_varijabla naziv="DomainObject.Predmet.StrankaListFormatedWithAdressOIB_1">
      <item>FINA Regionalni centar Zagreb, OIB 85821130368, Trg svibanjskih žrtava  1995. 1, 10000 Zagreb</item>
      <item>Raiffeisenbank Region Gleisdorf eGen, OIB 66752856492, Florianiplatz 18-19, Gleistdorf</item>
    </derivirana_varijabla>
  </DomainObject.Predmet.StrankaListFormatedWithAdressOIB>
  <DomainObject.Predmet.StrankaListNazivFormated>
    <izvorni_sadrzaj>
      <item>FINA Regionalni centar Zagreb</item>
      <item>Raiffeisenbank Region Gleisdorf eGen</item>
    </izvorni_sadrzaj>
    <derivirana_varijabla naziv="DomainObject.Predmet.StrankaListNazivFormated_1">
      <item>FINA Regionalni centar Zagreb</item>
      <item>Raiffeisenbank Region Gleisdorf eGen</item>
    </derivirana_varijabla>
  </DomainObject.Predmet.StrankaListNazivFormated>
  <DomainObject.Predmet.StrankaListNazivFormatedOIB>
    <izvorni_sadrzaj>
      <item>FINA Regionalni centar Zagreb, OIB 85821130368</item>
      <item>Raiffeisenbank Region Gleisdorf eGen, OIB 66752856492</item>
    </izvorni_sadrzaj>
    <derivirana_varijabla naziv="DomainObject.Predmet.StrankaListNazivFormatedOIB_1">
      <item>FINA Regionalni centar Zagreb, OIB 85821130368</item>
      <item>Raiffeisenbank Region Gleisdorf eGen, OIB 66752856492</item>
    </derivirana_varijabla>
  </DomainObject.Predmet.StrankaListNazivFormatedOIB>
  <DomainObject.Predmet.ProtuStrankaListFormated>
    <izvorni_sadrzaj>
      <item>PRO-HOR d.o.o.</item>
    </izvorni_sadrzaj>
    <derivirana_varijabla naziv="DomainObject.Predmet.ProtuStrankaListFormated_1">
      <item>PRO-HOR d.o.o.</item>
    </derivirana_varijabla>
  </DomainObject.Predmet.ProtuStrankaListFormated>
  <DomainObject.Predmet.ProtuStrankaListFormatedOIB>
    <izvorni_sadrzaj>
      <item>PRO-HOR d.o.o., OIB 25364250344</item>
    </izvorni_sadrzaj>
    <derivirana_varijabla naziv="DomainObject.Predmet.ProtuStrankaListFormatedOIB_1">
      <item>PRO-HOR d.o.o., OIB 25364250344</item>
    </derivirana_varijabla>
  </DomainObject.Predmet.ProtuStrankaListFormatedOIB>
  <DomainObject.Predmet.ProtuStrankaListFormatedWithAdress>
    <izvorni_sadrzaj>
      <item>PRO-HOR d.o.o., Bolnička cesta 51/1, 10000 Zagreb</item>
    </izvorni_sadrzaj>
    <derivirana_varijabla naziv="DomainObject.Predmet.ProtuStrankaListFormatedWithAdress_1">
      <item>PRO-HOR d.o.o., Bolnička cesta 51/1, 10000 Zagreb</item>
    </derivirana_varijabla>
  </DomainObject.Predmet.ProtuStrankaListFormatedWithAdress>
  <DomainObject.Predmet.ProtuStrankaListFormatedWithAdressOIB>
    <izvorni_sadrzaj>
      <item>PRO-HOR d.o.o., OIB 25364250344, Bolnička cesta 51/1, 10000 Zagreb</item>
    </izvorni_sadrzaj>
    <derivirana_varijabla naziv="DomainObject.Predmet.ProtuStrankaListFormatedWithAdressOIB_1">
      <item>PRO-HOR d.o.o., OIB 25364250344, Bolnička cesta 51/1, 10000 Zagreb</item>
    </derivirana_varijabla>
  </DomainObject.Predmet.ProtuStrankaListFormatedWithAdressOIB>
  <DomainObject.Predmet.ProtuStrankaListNazivFormated>
    <izvorni_sadrzaj>
      <item>PRO-HOR d.o.o.</item>
    </izvorni_sadrzaj>
    <derivirana_varijabla naziv="DomainObject.Predmet.ProtuStrankaListNazivFormated_1">
      <item>PRO-HOR d.o.o.</item>
    </derivirana_varijabla>
  </DomainObject.Predmet.ProtuStrankaListNazivFormated>
  <DomainObject.Predmet.ProtuStrankaListNazivFormatedOIB>
    <izvorni_sadrzaj>
      <item>PRO-HOR d.o.o., OIB 25364250344</item>
    </izvorni_sadrzaj>
    <derivirana_varijabla naziv="DomainObject.Predmet.ProtuStrankaListNazivFormatedOIB_1">
      <item>PRO-HOR d.o.o., OIB 25364250344</item>
    </derivirana_varijabla>
  </DomainObject.Predmet.ProtuStrankaListNazivFormatedOIB>
  <DomainObject.Predmet.OstaliList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Formated_1">
      <item>Odvjetničko društvo Šuster, Šverko, Filipović društvo s ograničenom odgovornošću</item>
      <item>Ilija Lasić</item>
      <item>Irena Kelava</item>
    </derivirana_varijabla>
  </DomainObject.Predmet.OstaliListFormated>
  <DomainObject.Predmet.OstaliList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FormatedOIB>
  <DomainObject.Predmet.OstaliListFormatedWithAdress>
    <izvorni_sadrzaj>
      <item>Odvjetničko društvo Šuster, Šverko, Filipović društvo s ograničenom odgovornošću, Poljička 5, 10000 Zagreb</item>
      <item>Ilija Lasić, Bolnička Cesta 512, 10000 Zagreb</item>
      <item>Irena Kelava, Gredička 23, 10000 Zagreb</item>
    </izvorni_sadrzaj>
    <derivirana_varijabla naziv="DomainObject.Predmet.OstaliListFormatedWithAdress_1">
      <item>Odvjetničko društvo Šuster, Šverko, Filipović društvo s ograničenom odgovornošću, Poljička 5, 10000 Zagreb</item>
      <item>Ilija Lasić, Bolnička Cesta 512, 10000 Zagreb</item>
      <item>Irena Kelava, Gredička 23, 10000 Zagreb</item>
    </derivirana_varijabla>
  </DomainObject.Predmet.OstaliListFormatedWithAdress>
  <DomainObject.Predmet.OstaliListFormatedWithAdressOIB>
    <izvorni_sadrzaj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izvorni_sadrzaj>
    <derivirana_varijabla naziv="DomainObject.Predmet.OstaliListFormatedWithAdressOIB_1"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derivirana_varijabla>
  </DomainObject.Predmet.OstaliListFormatedWithAdressOIB>
  <DomainObject.Predmet.OstaliListNaziv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NazivFormated_1">
      <item>Odvjetničko društvo Šuster, Šverko, Filipović društvo s ograničenom odgovornošću</item>
      <item>Ilija Lasić</item>
      <item>Irena Kelava</item>
    </derivirana_varijabla>
  </DomainObject.Predmet.OstaliListNazivFormated>
  <DomainObject.Predmet.OstaliListNaziv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Naziv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PRO-HOR d.o.o.</izvorni_sadrzaj>
    <derivirana_varijabla naziv="DomainObject.Predmet.ProtustrankaIDrugi_1">PRO-HOR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PRO-HOR d.o.o., OIB 25364250344, Bolnička cesta 51/1, 10000 Zagreb</izvorni_sadrzaj>
    <derivirana_varijabla naziv="DomainObject.Predmet.ProtustrankaIDrugiAdressOIB_1">PRO-HOR d.o.o., OIB 25364250344, Bolnička cesta 51/1,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</izvorni_sadrzaj>
    <derivirana_varijabla naziv="DomainObject.Predmet.SudioniciListNaziv_1"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</derivirana_varijabla>
  </DomainObject.Predmet.SudioniciListNaziv>
  <DomainObject.Predmet.SudioniciListAdressOIB>
    <izvorni_sadrzaj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</izvorni_sadrzaj>
    <derivirana_varijabla naziv="DomainObject.Predmet.SudioniciListAdressOIB_1"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25364250344</item>
      <item>, OIB 85821130368</item>
      <item>, OIB 74317650072</item>
      <item>, OIB 66752856492</item>
      <item>, OIB 69829660948</item>
      <item>, OIB 65378158056</item>
    </izvorni_sadrzaj>
    <derivirana_varijabla naziv="DomainObject.Predmet.SudioniciListNazivOIB_1">
      <item>, OIB 25364250344</item>
      <item>, OIB 85821130368</item>
      <item>, OIB 74317650072</item>
      <item>, OIB 66752856492</item>
      <item>, OIB 69829660948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1C78C4-646F-4596-8CBC-0864F7C562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101</properties:Words>
  <properties:Characters>664</properties:Characters>
  <properties:Lines>90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2017-05-30T13:34:00Z</dcterms:created>
  <dc:creator>irena</dc:creator>
  <dc:language>en-GB</dc:language>
  <cp:lastModifiedBy>Kristina Švajger</cp:lastModifiedBy>
  <dcterms:modified xmlns:xsi="http://www.w3.org/2001/XMLSchema-instance" xsi:type="dcterms:W3CDTF">2017-05-30T13:34:00Z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i4>0</vt:i4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St-5781/2016-41 / Podnesak - Popis vjerovnika</vt:lpwstr>
  </prop:property>
  <prop:property name="CC_coloring" pid="10" fmtid="{D5CDD505-2E9C-101B-9397-08002B2CF9AE}">
    <vt:bool>false</vt:bool>
  </prop:property>
  <prop:property name="BrojStranica" pid="11" fmtid="{D5CDD505-2E9C-101B-9397-08002B2CF9AE}">
    <vt:i4>1</vt:i4>
  </prop:property>
</prop:Properties>
</file>