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5aead" w14:paraId="9e5aead" w:rsidRDefault="00AE649C" w:rsidP="00FA5B5E" w:rsidR="00AE649C" w:rsidRPr="00B76F3C">
      <w:pPr>
        <w:pStyle w:val="Naslov3"/>
        <w15:collapsed w:val="false"/>
      </w:pPr>
    </w:p>
    <w:p w:rsidRDefault="009809C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809CC" w:rsidP="009809CC" w:rsidR="009809CC">
      <w:pPr>
        <w:jc w:val="right"/>
        <w:rPr>
          <w:rFonts w:hAnsi="Arial" w:ascii="Arial"/>
          <w:b/>
        </w:rPr>
      </w:pPr>
      <w:r>
        <w:rPr>
          <w:rFonts w:hAnsi="Arial" w:ascii="Arial"/>
        </w:rPr>
        <w:t xml:space="preserve">        7- </w:t>
      </w:r>
      <w:proofErr w:type="spellStart"/>
      <w:r>
        <w:rPr>
          <w:rFonts w:hAnsi="Arial" w:ascii="Arial"/>
        </w:rPr>
        <w:t>Stpn</w:t>
      </w:r>
      <w:proofErr w:type="spellEnd"/>
      <w:r>
        <w:rPr>
          <w:rFonts w:hAnsi="Arial" w:ascii="Arial"/>
        </w:rPr>
        <w:t>-33/2015-7.</w:t>
      </w:r>
    </w:p>
    <w:p w:rsidRDefault="009809CC" w:rsidP="009809CC" w:rsidR="009809CC">
      <w:pPr>
        <w:jc w:val="center"/>
        <w:rPr>
          <w:rFonts w:hAnsi="Arial" w:ascii="Arial"/>
          <w:b/>
        </w:rPr>
      </w:pPr>
    </w:p>
    <w:p w:rsidRDefault="009809CC" w:rsidP="009809CC" w:rsidR="009809CC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U  I M E  R E P U B L I K E  H R V  A T S K E</w:t>
      </w:r>
    </w:p>
    <w:p w:rsidRDefault="009809CC" w:rsidP="009809CC" w:rsidR="009809CC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9809CC" w:rsidP="009809CC" w:rsidR="009809CC">
      <w:pPr>
        <w:jc w:val="both"/>
        <w:rPr>
          <w:rFonts w:hAnsi="Arial" w:ascii="Arial"/>
        </w:rPr>
      </w:pPr>
    </w:p>
    <w:p w:rsidRDefault="009809CC" w:rsidP="009809CC" w:rsidR="009809CC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predmetu </w:t>
      </w:r>
      <w:proofErr w:type="spellStart"/>
      <w:r>
        <w:rPr>
          <w:rFonts w:hAnsi="Arial" w:ascii="Arial"/>
        </w:rPr>
        <w:t>predstečajne</w:t>
      </w:r>
      <w:proofErr w:type="spellEnd"/>
      <w:r>
        <w:rPr>
          <w:rFonts w:hAnsi="Arial" w:ascii="Arial"/>
        </w:rPr>
        <w:t xml:space="preserve"> nagodbe nad stečajnim dužnikom KOMUNALNO PODUZEĆE NOVA RAČA d.o.o. za proizvodnju, trgovinu i usluge iz Nove Rače, Trg Stjepana Radića 56, OIB 67222392621, dana 16. rujna 2015. godine </w:t>
      </w:r>
    </w:p>
    <w:p w:rsidRDefault="009809CC" w:rsidP="009809CC" w:rsidR="009809CC">
      <w:pPr>
        <w:jc w:val="both"/>
        <w:rPr>
          <w:rFonts w:hAnsi="Arial" w:ascii="Arial"/>
        </w:rPr>
      </w:pPr>
    </w:p>
    <w:p w:rsidRDefault="009809CC" w:rsidP="009809CC" w:rsidR="009809CC">
      <w:pPr>
        <w:jc w:val="center"/>
        <w:rPr>
          <w:rFonts w:hAnsi="Arial" w:ascii="Arial"/>
        </w:rPr>
      </w:pPr>
      <w:r>
        <w:rPr>
          <w:rFonts w:hAnsi="Arial" w:ascii="Arial"/>
          <w:b/>
        </w:rPr>
        <w:t>r i j e š i o   j e</w:t>
      </w:r>
    </w:p>
    <w:p w:rsidRDefault="009809CC" w:rsidP="009809CC" w:rsidR="009809CC">
      <w:pPr>
        <w:ind w:left="720"/>
        <w:jc w:val="both"/>
        <w:rPr>
          <w:rFonts w:hAnsi="Arial" w:ascii="Arial"/>
        </w:rPr>
      </w:pPr>
      <w:r>
        <w:rPr>
          <w:rFonts w:hAnsi="Arial" w:ascii="Arial"/>
        </w:rPr>
        <w:t xml:space="preserve">I. Ova </w:t>
      </w:r>
      <w:proofErr w:type="spellStart"/>
      <w:r>
        <w:rPr>
          <w:rFonts w:hAnsi="Arial" w:ascii="Arial"/>
        </w:rPr>
        <w:t>predstečajna</w:t>
      </w:r>
      <w:proofErr w:type="spellEnd"/>
      <w:r>
        <w:rPr>
          <w:rFonts w:hAnsi="Arial" w:ascii="Arial"/>
        </w:rPr>
        <w:t xml:space="preserve"> nagodba sklapa se između dužnika KOMUNALNO PODUZEĆE NOVA RAČA d.o.o. za proizvodnju, trgovinu i usluge iz Nove Rače, Trg Stjepana Radića 56, OIB 67222392621 i vjerovnika </w:t>
      </w:r>
      <w:proofErr w:type="spellStart"/>
      <w:r>
        <w:rPr>
          <w:rFonts w:hAnsi="Arial" w:ascii="Arial"/>
        </w:rPr>
        <w:t>predstečajne</w:t>
      </w:r>
      <w:proofErr w:type="spellEnd"/>
      <w:r>
        <w:rPr>
          <w:rFonts w:hAnsi="Arial" w:ascii="Arial"/>
        </w:rPr>
        <w:t xml:space="preserve"> nagodbe.</w:t>
      </w:r>
    </w:p>
    <w:p w:rsidRDefault="009809CC" w:rsidP="009809CC" w:rsidR="009809CC">
      <w:pPr>
        <w:ind w:left="720"/>
        <w:jc w:val="both"/>
        <w:rPr>
          <w:rFonts w:hAnsi="Arial" w:ascii="Arial"/>
        </w:rPr>
      </w:pPr>
      <w:r>
        <w:rPr>
          <w:rFonts w:hAnsi="Arial" w:ascii="Arial"/>
        </w:rPr>
        <w:t xml:space="preserve">II. Stranke suglasno utvrđuju da je nad dužnikom Rješenjem FINE od 31. ožujka 2015. godine, KLASA:UP-I/110/07/15-01/7570, </w:t>
      </w:r>
      <w:proofErr w:type="spellStart"/>
      <w:r>
        <w:rPr>
          <w:rFonts w:hAnsi="Arial" w:ascii="Arial"/>
        </w:rPr>
        <w:t>Ur.broj</w:t>
      </w:r>
      <w:proofErr w:type="spellEnd"/>
      <w:r>
        <w:rPr>
          <w:rFonts w:hAnsi="Arial" w:ascii="Arial"/>
        </w:rPr>
        <w:t xml:space="preserve">:04-06-15-7570-25, otvoren postupak </w:t>
      </w:r>
      <w:proofErr w:type="spellStart"/>
      <w:r>
        <w:rPr>
          <w:rFonts w:hAnsi="Arial" w:ascii="Arial"/>
        </w:rPr>
        <w:t>predstečajne</w:t>
      </w:r>
      <w:proofErr w:type="spellEnd"/>
      <w:r>
        <w:rPr>
          <w:rFonts w:hAnsi="Arial" w:ascii="Arial"/>
        </w:rPr>
        <w:t xml:space="preserve"> nagodbe.</w:t>
      </w:r>
    </w:p>
    <w:p w:rsidRDefault="009809CC" w:rsidP="009809CC" w:rsidR="009809CC">
      <w:pPr>
        <w:ind w:left="720"/>
        <w:jc w:val="both"/>
        <w:rPr>
          <w:rFonts w:hAnsi="Arial" w:ascii="Arial"/>
        </w:rPr>
      </w:pPr>
      <w:r>
        <w:rPr>
          <w:rFonts w:hAnsi="Arial" w:ascii="Arial"/>
        </w:rPr>
        <w:t>III. Stranke nadalje suglasno utvrđuju da je ukupan iznos prijavljenih tražbina prema prijavama vjerovnika 92.800,88 kuna, ukupan iznos utvrđenih tražbina 92.800,88 kuna, dok osporenih tražbina nema, a za Plan financijskog restrukturiranja glasovali su vjerovnici čije tražbine iznose 82.427,00 kuna odnosno čije tražbine iznose 88,82%  svih utvrđenih tražbina, te prelaze 2/3 vrijednosti svih utvrđenih tražbina.</w:t>
      </w:r>
    </w:p>
    <w:p w:rsidRDefault="009809CC" w:rsidP="009809CC" w:rsidR="009809CC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</w:t>
      </w:r>
      <w:r>
        <w:rPr>
          <w:rFonts w:hAnsi="Arial" w:ascii="Arial"/>
        </w:rPr>
        <w:tab/>
        <w:t>Dužnik se obvezuje navedene tražbine podmiriti na sljedeći način:</w:t>
      </w:r>
    </w:p>
    <w:p w:rsidRDefault="009809CC" w:rsidP="009809CC" w:rsidR="009809CC">
      <w:pPr>
        <w:pStyle w:val="Odlomakpopisa"/>
        <w:numPr>
          <w:ilvl w:val="0"/>
          <w:numId w:val="48"/>
        </w:numPr>
        <w:tabs>
          <w:tab w:pos="851" w:val="clear"/>
        </w:tabs>
        <w:spacing w:lineRule="auto" w:line="276" w:after="200"/>
        <w:contextualSpacing/>
        <w:rPr>
          <w:rFonts w:hAnsi="Calibri" w:ascii="Calibri"/>
          <w:sz w:val="26"/>
          <w:szCs w:val="26"/>
        </w:rPr>
      </w:pPr>
      <w:r>
        <w:rPr>
          <w:b/>
          <w:sz w:val="26"/>
          <w:szCs w:val="26"/>
        </w:rPr>
        <w:t>Grupa Tijela javne uprave i trgovačka društva u većinskom državnom vlasništvu</w:t>
      </w:r>
      <w:r>
        <w:rPr>
          <w:sz w:val="26"/>
          <w:szCs w:val="26"/>
        </w:rPr>
        <w:t xml:space="preserve"> – iznos tražbine za koju vjerovnici imaju pravo glasa iznosi 87.427,00 kuna, od čega je ukupan iznos glasova ZA 82.427,00 kuna, a ukupan iznos glasova protiv iznosi 5.000,00 kuna što znači da je ZA prihvaćanje Plana glasovalo 94,28%, a PROTIV Plana 5,72%</w:t>
      </w:r>
    </w:p>
    <w:p w:rsidRDefault="009809CC" w:rsidP="009809CC" w:rsidR="009809CC">
      <w:pPr>
        <w:pStyle w:val="Odlomakpopisa"/>
        <w:ind w:left="1440"/>
        <w:rPr>
          <w:sz w:val="26"/>
          <w:szCs w:val="26"/>
        </w:rPr>
      </w:pPr>
    </w:p>
    <w:p w:rsidRDefault="009809CC" w:rsidP="009809CC" w:rsidR="009809CC">
      <w:pPr>
        <w:pStyle w:val="Odlomakpopisa"/>
        <w:numPr>
          <w:ilvl w:val="0"/>
          <w:numId w:val="48"/>
        </w:numPr>
        <w:tabs>
          <w:tab w:pos="851" w:val="clear"/>
        </w:tabs>
        <w:spacing w:lineRule="auto" w:line="276" w:after="200"/>
        <w:contextualSpacing/>
        <w:rPr>
          <w:sz w:val="26"/>
          <w:szCs w:val="26"/>
        </w:rPr>
      </w:pPr>
      <w:r>
        <w:rPr>
          <w:b/>
          <w:sz w:val="26"/>
          <w:szCs w:val="26"/>
        </w:rPr>
        <w:lastRenderedPageBreak/>
        <w:t>Grupa Financijske institucije</w:t>
      </w:r>
      <w:r>
        <w:rPr>
          <w:sz w:val="26"/>
          <w:szCs w:val="26"/>
        </w:rPr>
        <w:t xml:space="preserve"> - iznos tražbine za koju vjerovnici imaju pravo glasa iznosi 646,94 kuna, od čega je ukupan iznos glasova ZA 0,00 kuna, a ukupan iznos glasova protiv iznosi 646,94 kuna što znači da je ZA prihvaćanje Plana glasovalo 0,00%, a PROTIV Plana 100,00%</w:t>
      </w:r>
    </w:p>
    <w:p w:rsidRDefault="009809CC" w:rsidP="009809CC" w:rsidR="009809CC">
      <w:pPr>
        <w:jc w:val="both"/>
        <w:rPr>
          <w:sz w:val="2"/>
          <w:szCs w:val="26"/>
        </w:rPr>
      </w:pPr>
    </w:p>
    <w:p w:rsidRDefault="009809CC" w:rsidP="009809CC" w:rsidR="009809CC">
      <w:pPr>
        <w:pStyle w:val="Odlomakpopisa"/>
        <w:numPr>
          <w:ilvl w:val="0"/>
          <w:numId w:val="48"/>
        </w:numPr>
        <w:tabs>
          <w:tab w:pos="851" w:val="clear"/>
        </w:tabs>
        <w:spacing w:lineRule="auto" w:line="276" w:after="200"/>
        <w:contextualSpacing/>
        <w:rPr>
          <w:sz w:val="26"/>
          <w:szCs w:val="26"/>
        </w:rPr>
      </w:pPr>
      <w:r>
        <w:rPr>
          <w:b/>
          <w:sz w:val="26"/>
          <w:szCs w:val="26"/>
        </w:rPr>
        <w:t>Grupa Ostali vjerovnici</w:t>
      </w:r>
      <w:r>
        <w:rPr>
          <w:sz w:val="26"/>
          <w:szCs w:val="26"/>
        </w:rPr>
        <w:t xml:space="preserve"> – iznos tražbine za koju vjerovnici imaju pravo glasa iznosi 4.726,94 kuna, od čega je ukupan iznos glasova ZA 0,00 kuna, a ukupan iznos glasova protiv iznosi 4.726,94 kuna što znači da je ZA prihvaćanje Plana glasovalo 0,00%, a PROTIV Plana 100,00%</w:t>
      </w:r>
    </w:p>
    <w:p w:rsidRDefault="009809CC" w:rsidP="009809CC" w:rsidR="009809CC">
      <w:pPr>
        <w:pStyle w:val="Odlomakpopisa"/>
        <w:ind w:left="1440"/>
        <w:rPr>
          <w:sz w:val="26"/>
          <w:szCs w:val="26"/>
        </w:rPr>
      </w:pPr>
    </w:p>
    <w:p w:rsidRDefault="009809CC" w:rsidP="009809CC" w:rsidR="009809CC">
      <w:pPr>
        <w:pStyle w:val="Odlomakpopisa"/>
        <w:numPr>
          <w:ilvl w:val="0"/>
          <w:numId w:val="48"/>
        </w:numPr>
        <w:tabs>
          <w:tab w:pos="851" w:val="clear"/>
        </w:tabs>
        <w:spacing w:lineRule="auto" w:line="276" w:after="200"/>
        <w:contextualSpacing/>
        <w:rPr>
          <w:sz w:val="26"/>
          <w:szCs w:val="26"/>
        </w:rPr>
      </w:pPr>
      <w:r>
        <w:rPr>
          <w:b/>
          <w:sz w:val="26"/>
          <w:szCs w:val="26"/>
        </w:rPr>
        <w:t>UKUPAN OMJER GLASOVA</w:t>
      </w:r>
      <w:r>
        <w:rPr>
          <w:sz w:val="26"/>
          <w:szCs w:val="26"/>
        </w:rPr>
        <w:t xml:space="preserve"> – iznos tražbine za koju vjerovnici imaju pravo glasa je 92.800,88 kuna, od čega je ukupan iznos glasova ZA 82.427,00 kuna, a ukupan iznos glasova protiv iznosi 10.373,88 kn što znači da je ZA prihvaćanje Plana glasovalo 88,82%, a PROTIV Plana 11,18%</w:t>
      </w:r>
    </w:p>
    <w:p w:rsidRDefault="009809CC" w:rsidP="009809CC" w:rsidR="009809CC">
      <w:pPr>
        <w:pStyle w:val="Odlomakpopisa"/>
        <w:rPr>
          <w:sz w:val="26"/>
          <w:szCs w:val="26"/>
        </w:rPr>
      </w:pPr>
    </w:p>
    <w:p w:rsidRDefault="009809CC" w:rsidP="009809CC" w:rsidR="009809C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S obzirom da su za Plan financijskog restrukturiranja glasovali vjerovnici čije tražbine iznose 88,82% svih utvrđenih tražbina odnosno da su za Plan financijskog restrukturiranja glasovali vjerovnici čije tražbine prelaze 2/3 vrijednosti svih utvrđenih tražbina, </w:t>
      </w:r>
      <w:r>
        <w:rPr>
          <w:b/>
          <w:sz w:val="26"/>
          <w:szCs w:val="26"/>
        </w:rPr>
        <w:t>Plan financijskog restrukturiranja smatra se prihvaćenim</w:t>
      </w:r>
      <w:r>
        <w:rPr>
          <w:sz w:val="26"/>
          <w:szCs w:val="26"/>
        </w:rPr>
        <w:t>.</w:t>
      </w:r>
    </w:p>
    <w:p w:rsidRDefault="009809CC" w:rsidP="009809CC" w:rsidR="009809C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S obzirom na rezultate glasovanja Nagodbeno vijeće je konstatiralo da se Izmijenjeni Plan financijskog restrukturiranja za dužnika </w:t>
      </w:r>
      <w:r>
        <w:rPr>
          <w:rFonts w:cs="Calibri" w:hAnsi="Cambria" w:ascii="Cambria"/>
          <w:b/>
        </w:rPr>
        <w:t>KOMUNALNO PODUZEĆE NOVA RAČA  d.o.o.</w:t>
      </w:r>
      <w:r>
        <w:rPr>
          <w:sz w:val="26"/>
          <w:szCs w:val="26"/>
        </w:rPr>
        <w:t xml:space="preserve"> smatra prihvaćenim, budući da su za njega glasovali vjerovnici čiji glasovi sukladno članku 63. st. 2. Zakona predstavljaju 88,82%, vrijednosti od ukupno utvrđenih tražbina svih vjerovnika, odnosno onih vjerovnika čije tražbine prelaze 2/3 vrijednosti svih utvrđenih tražbina i uputilo dužnika da u roku od 15 dana od izvršnosti Rješenja podnese nadležnom Trgovačkom sudu Prijedlog za sklapanje </w:t>
      </w:r>
      <w:proofErr w:type="spellStart"/>
      <w:r>
        <w:rPr>
          <w:sz w:val="26"/>
          <w:szCs w:val="26"/>
        </w:rPr>
        <w:t>predstečajne</w:t>
      </w:r>
      <w:proofErr w:type="spellEnd"/>
      <w:r>
        <w:rPr>
          <w:sz w:val="26"/>
          <w:szCs w:val="26"/>
        </w:rPr>
        <w:t xml:space="preserve"> nagodbe.</w:t>
      </w:r>
    </w:p>
    <w:p w:rsidRDefault="009809CC" w:rsidP="009809CC" w:rsidR="009809CC">
      <w:pPr>
        <w:pStyle w:val="Odlomakpopisa"/>
        <w:numPr>
          <w:ilvl w:val="0"/>
          <w:numId w:val="50"/>
        </w:numPr>
        <w:tabs>
          <w:tab w:pos="851" w:val="clear"/>
        </w:tabs>
        <w:spacing w:lineRule="auto" w:line="276" w:after="200"/>
        <w:contextualSpacing/>
        <w:rPr>
          <w:b/>
          <w:sz w:val="26"/>
          <w:szCs w:val="26"/>
        </w:rPr>
      </w:pPr>
      <w:r>
        <w:rPr>
          <w:sz w:val="26"/>
          <w:szCs w:val="26"/>
        </w:rPr>
        <w:t xml:space="preserve">Prihvaćenim Planom financijskog restrukturiranja dužnik je predložio, a vjerovnici pristali i prihvatili da se svim vjerovnicima otpišu kamate, te da im dužnik </w:t>
      </w:r>
      <w:r>
        <w:rPr>
          <w:rFonts w:cs="Calibri" w:hAnsi="Cambria" w:ascii="Cambria"/>
          <w:b/>
        </w:rPr>
        <w:t xml:space="preserve">KOMUNALNO PODUZEĆE NOVA RAČA d.o.o. za proizvodnju, trgovinu i usluge, Trg Stjepana Radića 56, 43 272 Nova </w:t>
      </w:r>
      <w:proofErr w:type="spellStart"/>
      <w:r>
        <w:rPr>
          <w:rFonts w:cs="Calibri" w:hAnsi="Cambria" w:ascii="Cambria"/>
          <w:b/>
        </w:rPr>
        <w:t>Rača</w:t>
      </w:r>
      <w:proofErr w:type="spellEnd"/>
      <w:r>
        <w:rPr>
          <w:sz w:val="26"/>
          <w:szCs w:val="26"/>
        </w:rPr>
        <w:t>,</w:t>
      </w:r>
      <w:r>
        <w:rPr>
          <w:rFonts w:cs="Calibri" w:hAnsi="Cambria" w:ascii="Cambria"/>
          <w:b/>
        </w:rPr>
        <w:t xml:space="preserve"> OIB 67222392621, MBO: 010079301</w:t>
      </w:r>
      <w:r>
        <w:rPr>
          <w:rFonts w:cs="Calibri" w:hAnsi="Cambria" w:ascii="Cambria"/>
        </w:rPr>
        <w:t xml:space="preserve"> </w:t>
      </w:r>
      <w:r>
        <w:rPr>
          <w:sz w:val="26"/>
          <w:szCs w:val="26"/>
        </w:rPr>
        <w:t xml:space="preserve"> isplati dug u iznosima, rokovima i na način sukladno prihvaćenome Izmijenjenom planu financijskog restrukturiranja, a kako je nastavno iskazano u tabeli:</w:t>
      </w:r>
    </w:p>
    <w:p w:rsidRDefault="009809CC" w:rsidP="009809CC" w:rsidR="009809CC">
      <w:pPr>
        <w:pBdr>
          <w:bottom w:space="1" w:sz="4" w:color="auto" w:val="single"/>
        </w:pBd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I. GRUPA: TIJELA JAVNE UPRAVE I TRGOVAČKA DRUŠTVA U VEĆINSKOM DRŽAVNOM VLASNIŠTVU</w:t>
      </w:r>
    </w:p>
    <w:p w:rsidRDefault="009809CC" w:rsidP="009809CC" w:rsidR="009809CC">
      <w:pPr>
        <w:jc w:val="both"/>
        <w:rPr>
          <w:b/>
          <w:sz w:val="2"/>
          <w:szCs w:val="26"/>
        </w:rPr>
      </w:pPr>
    </w:p>
    <w:tbl>
      <w:tblPr>
        <w:tblW w:type="dxa" w:w="9340"/>
        <w:tblInd w:type="dxa" w:w="89"/>
        <w:tblLook w:val="04A0" w:noVBand="1" w:noHBand="0" w:lastColumn="0" w:firstColumn="1" w:lastRow="0" w:firstRow="1"/>
      </w:tblPr>
      <w:tblGrid>
        <w:gridCol w:w="621"/>
        <w:gridCol w:w="1555"/>
        <w:gridCol w:w="3524"/>
        <w:gridCol w:w="1315"/>
        <w:gridCol w:w="1113"/>
        <w:gridCol w:w="1400"/>
      </w:tblGrid>
      <w:tr w:rsidTr="009809CC" w:rsidR="009809CC">
        <w:trPr>
          <w:trHeight w:val="533"/>
        </w:trPr>
        <w:tc>
          <w:tcPr>
            <w:tcW w:type="dxa" w:w="44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CC0DA" w:color="auto" w:val="clear"/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>
              <w:rPr>
                <w:rFonts w:cs="Calibri" w:hAnsi="Calibri" w:ascii="Calibri"/>
                <w:b/>
                <w:bCs/>
                <w:color w:val="000000"/>
              </w:rPr>
              <w:t>RBR</w:t>
            </w:r>
          </w:p>
        </w:tc>
        <w:tc>
          <w:tcPr>
            <w:tcW w:type="dxa" w:w="136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CC0DA" w:color="auto" w:val="clear"/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>
              <w:rPr>
                <w:rFonts w:cs="Calibri" w:hAnsi="Calibri" w:ascii="Calibri"/>
                <w:b/>
                <w:bCs/>
                <w:color w:val="000000"/>
              </w:rPr>
              <w:t>OIB</w:t>
            </w:r>
          </w:p>
        </w:tc>
        <w:tc>
          <w:tcPr>
            <w:tcW w:type="dxa" w:w="390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CC0DA" w:color="auto" w:val="clear"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>
              <w:rPr>
                <w:rFonts w:cs="Calibri" w:hAnsi="Calibri" w:ascii="Calibri"/>
                <w:b/>
                <w:bCs/>
                <w:color w:val="000000"/>
              </w:rPr>
              <w:t>NAZIV VJEROVNIKA</w:t>
            </w:r>
          </w:p>
        </w:tc>
        <w:tc>
          <w:tcPr>
            <w:tcW w:type="dxa" w:w="118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CC0DA" w:color="auto" w:val="clear"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>
              <w:rPr>
                <w:rFonts w:cs="Calibri" w:hAnsi="Calibri" w:ascii="Calibri"/>
                <w:b/>
                <w:bCs/>
                <w:color w:val="000000"/>
              </w:rPr>
              <w:t>IZNOS UTVRĐENE TRAŽBINE</w:t>
            </w:r>
          </w:p>
        </w:tc>
        <w:tc>
          <w:tcPr>
            <w:tcW w:type="dxa" w:w="106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CC0DA" w:color="auto" w:val="clear"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>
              <w:rPr>
                <w:rFonts w:cs="Calibri" w:hAnsi="Calibri" w:ascii="Calibri"/>
                <w:b/>
                <w:bCs/>
                <w:color w:val="000000"/>
              </w:rPr>
              <w:t>OTPIS  KAMATA</w:t>
            </w:r>
          </w:p>
        </w:tc>
        <w:tc>
          <w:tcPr>
            <w:tcW w:type="dxa" w:w="140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CC0DA" w:color="auto" w:val="clear"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>
              <w:rPr>
                <w:rFonts w:cs="Calibri" w:hAnsi="Calibri" w:ascii="Calibri"/>
                <w:b/>
                <w:bCs/>
                <w:color w:val="000000"/>
              </w:rPr>
              <w:t>OSTAJE ZA OTPLATITI</w:t>
            </w:r>
          </w:p>
        </w:tc>
      </w:tr>
      <w:tr w:rsidTr="009809CC" w:rsidR="009809CC">
        <w:trPr>
          <w:trHeight w:val="533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9809CC" w:rsidR="009809CC">
        <w:trPr>
          <w:trHeight w:val="300"/>
        </w:trPr>
        <w:tc>
          <w:tcPr>
            <w:tcW w:type="dxa" w:w="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1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85821130368</w:t>
            </w:r>
          </w:p>
        </w:tc>
        <w:tc>
          <w:tcPr>
            <w:tcW w:type="dxa" w:w="3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FINANCIJSKA AGENCIJA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5.000,00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0,00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5.000,00</w:t>
            </w:r>
          </w:p>
        </w:tc>
      </w:tr>
      <w:tr w:rsidTr="009809CC" w:rsidR="009809CC">
        <w:trPr>
          <w:trHeight w:val="300"/>
        </w:trPr>
        <w:tc>
          <w:tcPr>
            <w:tcW w:type="dxa" w:w="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2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18683136487</w:t>
            </w:r>
          </w:p>
        </w:tc>
        <w:tc>
          <w:tcPr>
            <w:tcW w:type="dxa" w:w="3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Ministarstvo financija - POREZNA UPRAVA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82.427,00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7.655,78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74.771,22</w:t>
            </w:r>
          </w:p>
        </w:tc>
      </w:tr>
      <w:tr w:rsidTr="009809CC" w:rsidR="009809CC">
        <w:trPr>
          <w:trHeight w:val="435"/>
        </w:trPr>
        <w:tc>
          <w:tcPr>
            <w:tcW w:type="dxa" w:w="570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CC0DA" w:color="auto" w:val="clear"/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>
              <w:rPr>
                <w:rFonts w:cs="Calibri" w:hAnsi="Calibri" w:ascii="Calibri"/>
                <w:b/>
                <w:bCs/>
                <w:color w:val="000000"/>
              </w:rPr>
              <w:t>UKUPNO: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CC0DA" w:color="auto" w:val="clear"/>
            <w:noWrap/>
            <w:vAlign w:val="center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b/>
                <w:bCs/>
                <w:color w:val="000000"/>
              </w:rPr>
            </w:pPr>
            <w:r>
              <w:rPr>
                <w:rFonts w:cs="Calibri" w:hAnsi="Calibri" w:ascii="Calibri"/>
                <w:b/>
                <w:bCs/>
                <w:color w:val="000000"/>
              </w:rPr>
              <w:t>87.427,00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CC0DA" w:color="auto" w:val="clear"/>
            <w:noWrap/>
            <w:vAlign w:val="center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b/>
                <w:bCs/>
                <w:color w:val="000000"/>
              </w:rPr>
            </w:pPr>
            <w:r>
              <w:rPr>
                <w:rFonts w:cs="Calibri" w:hAnsi="Calibri" w:ascii="Calibri"/>
                <w:b/>
                <w:bCs/>
                <w:color w:val="000000"/>
              </w:rPr>
              <w:t>7.655,78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2A1C7" w:color="auto" w:val="clear"/>
            <w:noWrap/>
            <w:vAlign w:val="center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79.771,22</w:t>
            </w:r>
          </w:p>
        </w:tc>
      </w:tr>
    </w:tbl>
    <w:p w:rsidRDefault="009809CC" w:rsidP="009809CC" w:rsidR="009809CC">
      <w:pPr>
        <w:rPr>
          <w:b/>
          <w:sz w:val="26"/>
          <w:szCs w:val="26"/>
        </w:rPr>
      </w:pPr>
    </w:p>
    <w:p w:rsidRDefault="009809CC" w:rsidP="009809CC" w:rsidR="009809CC">
      <w:pPr>
        <w:rPr>
          <w:sz w:val="8"/>
          <w:szCs w:val="26"/>
        </w:rPr>
      </w:pPr>
      <w:r>
        <w:rPr>
          <w:b/>
          <w:sz w:val="26"/>
          <w:szCs w:val="26"/>
        </w:rPr>
        <w:t xml:space="preserve">Dužnik </w:t>
      </w:r>
      <w:r>
        <w:rPr>
          <w:rFonts w:cs="Calibri" w:hAnsi="Cambria" w:ascii="Cambria"/>
          <w:b/>
        </w:rPr>
        <w:t>KOMUNALNO PODUZEĆE NOVA RAČA  d.o.o.</w:t>
      </w:r>
      <w:r>
        <w:rPr>
          <w:b/>
          <w:sz w:val="26"/>
          <w:szCs w:val="26"/>
        </w:rPr>
        <w:t xml:space="preserve"> obvezuje se namiriti:</w:t>
      </w:r>
    </w:p>
    <w:p w:rsidRDefault="009809CC" w:rsidP="009809CC" w:rsidR="009809CC">
      <w:pPr>
        <w:rPr>
          <w:sz w:val="8"/>
          <w:szCs w:val="26"/>
        </w:rPr>
      </w:pPr>
    </w:p>
    <w:p w:rsidRDefault="009809CC" w:rsidP="009809CC" w:rsidR="009809CC">
      <w:pPr>
        <w:pStyle w:val="Odlomakpopisa"/>
        <w:numPr>
          <w:ilvl w:val="0"/>
          <w:numId w:val="52"/>
        </w:numPr>
        <w:spacing w:lineRule="auto" w:line="276" w:after="200"/>
        <w:contextualSpacing/>
        <w:rPr>
          <w:sz w:val="21"/>
          <w:szCs w:val="21"/>
        </w:rPr>
      </w:pPr>
      <w:r>
        <w:rPr>
          <w:b/>
          <w:sz w:val="21"/>
          <w:szCs w:val="21"/>
        </w:rPr>
        <w:t>FINANCIJSKA AGENCIJA ZAGREB</w:t>
      </w:r>
      <w:r>
        <w:rPr>
          <w:sz w:val="21"/>
          <w:szCs w:val="21"/>
        </w:rPr>
        <w:t xml:space="preserve">, Ul. Grada Vukovara 70, 10000 Zagreb, OIB: 85821130368, utvrđeni iznos tražbine iznosi 5.000,00 kn. </w:t>
      </w:r>
      <w:proofErr w:type="spellStart"/>
      <w:r>
        <w:rPr>
          <w:sz w:val="21"/>
          <w:szCs w:val="21"/>
        </w:rPr>
        <w:t>Predstečajni</w:t>
      </w:r>
      <w:proofErr w:type="spellEnd"/>
      <w:r>
        <w:rPr>
          <w:sz w:val="21"/>
          <w:szCs w:val="21"/>
        </w:rPr>
        <w:t xml:space="preserve"> vjerovnik otpušta dužniku dio utvrđene tražbine, što iznosi 0,00 kn. Preostali iznos tražbine od 5.000,00 kn otplatiti će se na 24 mjeseca, u jednakim mjesečnim anuitetima, uz kamatnu stopu od 4,5% godišnje. Prvi obrok dospijeva od pravomoćnosti Rješenja Trgovačkog suda o sklopljenoj nagodbi, 30 dana u mjesecu za prethodni mjesec. Svaki sljedeći mjesečni obrok dospijeva 30 dana u mjesecu do isteka razdoblja od 24 mjeseca.</w:t>
      </w:r>
    </w:p>
    <w:p w:rsidRDefault="009809CC" w:rsidP="009809CC" w:rsidR="009809CC">
      <w:pPr>
        <w:pStyle w:val="Odlomakpopisa"/>
        <w:rPr>
          <w:sz w:val="21"/>
          <w:szCs w:val="21"/>
        </w:rPr>
      </w:pPr>
      <w:r>
        <w:rPr>
          <w:sz w:val="21"/>
          <w:szCs w:val="21"/>
        </w:rPr>
        <w:t xml:space="preserve">Ukoliko se Ročište za sklapanje </w:t>
      </w:r>
      <w:proofErr w:type="spellStart"/>
      <w:r>
        <w:rPr>
          <w:sz w:val="21"/>
          <w:szCs w:val="21"/>
        </w:rPr>
        <w:t>predstečajne</w:t>
      </w:r>
      <w:proofErr w:type="spellEnd"/>
      <w:r>
        <w:rPr>
          <w:sz w:val="21"/>
          <w:szCs w:val="21"/>
        </w:rPr>
        <w:t xml:space="preserve"> nagodbe održi u rujnu 2015. godine nakon kojeg će prvostupanjski sud tj. Trgovački sud u Bjelovaru donijeti Rješenje o potvrdi </w:t>
      </w:r>
      <w:proofErr w:type="spellStart"/>
      <w:r>
        <w:rPr>
          <w:sz w:val="21"/>
          <w:szCs w:val="21"/>
        </w:rPr>
        <w:t>predstečajne</w:t>
      </w:r>
      <w:proofErr w:type="spellEnd"/>
      <w:r>
        <w:rPr>
          <w:sz w:val="21"/>
          <w:szCs w:val="21"/>
        </w:rPr>
        <w:t xml:space="preserve"> nagodbe nad dužnikom, te isto postane pravomoćno; prvi anuitet u iznosu od 218,24 kn platiti će se 30.10.2015. godine, dok će se posljednji anuitet platiti 30.09.2017. godine.</w:t>
      </w:r>
    </w:p>
    <w:p w:rsidRDefault="009809CC" w:rsidP="009809CC" w:rsidR="009809CC">
      <w:pPr>
        <w:pStyle w:val="Odlomakpopisa"/>
        <w:rPr>
          <w:sz w:val="21"/>
          <w:szCs w:val="21"/>
        </w:rPr>
      </w:pPr>
    </w:p>
    <w:tbl>
      <w:tblPr>
        <w:tblW w:type="dxa" w:w="9155"/>
        <w:jc w:val="center"/>
        <w:tblInd w:type="dxa" w:w="89"/>
        <w:tblLook w:val="04A0" w:noVBand="1" w:noHBand="0" w:lastColumn="0" w:firstColumn="1" w:lastRow="0" w:firstRow="1"/>
      </w:tblPr>
      <w:tblGrid>
        <w:gridCol w:w="647"/>
        <w:gridCol w:w="1192"/>
        <w:gridCol w:w="1051"/>
        <w:gridCol w:w="1071"/>
        <w:gridCol w:w="1051"/>
        <w:gridCol w:w="970"/>
        <w:gridCol w:w="1233"/>
        <w:gridCol w:w="1940"/>
      </w:tblGrid>
      <w:tr w:rsidTr="009809CC" w:rsidR="009809CC">
        <w:trPr>
          <w:trHeight w:val="892"/>
          <w:jc w:val="center"/>
        </w:trPr>
        <w:tc>
          <w:tcPr>
            <w:tcW w:type="dxa" w:w="6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CC0DA" w:color="auto" w:val="clear"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Red. Br.</w:t>
            </w:r>
          </w:p>
        </w:tc>
        <w:tc>
          <w:tcPr>
            <w:tcW w:type="dxa" w:w="11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0DA" w:color="auto" w:val="clear"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Datum</w:t>
            </w:r>
          </w:p>
        </w:tc>
        <w:tc>
          <w:tcPr>
            <w:tcW w:type="dxa" w:w="10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0DA" w:color="auto" w:val="clear"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Iznos glavnice</w:t>
            </w:r>
          </w:p>
        </w:tc>
        <w:tc>
          <w:tcPr>
            <w:tcW w:type="dxa" w:w="10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0DA" w:color="auto" w:val="clear"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Otplatni obrok</w:t>
            </w:r>
          </w:p>
        </w:tc>
        <w:tc>
          <w:tcPr>
            <w:tcW w:type="dxa" w:w="10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0DA" w:color="auto" w:val="clear"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Otplatna kvota</w:t>
            </w:r>
          </w:p>
        </w:tc>
        <w:tc>
          <w:tcPr>
            <w:tcW w:type="dxa" w:w="9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0DA" w:color="auto" w:val="clear"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Uplata kamate</w:t>
            </w:r>
          </w:p>
        </w:tc>
        <w:tc>
          <w:tcPr>
            <w:tcW w:type="dxa" w:w="1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0DA" w:color="auto" w:val="clear"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Stanje glavnice</w:t>
            </w:r>
          </w:p>
        </w:tc>
        <w:tc>
          <w:tcPr>
            <w:tcW w:type="dxa" w:w="19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0DA" w:color="auto" w:val="clear"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Napomena</w:t>
            </w:r>
          </w:p>
        </w:tc>
      </w:tr>
      <w:tr w:rsidTr="009809CC" w:rsidR="009809CC">
        <w:trPr>
          <w:trHeight w:val="357"/>
          <w:jc w:val="center"/>
        </w:trPr>
        <w:tc>
          <w:tcPr>
            <w:tcW w:type="dxa" w:w="64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</w:t>
            </w:r>
          </w:p>
        </w:tc>
        <w:tc>
          <w:tcPr>
            <w:tcW w:type="dxa" w:w="11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30.09.2015.</w:t>
            </w:r>
          </w:p>
        </w:tc>
        <w:tc>
          <w:tcPr>
            <w:tcW w:type="dxa" w:w="10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5.000,00</w:t>
            </w:r>
          </w:p>
        </w:tc>
        <w:tc>
          <w:tcPr>
            <w:tcW w:type="dxa" w:w="10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0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9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2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5.000,00</w:t>
            </w:r>
          </w:p>
        </w:tc>
        <w:tc>
          <w:tcPr>
            <w:tcW w:type="dxa" w:w="1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 </w:t>
            </w:r>
          </w:p>
        </w:tc>
      </w:tr>
      <w:tr w:rsidTr="009809CC" w:rsidR="009809CC">
        <w:trPr>
          <w:trHeight w:val="303"/>
          <w:jc w:val="center"/>
        </w:trPr>
        <w:tc>
          <w:tcPr>
            <w:tcW w:type="dxa" w:w="64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type="dxa" w:w="11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30.10.2015.</w:t>
            </w:r>
          </w:p>
        </w:tc>
        <w:tc>
          <w:tcPr>
            <w:tcW w:type="dxa" w:w="10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0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218,24</w:t>
            </w:r>
          </w:p>
        </w:tc>
        <w:tc>
          <w:tcPr>
            <w:tcW w:type="dxa" w:w="10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199,49</w:t>
            </w:r>
          </w:p>
        </w:tc>
        <w:tc>
          <w:tcPr>
            <w:tcW w:type="dxa" w:w="9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18,75</w:t>
            </w:r>
          </w:p>
        </w:tc>
        <w:tc>
          <w:tcPr>
            <w:tcW w:type="dxa" w:w="12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4.800,51</w:t>
            </w:r>
          </w:p>
        </w:tc>
        <w:tc>
          <w:tcPr>
            <w:tcW w:type="dxa" w:w="1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1. rata otplate</w:t>
            </w:r>
          </w:p>
        </w:tc>
      </w:tr>
      <w:tr w:rsidTr="009809CC" w:rsidR="009809CC">
        <w:trPr>
          <w:trHeight w:val="303"/>
          <w:jc w:val="center"/>
        </w:trPr>
        <w:tc>
          <w:tcPr>
            <w:tcW w:type="dxa" w:w="64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</w:t>
            </w:r>
          </w:p>
        </w:tc>
        <w:tc>
          <w:tcPr>
            <w:tcW w:type="dxa" w:w="11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30.11.2015.</w:t>
            </w:r>
          </w:p>
        </w:tc>
        <w:tc>
          <w:tcPr>
            <w:tcW w:type="dxa" w:w="10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0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218,24</w:t>
            </w:r>
          </w:p>
        </w:tc>
        <w:tc>
          <w:tcPr>
            <w:tcW w:type="dxa" w:w="10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200,24</w:t>
            </w:r>
          </w:p>
        </w:tc>
        <w:tc>
          <w:tcPr>
            <w:tcW w:type="dxa" w:w="9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18,00</w:t>
            </w:r>
          </w:p>
        </w:tc>
        <w:tc>
          <w:tcPr>
            <w:tcW w:type="dxa" w:w="12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4.600,27</w:t>
            </w:r>
          </w:p>
        </w:tc>
        <w:tc>
          <w:tcPr>
            <w:tcW w:type="dxa" w:w="1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2. rata otplate</w:t>
            </w:r>
          </w:p>
        </w:tc>
      </w:tr>
      <w:tr w:rsidTr="009809CC" w:rsidR="009809CC">
        <w:trPr>
          <w:trHeight w:val="303"/>
          <w:jc w:val="center"/>
        </w:trPr>
        <w:tc>
          <w:tcPr>
            <w:tcW w:type="dxa" w:w="64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</w:t>
            </w:r>
          </w:p>
        </w:tc>
        <w:tc>
          <w:tcPr>
            <w:tcW w:type="dxa" w:w="11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30.12.2015</w:t>
            </w:r>
          </w:p>
        </w:tc>
        <w:tc>
          <w:tcPr>
            <w:tcW w:type="dxa" w:w="10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0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218,24</w:t>
            </w:r>
          </w:p>
        </w:tc>
        <w:tc>
          <w:tcPr>
            <w:tcW w:type="dxa" w:w="10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200,99</w:t>
            </w:r>
          </w:p>
        </w:tc>
        <w:tc>
          <w:tcPr>
            <w:tcW w:type="dxa" w:w="9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17,25</w:t>
            </w:r>
          </w:p>
        </w:tc>
        <w:tc>
          <w:tcPr>
            <w:tcW w:type="dxa" w:w="12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4.399,28</w:t>
            </w:r>
          </w:p>
        </w:tc>
        <w:tc>
          <w:tcPr>
            <w:tcW w:type="dxa" w:w="1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3. rata otplate</w:t>
            </w:r>
          </w:p>
        </w:tc>
      </w:tr>
      <w:tr w:rsidTr="009809CC" w:rsidR="009809CC">
        <w:trPr>
          <w:trHeight w:val="303"/>
          <w:jc w:val="center"/>
        </w:trPr>
        <w:tc>
          <w:tcPr>
            <w:tcW w:type="dxa" w:w="64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4</w:t>
            </w:r>
          </w:p>
        </w:tc>
        <w:tc>
          <w:tcPr>
            <w:tcW w:type="dxa" w:w="11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30.01.2016.</w:t>
            </w:r>
          </w:p>
        </w:tc>
        <w:tc>
          <w:tcPr>
            <w:tcW w:type="dxa" w:w="10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0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218,24</w:t>
            </w:r>
          </w:p>
        </w:tc>
        <w:tc>
          <w:tcPr>
            <w:tcW w:type="dxa" w:w="10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201,74</w:t>
            </w:r>
          </w:p>
        </w:tc>
        <w:tc>
          <w:tcPr>
            <w:tcW w:type="dxa" w:w="9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16,50</w:t>
            </w:r>
          </w:p>
        </w:tc>
        <w:tc>
          <w:tcPr>
            <w:tcW w:type="dxa" w:w="12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4.197,54</w:t>
            </w:r>
          </w:p>
        </w:tc>
        <w:tc>
          <w:tcPr>
            <w:tcW w:type="dxa" w:w="1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4. rata otplate</w:t>
            </w:r>
          </w:p>
        </w:tc>
      </w:tr>
      <w:tr w:rsidTr="009809CC" w:rsidR="009809CC">
        <w:trPr>
          <w:trHeight w:val="303"/>
          <w:jc w:val="center"/>
        </w:trPr>
        <w:tc>
          <w:tcPr>
            <w:tcW w:type="dxa" w:w="64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5</w:t>
            </w:r>
          </w:p>
        </w:tc>
        <w:tc>
          <w:tcPr>
            <w:tcW w:type="dxa" w:w="11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29.02.2015.</w:t>
            </w:r>
          </w:p>
        </w:tc>
        <w:tc>
          <w:tcPr>
            <w:tcW w:type="dxa" w:w="10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0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218,24</w:t>
            </w:r>
          </w:p>
        </w:tc>
        <w:tc>
          <w:tcPr>
            <w:tcW w:type="dxa" w:w="10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202,50</w:t>
            </w:r>
          </w:p>
        </w:tc>
        <w:tc>
          <w:tcPr>
            <w:tcW w:type="dxa" w:w="9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15,74</w:t>
            </w:r>
          </w:p>
        </w:tc>
        <w:tc>
          <w:tcPr>
            <w:tcW w:type="dxa" w:w="12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3.995,04</w:t>
            </w:r>
          </w:p>
        </w:tc>
        <w:tc>
          <w:tcPr>
            <w:tcW w:type="dxa" w:w="1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5. rata otplate</w:t>
            </w:r>
          </w:p>
        </w:tc>
      </w:tr>
      <w:tr w:rsidTr="009809CC" w:rsidR="009809CC">
        <w:trPr>
          <w:trHeight w:val="303"/>
          <w:jc w:val="center"/>
        </w:trPr>
        <w:tc>
          <w:tcPr>
            <w:tcW w:type="dxa" w:w="64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6</w:t>
            </w:r>
          </w:p>
        </w:tc>
        <w:tc>
          <w:tcPr>
            <w:tcW w:type="dxa" w:w="11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30.03.2016.</w:t>
            </w:r>
          </w:p>
        </w:tc>
        <w:tc>
          <w:tcPr>
            <w:tcW w:type="dxa" w:w="10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0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218,24</w:t>
            </w:r>
          </w:p>
        </w:tc>
        <w:tc>
          <w:tcPr>
            <w:tcW w:type="dxa" w:w="10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203,26</w:t>
            </w:r>
          </w:p>
        </w:tc>
        <w:tc>
          <w:tcPr>
            <w:tcW w:type="dxa" w:w="9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14,98</w:t>
            </w:r>
          </w:p>
        </w:tc>
        <w:tc>
          <w:tcPr>
            <w:tcW w:type="dxa" w:w="12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3.791,78</w:t>
            </w:r>
          </w:p>
        </w:tc>
        <w:tc>
          <w:tcPr>
            <w:tcW w:type="dxa" w:w="1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6. rata otplate</w:t>
            </w:r>
          </w:p>
        </w:tc>
      </w:tr>
      <w:tr w:rsidTr="009809CC" w:rsidR="009809CC">
        <w:trPr>
          <w:trHeight w:val="303"/>
          <w:jc w:val="center"/>
        </w:trPr>
        <w:tc>
          <w:tcPr>
            <w:tcW w:type="dxa" w:w="64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7</w:t>
            </w:r>
          </w:p>
        </w:tc>
        <w:tc>
          <w:tcPr>
            <w:tcW w:type="dxa" w:w="11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30.04.2016.</w:t>
            </w:r>
          </w:p>
        </w:tc>
        <w:tc>
          <w:tcPr>
            <w:tcW w:type="dxa" w:w="10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0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218,24</w:t>
            </w:r>
          </w:p>
        </w:tc>
        <w:tc>
          <w:tcPr>
            <w:tcW w:type="dxa" w:w="10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204,02</w:t>
            </w:r>
          </w:p>
        </w:tc>
        <w:tc>
          <w:tcPr>
            <w:tcW w:type="dxa" w:w="9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14,22</w:t>
            </w:r>
          </w:p>
        </w:tc>
        <w:tc>
          <w:tcPr>
            <w:tcW w:type="dxa" w:w="12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3.587,76</w:t>
            </w:r>
          </w:p>
        </w:tc>
        <w:tc>
          <w:tcPr>
            <w:tcW w:type="dxa" w:w="1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7. rata otplate</w:t>
            </w:r>
          </w:p>
        </w:tc>
      </w:tr>
      <w:tr w:rsidTr="009809CC" w:rsidR="009809CC">
        <w:trPr>
          <w:trHeight w:val="303"/>
          <w:jc w:val="center"/>
        </w:trPr>
        <w:tc>
          <w:tcPr>
            <w:tcW w:type="dxa" w:w="64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lastRenderedPageBreak/>
              <w:t>8</w:t>
            </w:r>
          </w:p>
        </w:tc>
        <w:tc>
          <w:tcPr>
            <w:tcW w:type="dxa" w:w="11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30.05.2016.</w:t>
            </w:r>
          </w:p>
        </w:tc>
        <w:tc>
          <w:tcPr>
            <w:tcW w:type="dxa" w:w="10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0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218,24</w:t>
            </w:r>
          </w:p>
        </w:tc>
        <w:tc>
          <w:tcPr>
            <w:tcW w:type="dxa" w:w="10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204,79</w:t>
            </w:r>
          </w:p>
        </w:tc>
        <w:tc>
          <w:tcPr>
            <w:tcW w:type="dxa" w:w="9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13,45</w:t>
            </w:r>
          </w:p>
        </w:tc>
        <w:tc>
          <w:tcPr>
            <w:tcW w:type="dxa" w:w="12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3.382,98</w:t>
            </w:r>
          </w:p>
        </w:tc>
        <w:tc>
          <w:tcPr>
            <w:tcW w:type="dxa" w:w="1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8. rata otplate</w:t>
            </w:r>
          </w:p>
        </w:tc>
      </w:tr>
      <w:tr w:rsidTr="009809CC" w:rsidR="009809CC">
        <w:trPr>
          <w:trHeight w:val="303"/>
          <w:jc w:val="center"/>
        </w:trPr>
        <w:tc>
          <w:tcPr>
            <w:tcW w:type="dxa" w:w="64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9</w:t>
            </w:r>
          </w:p>
        </w:tc>
        <w:tc>
          <w:tcPr>
            <w:tcW w:type="dxa" w:w="11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30.06.2016.</w:t>
            </w:r>
          </w:p>
        </w:tc>
        <w:tc>
          <w:tcPr>
            <w:tcW w:type="dxa" w:w="10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0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218,24</w:t>
            </w:r>
          </w:p>
        </w:tc>
        <w:tc>
          <w:tcPr>
            <w:tcW w:type="dxa" w:w="10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205,55</w:t>
            </w:r>
          </w:p>
        </w:tc>
        <w:tc>
          <w:tcPr>
            <w:tcW w:type="dxa" w:w="9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12,69</w:t>
            </w:r>
          </w:p>
        </w:tc>
        <w:tc>
          <w:tcPr>
            <w:tcW w:type="dxa" w:w="12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3.177,42</w:t>
            </w:r>
          </w:p>
        </w:tc>
        <w:tc>
          <w:tcPr>
            <w:tcW w:type="dxa" w:w="1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9. rata otplate</w:t>
            </w:r>
          </w:p>
        </w:tc>
      </w:tr>
      <w:tr w:rsidTr="009809CC" w:rsidR="009809CC">
        <w:trPr>
          <w:trHeight w:val="303"/>
          <w:jc w:val="center"/>
        </w:trPr>
        <w:tc>
          <w:tcPr>
            <w:tcW w:type="dxa" w:w="6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10</w:t>
            </w:r>
          </w:p>
        </w:tc>
        <w:tc>
          <w:tcPr>
            <w:tcW w:type="dxa" w:w="1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30.07.2016.</w:t>
            </w:r>
          </w:p>
        </w:tc>
        <w:tc>
          <w:tcPr>
            <w:tcW w:type="dxa" w:w="10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218,24</w:t>
            </w:r>
          </w:p>
        </w:tc>
        <w:tc>
          <w:tcPr>
            <w:tcW w:type="dxa" w:w="10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206,32</w:t>
            </w:r>
          </w:p>
        </w:tc>
        <w:tc>
          <w:tcPr>
            <w:tcW w:type="dxa" w:w="9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11,92</w:t>
            </w:r>
          </w:p>
        </w:tc>
        <w:tc>
          <w:tcPr>
            <w:tcW w:type="dxa" w:w="12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2.971,10</w:t>
            </w:r>
          </w:p>
        </w:tc>
        <w:tc>
          <w:tcPr>
            <w:tcW w:type="dxa" w:w="19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10. rata otplate</w:t>
            </w:r>
          </w:p>
        </w:tc>
      </w:tr>
      <w:tr w:rsidTr="009809CC" w:rsidR="009809CC">
        <w:trPr>
          <w:trHeight w:val="303"/>
          <w:jc w:val="center"/>
        </w:trPr>
        <w:tc>
          <w:tcPr>
            <w:tcW w:type="dxa" w:w="6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11</w:t>
            </w:r>
          </w:p>
        </w:tc>
        <w:tc>
          <w:tcPr>
            <w:tcW w:type="dxa" w:w="1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30.08.2016.</w:t>
            </w:r>
          </w:p>
        </w:tc>
        <w:tc>
          <w:tcPr>
            <w:tcW w:type="dxa" w:w="10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218,24</w:t>
            </w:r>
          </w:p>
        </w:tc>
        <w:tc>
          <w:tcPr>
            <w:tcW w:type="dxa" w:w="10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207,10</w:t>
            </w:r>
          </w:p>
        </w:tc>
        <w:tc>
          <w:tcPr>
            <w:tcW w:type="dxa" w:w="9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11,14</w:t>
            </w:r>
          </w:p>
        </w:tc>
        <w:tc>
          <w:tcPr>
            <w:tcW w:type="dxa" w:w="12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2.764,00</w:t>
            </w:r>
          </w:p>
        </w:tc>
        <w:tc>
          <w:tcPr>
            <w:tcW w:type="dxa" w:w="19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11. rata otplate</w:t>
            </w:r>
          </w:p>
        </w:tc>
      </w:tr>
      <w:tr w:rsidTr="009809CC" w:rsidR="009809CC">
        <w:trPr>
          <w:trHeight w:val="303"/>
          <w:jc w:val="center"/>
        </w:trPr>
        <w:tc>
          <w:tcPr>
            <w:tcW w:type="dxa" w:w="6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12</w:t>
            </w:r>
          </w:p>
        </w:tc>
        <w:tc>
          <w:tcPr>
            <w:tcW w:type="dxa" w:w="1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30.09.2016.</w:t>
            </w:r>
          </w:p>
        </w:tc>
        <w:tc>
          <w:tcPr>
            <w:tcW w:type="dxa" w:w="10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218,24</w:t>
            </w:r>
          </w:p>
        </w:tc>
        <w:tc>
          <w:tcPr>
            <w:tcW w:type="dxa" w:w="10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207,88</w:t>
            </w:r>
          </w:p>
        </w:tc>
        <w:tc>
          <w:tcPr>
            <w:tcW w:type="dxa" w:w="9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10,36</w:t>
            </w:r>
          </w:p>
        </w:tc>
        <w:tc>
          <w:tcPr>
            <w:tcW w:type="dxa" w:w="12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2.556,12</w:t>
            </w:r>
          </w:p>
        </w:tc>
        <w:tc>
          <w:tcPr>
            <w:tcW w:type="dxa" w:w="19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12. rata otplate</w:t>
            </w:r>
          </w:p>
        </w:tc>
      </w:tr>
      <w:tr w:rsidTr="009809CC" w:rsidR="009809CC">
        <w:trPr>
          <w:trHeight w:val="303"/>
          <w:jc w:val="center"/>
        </w:trPr>
        <w:tc>
          <w:tcPr>
            <w:tcW w:type="dxa" w:w="6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13</w:t>
            </w:r>
          </w:p>
        </w:tc>
        <w:tc>
          <w:tcPr>
            <w:tcW w:type="dxa" w:w="1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30.10.2016.</w:t>
            </w:r>
          </w:p>
        </w:tc>
        <w:tc>
          <w:tcPr>
            <w:tcW w:type="dxa" w:w="10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218,24</w:t>
            </w:r>
          </w:p>
        </w:tc>
        <w:tc>
          <w:tcPr>
            <w:tcW w:type="dxa" w:w="10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208,65</w:t>
            </w:r>
          </w:p>
        </w:tc>
        <w:tc>
          <w:tcPr>
            <w:tcW w:type="dxa" w:w="9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9,59</w:t>
            </w:r>
          </w:p>
        </w:tc>
        <w:tc>
          <w:tcPr>
            <w:tcW w:type="dxa" w:w="12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2.347,47</w:t>
            </w:r>
          </w:p>
        </w:tc>
        <w:tc>
          <w:tcPr>
            <w:tcW w:type="dxa" w:w="19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13. rata otplate</w:t>
            </w:r>
          </w:p>
        </w:tc>
      </w:tr>
      <w:tr w:rsidTr="009809CC" w:rsidR="009809CC">
        <w:trPr>
          <w:trHeight w:val="303"/>
          <w:jc w:val="center"/>
        </w:trPr>
        <w:tc>
          <w:tcPr>
            <w:tcW w:type="dxa" w:w="6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14</w:t>
            </w:r>
          </w:p>
        </w:tc>
        <w:tc>
          <w:tcPr>
            <w:tcW w:type="dxa" w:w="1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30.11.2016.</w:t>
            </w:r>
          </w:p>
        </w:tc>
        <w:tc>
          <w:tcPr>
            <w:tcW w:type="dxa" w:w="10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218,24</w:t>
            </w:r>
          </w:p>
        </w:tc>
        <w:tc>
          <w:tcPr>
            <w:tcW w:type="dxa" w:w="10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209,44</w:t>
            </w:r>
          </w:p>
        </w:tc>
        <w:tc>
          <w:tcPr>
            <w:tcW w:type="dxa" w:w="9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8,80</w:t>
            </w:r>
          </w:p>
        </w:tc>
        <w:tc>
          <w:tcPr>
            <w:tcW w:type="dxa" w:w="12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2.138,03</w:t>
            </w:r>
          </w:p>
        </w:tc>
        <w:tc>
          <w:tcPr>
            <w:tcW w:type="dxa" w:w="19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14. rata otplate</w:t>
            </w:r>
          </w:p>
        </w:tc>
      </w:tr>
      <w:tr w:rsidTr="009809CC" w:rsidR="009809CC">
        <w:trPr>
          <w:trHeight w:val="303"/>
          <w:jc w:val="center"/>
        </w:trPr>
        <w:tc>
          <w:tcPr>
            <w:tcW w:type="dxa" w:w="6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15</w:t>
            </w:r>
          </w:p>
        </w:tc>
        <w:tc>
          <w:tcPr>
            <w:tcW w:type="dxa" w:w="1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30.12.2016.</w:t>
            </w:r>
          </w:p>
        </w:tc>
        <w:tc>
          <w:tcPr>
            <w:tcW w:type="dxa" w:w="10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218,24</w:t>
            </w:r>
          </w:p>
        </w:tc>
        <w:tc>
          <w:tcPr>
            <w:tcW w:type="dxa" w:w="10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210,22</w:t>
            </w:r>
          </w:p>
        </w:tc>
        <w:tc>
          <w:tcPr>
            <w:tcW w:type="dxa" w:w="9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8,02</w:t>
            </w:r>
          </w:p>
        </w:tc>
        <w:tc>
          <w:tcPr>
            <w:tcW w:type="dxa" w:w="12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1.927,81</w:t>
            </w:r>
          </w:p>
        </w:tc>
        <w:tc>
          <w:tcPr>
            <w:tcW w:type="dxa" w:w="19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15. rata otplate</w:t>
            </w:r>
          </w:p>
        </w:tc>
      </w:tr>
      <w:tr w:rsidTr="009809CC" w:rsidR="009809CC">
        <w:trPr>
          <w:trHeight w:val="303"/>
          <w:jc w:val="center"/>
        </w:trPr>
        <w:tc>
          <w:tcPr>
            <w:tcW w:type="dxa" w:w="6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16</w:t>
            </w:r>
          </w:p>
        </w:tc>
        <w:tc>
          <w:tcPr>
            <w:tcW w:type="dxa" w:w="11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30.01.2017.</w:t>
            </w:r>
          </w:p>
        </w:tc>
        <w:tc>
          <w:tcPr>
            <w:tcW w:type="dxa" w:w="10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0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218,24</w:t>
            </w:r>
          </w:p>
        </w:tc>
        <w:tc>
          <w:tcPr>
            <w:tcW w:type="dxa" w:w="10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211,01</w:t>
            </w:r>
          </w:p>
        </w:tc>
        <w:tc>
          <w:tcPr>
            <w:tcW w:type="dxa" w:w="9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7,23</w:t>
            </w:r>
          </w:p>
        </w:tc>
        <w:tc>
          <w:tcPr>
            <w:tcW w:type="dxa" w:w="1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1.716,80</w:t>
            </w:r>
          </w:p>
        </w:tc>
        <w:tc>
          <w:tcPr>
            <w:tcW w:type="dxa" w:w="19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16. rata otplate</w:t>
            </w:r>
          </w:p>
        </w:tc>
      </w:tr>
      <w:tr w:rsidTr="009809CC" w:rsidR="009809CC">
        <w:trPr>
          <w:trHeight w:val="303"/>
          <w:jc w:val="center"/>
        </w:trPr>
        <w:tc>
          <w:tcPr>
            <w:tcW w:type="dxa" w:w="6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17</w:t>
            </w:r>
          </w:p>
        </w:tc>
        <w:tc>
          <w:tcPr>
            <w:tcW w:type="dxa" w:w="1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28.02.2017.</w:t>
            </w:r>
          </w:p>
        </w:tc>
        <w:tc>
          <w:tcPr>
            <w:tcW w:type="dxa" w:w="10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218,24</w:t>
            </w:r>
          </w:p>
        </w:tc>
        <w:tc>
          <w:tcPr>
            <w:tcW w:type="dxa" w:w="10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211,80</w:t>
            </w:r>
          </w:p>
        </w:tc>
        <w:tc>
          <w:tcPr>
            <w:tcW w:type="dxa" w:w="9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6,44</w:t>
            </w:r>
          </w:p>
        </w:tc>
        <w:tc>
          <w:tcPr>
            <w:tcW w:type="dxa" w:w="12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1.505,00</w:t>
            </w:r>
          </w:p>
        </w:tc>
        <w:tc>
          <w:tcPr>
            <w:tcW w:type="dxa" w:w="19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17. rata otplate</w:t>
            </w:r>
          </w:p>
        </w:tc>
      </w:tr>
      <w:tr w:rsidTr="009809CC" w:rsidR="009809CC">
        <w:trPr>
          <w:trHeight w:val="303"/>
          <w:jc w:val="center"/>
        </w:trPr>
        <w:tc>
          <w:tcPr>
            <w:tcW w:type="dxa" w:w="6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18</w:t>
            </w:r>
          </w:p>
        </w:tc>
        <w:tc>
          <w:tcPr>
            <w:tcW w:type="dxa" w:w="11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30.03.2017.</w:t>
            </w:r>
          </w:p>
        </w:tc>
        <w:tc>
          <w:tcPr>
            <w:tcW w:type="dxa" w:w="10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0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218,24</w:t>
            </w:r>
          </w:p>
        </w:tc>
        <w:tc>
          <w:tcPr>
            <w:tcW w:type="dxa" w:w="10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212,60</w:t>
            </w:r>
          </w:p>
        </w:tc>
        <w:tc>
          <w:tcPr>
            <w:tcW w:type="dxa" w:w="9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5,64</w:t>
            </w:r>
          </w:p>
        </w:tc>
        <w:tc>
          <w:tcPr>
            <w:tcW w:type="dxa" w:w="1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1.292,40</w:t>
            </w:r>
          </w:p>
        </w:tc>
        <w:tc>
          <w:tcPr>
            <w:tcW w:type="dxa" w:w="19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18. rata otplate</w:t>
            </w:r>
          </w:p>
        </w:tc>
      </w:tr>
      <w:tr w:rsidTr="009809CC" w:rsidR="009809CC">
        <w:trPr>
          <w:trHeight w:val="303"/>
          <w:jc w:val="center"/>
        </w:trPr>
        <w:tc>
          <w:tcPr>
            <w:tcW w:type="dxa" w:w="64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19</w:t>
            </w:r>
          </w:p>
        </w:tc>
        <w:tc>
          <w:tcPr>
            <w:tcW w:type="dxa" w:w="11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30.04.2017.</w:t>
            </w:r>
          </w:p>
        </w:tc>
        <w:tc>
          <w:tcPr>
            <w:tcW w:type="dxa" w:w="10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0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218,24</w:t>
            </w:r>
          </w:p>
        </w:tc>
        <w:tc>
          <w:tcPr>
            <w:tcW w:type="dxa" w:w="10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213,39</w:t>
            </w:r>
          </w:p>
        </w:tc>
        <w:tc>
          <w:tcPr>
            <w:tcW w:type="dxa" w:w="9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4,85</w:t>
            </w:r>
          </w:p>
        </w:tc>
        <w:tc>
          <w:tcPr>
            <w:tcW w:type="dxa" w:w="12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1.079,01</w:t>
            </w:r>
          </w:p>
        </w:tc>
        <w:tc>
          <w:tcPr>
            <w:tcW w:type="dxa" w:w="1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19. rata otplate</w:t>
            </w:r>
          </w:p>
        </w:tc>
      </w:tr>
      <w:tr w:rsidTr="009809CC" w:rsidR="009809CC">
        <w:trPr>
          <w:trHeight w:val="303"/>
          <w:jc w:val="center"/>
        </w:trPr>
        <w:tc>
          <w:tcPr>
            <w:tcW w:type="dxa" w:w="64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20</w:t>
            </w:r>
          </w:p>
        </w:tc>
        <w:tc>
          <w:tcPr>
            <w:tcW w:type="dxa" w:w="11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30.05.2017.</w:t>
            </w:r>
          </w:p>
        </w:tc>
        <w:tc>
          <w:tcPr>
            <w:tcW w:type="dxa" w:w="10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0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218,24</w:t>
            </w:r>
          </w:p>
        </w:tc>
        <w:tc>
          <w:tcPr>
            <w:tcW w:type="dxa" w:w="10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214,19</w:t>
            </w:r>
          </w:p>
        </w:tc>
        <w:tc>
          <w:tcPr>
            <w:tcW w:type="dxa" w:w="9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4,05</w:t>
            </w:r>
          </w:p>
        </w:tc>
        <w:tc>
          <w:tcPr>
            <w:tcW w:type="dxa" w:w="12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864,81</w:t>
            </w:r>
          </w:p>
        </w:tc>
        <w:tc>
          <w:tcPr>
            <w:tcW w:type="dxa" w:w="1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20. rata otplate</w:t>
            </w:r>
          </w:p>
        </w:tc>
      </w:tr>
      <w:tr w:rsidTr="009809CC" w:rsidR="009809CC">
        <w:trPr>
          <w:trHeight w:val="303"/>
          <w:jc w:val="center"/>
        </w:trPr>
        <w:tc>
          <w:tcPr>
            <w:tcW w:type="dxa" w:w="64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21</w:t>
            </w:r>
          </w:p>
        </w:tc>
        <w:tc>
          <w:tcPr>
            <w:tcW w:type="dxa" w:w="11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30.06.2017.</w:t>
            </w:r>
          </w:p>
        </w:tc>
        <w:tc>
          <w:tcPr>
            <w:tcW w:type="dxa" w:w="10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0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218,24</w:t>
            </w:r>
          </w:p>
        </w:tc>
        <w:tc>
          <w:tcPr>
            <w:tcW w:type="dxa" w:w="10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215,00</w:t>
            </w:r>
          </w:p>
        </w:tc>
        <w:tc>
          <w:tcPr>
            <w:tcW w:type="dxa" w:w="9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3,24</w:t>
            </w:r>
          </w:p>
        </w:tc>
        <w:tc>
          <w:tcPr>
            <w:tcW w:type="dxa" w:w="12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649,82</w:t>
            </w:r>
          </w:p>
        </w:tc>
        <w:tc>
          <w:tcPr>
            <w:tcW w:type="dxa" w:w="1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21. rata otplate</w:t>
            </w:r>
          </w:p>
        </w:tc>
      </w:tr>
      <w:tr w:rsidTr="009809CC" w:rsidR="009809CC">
        <w:trPr>
          <w:trHeight w:val="303"/>
          <w:jc w:val="center"/>
        </w:trPr>
        <w:tc>
          <w:tcPr>
            <w:tcW w:type="dxa" w:w="64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22</w:t>
            </w:r>
          </w:p>
        </w:tc>
        <w:tc>
          <w:tcPr>
            <w:tcW w:type="dxa" w:w="11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30.07.2017.</w:t>
            </w:r>
          </w:p>
        </w:tc>
        <w:tc>
          <w:tcPr>
            <w:tcW w:type="dxa" w:w="10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0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218,24</w:t>
            </w:r>
          </w:p>
        </w:tc>
        <w:tc>
          <w:tcPr>
            <w:tcW w:type="dxa" w:w="10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215,80</w:t>
            </w:r>
          </w:p>
        </w:tc>
        <w:tc>
          <w:tcPr>
            <w:tcW w:type="dxa" w:w="9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2,44</w:t>
            </w:r>
          </w:p>
        </w:tc>
        <w:tc>
          <w:tcPr>
            <w:tcW w:type="dxa" w:w="12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434,01</w:t>
            </w:r>
          </w:p>
        </w:tc>
        <w:tc>
          <w:tcPr>
            <w:tcW w:type="dxa" w:w="1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22. rata otplate</w:t>
            </w:r>
          </w:p>
        </w:tc>
      </w:tr>
      <w:tr w:rsidTr="009809CC" w:rsidR="009809CC">
        <w:trPr>
          <w:trHeight w:val="303"/>
          <w:jc w:val="center"/>
        </w:trPr>
        <w:tc>
          <w:tcPr>
            <w:tcW w:type="dxa" w:w="64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23</w:t>
            </w:r>
          </w:p>
        </w:tc>
        <w:tc>
          <w:tcPr>
            <w:tcW w:type="dxa" w:w="11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30.08.2017.</w:t>
            </w:r>
          </w:p>
        </w:tc>
        <w:tc>
          <w:tcPr>
            <w:tcW w:type="dxa" w:w="10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0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218,24</w:t>
            </w:r>
          </w:p>
        </w:tc>
        <w:tc>
          <w:tcPr>
            <w:tcW w:type="dxa" w:w="10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216,61</w:t>
            </w:r>
          </w:p>
        </w:tc>
        <w:tc>
          <w:tcPr>
            <w:tcW w:type="dxa" w:w="9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1,63</w:t>
            </w:r>
          </w:p>
        </w:tc>
        <w:tc>
          <w:tcPr>
            <w:tcW w:type="dxa" w:w="12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217,40</w:t>
            </w:r>
          </w:p>
        </w:tc>
        <w:tc>
          <w:tcPr>
            <w:tcW w:type="dxa" w:w="1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23. rata otplate</w:t>
            </w:r>
          </w:p>
        </w:tc>
      </w:tr>
      <w:tr w:rsidTr="009809CC" w:rsidR="009809CC">
        <w:trPr>
          <w:trHeight w:val="303"/>
          <w:jc w:val="center"/>
        </w:trPr>
        <w:tc>
          <w:tcPr>
            <w:tcW w:type="dxa" w:w="64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24</w:t>
            </w:r>
          </w:p>
        </w:tc>
        <w:tc>
          <w:tcPr>
            <w:tcW w:type="dxa" w:w="11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30.09.2017.</w:t>
            </w:r>
          </w:p>
        </w:tc>
        <w:tc>
          <w:tcPr>
            <w:tcW w:type="dxa" w:w="10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0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218,24</w:t>
            </w:r>
          </w:p>
        </w:tc>
        <w:tc>
          <w:tcPr>
            <w:tcW w:type="dxa" w:w="10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217,40</w:t>
            </w:r>
          </w:p>
        </w:tc>
        <w:tc>
          <w:tcPr>
            <w:tcW w:type="dxa" w:w="9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0,82</w:t>
            </w:r>
          </w:p>
        </w:tc>
        <w:tc>
          <w:tcPr>
            <w:tcW w:type="dxa" w:w="12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24. rata otplate</w:t>
            </w:r>
          </w:p>
        </w:tc>
      </w:tr>
      <w:tr w:rsidTr="009809CC" w:rsidR="009809CC">
        <w:trPr>
          <w:trHeight w:val="464"/>
          <w:jc w:val="center"/>
        </w:trPr>
        <w:tc>
          <w:tcPr>
            <w:tcW w:type="dxa" w:w="647"/>
            <w:noWrap/>
            <w:vAlign w:val="bottom"/>
            <w:hideMark/>
          </w:tcPr>
          <w:p w:rsidRDefault="009809CC" w:rsidR="009809CC">
            <w:pPr>
              <w:rPr>
                <w:sz w:val="20"/>
              </w:rPr>
            </w:pPr>
          </w:p>
        </w:tc>
        <w:tc>
          <w:tcPr>
            <w:tcW w:type="dxa" w:w="1192"/>
            <w:noWrap/>
            <w:vAlign w:val="bottom"/>
            <w:hideMark/>
          </w:tcPr>
          <w:p w:rsidRDefault="009809CC" w:rsidR="009809CC">
            <w:pPr>
              <w:rPr>
                <w:sz w:val="20"/>
              </w:rPr>
            </w:pPr>
          </w:p>
        </w:tc>
        <w:tc>
          <w:tcPr>
            <w:tcW w:type="dxa" w:w="1051"/>
            <w:tcBorders>
              <w:top w:val="nil"/>
              <w:left w:val="nil"/>
              <w:bottom w:space="0" w:sz="8" w:color="auto" w:val="single"/>
              <w:right w:val="nil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5.000,00</w:t>
            </w:r>
          </w:p>
        </w:tc>
        <w:tc>
          <w:tcPr>
            <w:tcW w:type="dxa" w:w="1071"/>
            <w:tcBorders>
              <w:top w:val="nil"/>
              <w:left w:val="nil"/>
              <w:bottom w:space="0" w:sz="8" w:color="auto" w:val="single"/>
              <w:right w:val="nil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5.237,76</w:t>
            </w:r>
          </w:p>
        </w:tc>
        <w:tc>
          <w:tcPr>
            <w:tcW w:type="dxa" w:w="1051"/>
            <w:tcBorders>
              <w:top w:val="nil"/>
              <w:left w:val="nil"/>
              <w:bottom w:space="0" w:sz="8" w:color="auto" w:val="single"/>
              <w:right w:val="nil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5.000,00</w:t>
            </w:r>
          </w:p>
        </w:tc>
        <w:tc>
          <w:tcPr>
            <w:tcW w:type="dxa" w:w="970"/>
            <w:tcBorders>
              <w:top w:val="nil"/>
              <w:left w:val="nil"/>
              <w:bottom w:space="0" w:sz="8" w:color="auto" w:val="single"/>
              <w:right w:val="nil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237,74</w:t>
            </w:r>
          </w:p>
        </w:tc>
        <w:tc>
          <w:tcPr>
            <w:tcW w:type="dxa" w:w="1233"/>
            <w:noWrap/>
            <w:vAlign w:val="bottom"/>
            <w:hideMark/>
          </w:tcPr>
          <w:p w:rsidRDefault="009809CC" w:rsidR="009809CC">
            <w:pPr>
              <w:rPr>
                <w:sz w:val="20"/>
              </w:rPr>
            </w:pPr>
          </w:p>
        </w:tc>
        <w:tc>
          <w:tcPr>
            <w:tcW w:type="dxa" w:w="1940"/>
            <w:noWrap/>
            <w:vAlign w:val="center"/>
            <w:hideMark/>
          </w:tcPr>
          <w:p w:rsidRDefault="009809CC" w:rsidR="009809CC">
            <w:pPr>
              <w:rPr>
                <w:sz w:val="20"/>
              </w:rPr>
            </w:pPr>
          </w:p>
        </w:tc>
      </w:tr>
    </w:tbl>
    <w:p w:rsidRDefault="009809CC" w:rsidP="009809CC" w:rsidR="009809CC">
      <w:pPr>
        <w:rPr>
          <w:sz w:val="26"/>
          <w:szCs w:val="26"/>
        </w:rPr>
      </w:pPr>
    </w:p>
    <w:p w:rsidRDefault="009809CC" w:rsidP="009809CC" w:rsidR="009809CC">
      <w:pPr>
        <w:pStyle w:val="Odlomakpopisa"/>
        <w:rPr>
          <w:sz w:val="26"/>
          <w:szCs w:val="26"/>
        </w:rPr>
      </w:pPr>
    </w:p>
    <w:p w:rsidRDefault="009809CC" w:rsidP="009809CC" w:rsidR="009809CC">
      <w:pPr>
        <w:pStyle w:val="Odlomakpopisa"/>
        <w:numPr>
          <w:ilvl w:val="0"/>
          <w:numId w:val="52"/>
        </w:numPr>
        <w:spacing w:lineRule="auto" w:line="276" w:after="200"/>
        <w:contextualSpacing/>
        <w:rPr>
          <w:sz w:val="21"/>
          <w:szCs w:val="21"/>
        </w:rPr>
      </w:pPr>
      <w:r>
        <w:rPr>
          <w:b/>
          <w:sz w:val="21"/>
          <w:szCs w:val="21"/>
        </w:rPr>
        <w:t xml:space="preserve">RH MINISTARSTVO FINANCIJA – POREZNA UPRAVA </w:t>
      </w:r>
      <w:r>
        <w:rPr>
          <w:sz w:val="21"/>
          <w:szCs w:val="21"/>
        </w:rPr>
        <w:t>Katančićeva 5</w:t>
      </w:r>
      <w:r>
        <w:rPr>
          <w:rFonts w:cs="Calibri"/>
          <w:color w:val="000000"/>
          <w:sz w:val="21"/>
          <w:szCs w:val="21"/>
        </w:rPr>
        <w:t>, 10 000 ZAGREB,</w:t>
      </w:r>
      <w:r>
        <w:rPr>
          <w:sz w:val="21"/>
          <w:szCs w:val="21"/>
        </w:rPr>
        <w:t xml:space="preserve"> OIB: 18683136487, utvrđeni iznos tražbine iznosi 82.427,00 kn. </w:t>
      </w:r>
      <w:proofErr w:type="spellStart"/>
      <w:r>
        <w:rPr>
          <w:sz w:val="21"/>
          <w:szCs w:val="21"/>
        </w:rPr>
        <w:t>Predstečajni</w:t>
      </w:r>
      <w:proofErr w:type="spellEnd"/>
      <w:r>
        <w:rPr>
          <w:sz w:val="21"/>
          <w:szCs w:val="21"/>
        </w:rPr>
        <w:t xml:space="preserve"> vjerovnik otpušta dužniku dio utvrđene tražbine, što iznosi 7.655,78 kn. Preostali iznos tražbine od 79.771,22 kn otplatiti će se na 24 mjeseca, u jednakim mjesečnim anuitetima, uz kamatnu stopu od 4,5% godišnje. Prvi obrok dospijeva od pravomoćnosti Rješenja Trgovačkog suda o sklopljenoj nagodbi, 30 dana u mjesecu za prethodni mjesec. Svaki sljedeći mjesečni obrok dospijeva 30 dana u mjesecu do isteka razdoblja od 24 mjeseca.</w:t>
      </w:r>
    </w:p>
    <w:p w:rsidRDefault="009809CC" w:rsidP="009809CC" w:rsidR="009809CC">
      <w:pPr>
        <w:pStyle w:val="Odlomakpopisa"/>
        <w:rPr>
          <w:sz w:val="21"/>
          <w:szCs w:val="21"/>
        </w:rPr>
      </w:pPr>
      <w:r>
        <w:rPr>
          <w:sz w:val="21"/>
          <w:szCs w:val="21"/>
        </w:rPr>
        <w:t xml:space="preserve">Ukoliko se Ročište za sklapanje </w:t>
      </w:r>
      <w:proofErr w:type="spellStart"/>
      <w:r>
        <w:rPr>
          <w:sz w:val="21"/>
          <w:szCs w:val="21"/>
        </w:rPr>
        <w:t>predstečajne</w:t>
      </w:r>
      <w:proofErr w:type="spellEnd"/>
      <w:r>
        <w:rPr>
          <w:sz w:val="21"/>
          <w:szCs w:val="21"/>
        </w:rPr>
        <w:t xml:space="preserve"> nagodbe održi u rujnu 2015. godine nakon kojeg će prvostupanjski sud tj. Trgovački sud u Bjelovaru donijeti Rješenje o potvrdi </w:t>
      </w:r>
      <w:proofErr w:type="spellStart"/>
      <w:r>
        <w:rPr>
          <w:sz w:val="21"/>
          <w:szCs w:val="21"/>
        </w:rPr>
        <w:t>predstečajne</w:t>
      </w:r>
      <w:proofErr w:type="spellEnd"/>
      <w:r>
        <w:rPr>
          <w:sz w:val="21"/>
          <w:szCs w:val="21"/>
        </w:rPr>
        <w:t xml:space="preserve"> nagodbe nad dužnikom, te isto postane pravomoćno; prvi anuitet u iznosu od 3.481,84 kn platiti će se 30.10.2015. godine, dok će se posljednji anuitet platiti 30.09.2017. godine.</w:t>
      </w:r>
    </w:p>
    <w:p w:rsidRDefault="009809CC" w:rsidP="009809CC" w:rsidR="009809CC">
      <w:pPr>
        <w:pStyle w:val="Odlomakpopisa"/>
        <w:rPr>
          <w:sz w:val="21"/>
          <w:szCs w:val="21"/>
        </w:rPr>
      </w:pPr>
    </w:p>
    <w:tbl>
      <w:tblPr>
        <w:tblW w:type="dxa" w:w="8965"/>
        <w:tblInd w:type="dxa" w:w="89"/>
        <w:tblLook w:val="04A0" w:noVBand="1" w:noHBand="0" w:lastColumn="0" w:firstColumn="1" w:lastRow="0" w:firstRow="1"/>
      </w:tblPr>
      <w:tblGrid>
        <w:gridCol w:w="633"/>
        <w:gridCol w:w="1168"/>
        <w:gridCol w:w="1029"/>
        <w:gridCol w:w="1049"/>
        <w:gridCol w:w="1029"/>
        <w:gridCol w:w="950"/>
        <w:gridCol w:w="1207"/>
        <w:gridCol w:w="1900"/>
      </w:tblGrid>
      <w:tr w:rsidTr="009809CC" w:rsidR="009809CC">
        <w:trPr>
          <w:trHeight w:val="954"/>
        </w:trPr>
        <w:tc>
          <w:tcPr>
            <w:tcW w:type="dxa" w:w="6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CC0DA" w:color="auto" w:val="clear"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lastRenderedPageBreak/>
              <w:t>Red. Br.</w:t>
            </w:r>
          </w:p>
        </w:tc>
        <w:tc>
          <w:tcPr>
            <w:tcW w:type="dxa" w:w="11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0DA" w:color="auto" w:val="clear"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Datum</w:t>
            </w:r>
          </w:p>
        </w:tc>
        <w:tc>
          <w:tcPr>
            <w:tcW w:type="dxa" w:w="10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0DA" w:color="auto" w:val="clear"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Iznos glavnice</w:t>
            </w:r>
          </w:p>
        </w:tc>
        <w:tc>
          <w:tcPr>
            <w:tcW w:type="dxa" w:w="10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0DA" w:color="auto" w:val="clear"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Otplatni obrok</w:t>
            </w:r>
          </w:p>
        </w:tc>
        <w:tc>
          <w:tcPr>
            <w:tcW w:type="dxa" w:w="10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0DA" w:color="auto" w:val="clear"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Otplatna kvota</w:t>
            </w:r>
          </w:p>
        </w:tc>
        <w:tc>
          <w:tcPr>
            <w:tcW w:type="dxa" w:w="9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0DA" w:color="auto" w:val="clear"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Uplata kamate</w:t>
            </w:r>
          </w:p>
        </w:tc>
        <w:tc>
          <w:tcPr>
            <w:tcW w:type="dxa" w:w="120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0DA" w:color="auto" w:val="clear"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Stanje glavnice</w:t>
            </w:r>
          </w:p>
        </w:tc>
        <w:tc>
          <w:tcPr>
            <w:tcW w:type="dxa" w:w="19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0DA" w:color="auto" w:val="clear"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Napomena</w:t>
            </w:r>
          </w:p>
        </w:tc>
      </w:tr>
      <w:tr w:rsidTr="009809CC" w:rsidR="009809CC">
        <w:trPr>
          <w:trHeight w:val="381"/>
        </w:trPr>
        <w:tc>
          <w:tcPr>
            <w:tcW w:type="dxa" w:w="6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</w:t>
            </w:r>
          </w:p>
        </w:tc>
        <w:tc>
          <w:tcPr>
            <w:tcW w:type="dxa" w:w="1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30.09.2015.</w:t>
            </w:r>
          </w:p>
        </w:tc>
        <w:tc>
          <w:tcPr>
            <w:tcW w:type="dxa" w:w="10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79.771,22</w:t>
            </w:r>
          </w:p>
        </w:tc>
        <w:tc>
          <w:tcPr>
            <w:tcW w:type="dxa" w:w="10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0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9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79.771,22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 </w:t>
            </w:r>
          </w:p>
        </w:tc>
      </w:tr>
      <w:tr w:rsidTr="009809CC" w:rsidR="009809CC">
        <w:trPr>
          <w:trHeight w:val="324"/>
        </w:trPr>
        <w:tc>
          <w:tcPr>
            <w:tcW w:type="dxa" w:w="6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type="dxa" w:w="1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30.10.2015.</w:t>
            </w:r>
          </w:p>
        </w:tc>
        <w:tc>
          <w:tcPr>
            <w:tcW w:type="dxa" w:w="10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0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3.481,84</w:t>
            </w:r>
          </w:p>
        </w:tc>
        <w:tc>
          <w:tcPr>
            <w:tcW w:type="dxa" w:w="10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3.182,70</w:t>
            </w:r>
          </w:p>
        </w:tc>
        <w:tc>
          <w:tcPr>
            <w:tcW w:type="dxa" w:w="9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299,14</w:t>
            </w:r>
          </w:p>
        </w:tc>
        <w:tc>
          <w:tcPr>
            <w:tcW w:type="dxa" w:w="1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76.588,52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1. rata otplate</w:t>
            </w:r>
          </w:p>
        </w:tc>
      </w:tr>
      <w:tr w:rsidTr="009809CC" w:rsidR="009809CC">
        <w:trPr>
          <w:trHeight w:val="324"/>
        </w:trPr>
        <w:tc>
          <w:tcPr>
            <w:tcW w:type="dxa" w:w="6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</w:t>
            </w:r>
          </w:p>
        </w:tc>
        <w:tc>
          <w:tcPr>
            <w:tcW w:type="dxa" w:w="1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30.11.2015.</w:t>
            </w:r>
          </w:p>
        </w:tc>
        <w:tc>
          <w:tcPr>
            <w:tcW w:type="dxa" w:w="10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0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3.481,84</w:t>
            </w:r>
          </w:p>
        </w:tc>
        <w:tc>
          <w:tcPr>
            <w:tcW w:type="dxa" w:w="10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3.194,63</w:t>
            </w:r>
          </w:p>
        </w:tc>
        <w:tc>
          <w:tcPr>
            <w:tcW w:type="dxa" w:w="9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287,21</w:t>
            </w:r>
          </w:p>
        </w:tc>
        <w:tc>
          <w:tcPr>
            <w:tcW w:type="dxa" w:w="1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73.393,89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2. rata otplate</w:t>
            </w:r>
          </w:p>
        </w:tc>
      </w:tr>
      <w:tr w:rsidTr="009809CC" w:rsidR="009809CC">
        <w:trPr>
          <w:trHeight w:val="324"/>
        </w:trPr>
        <w:tc>
          <w:tcPr>
            <w:tcW w:type="dxa" w:w="6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</w:t>
            </w:r>
          </w:p>
        </w:tc>
        <w:tc>
          <w:tcPr>
            <w:tcW w:type="dxa" w:w="1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30.12.2015</w:t>
            </w:r>
          </w:p>
        </w:tc>
        <w:tc>
          <w:tcPr>
            <w:tcW w:type="dxa" w:w="10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0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3.481,84</w:t>
            </w:r>
          </w:p>
        </w:tc>
        <w:tc>
          <w:tcPr>
            <w:tcW w:type="dxa" w:w="10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3.206,61</w:t>
            </w:r>
          </w:p>
        </w:tc>
        <w:tc>
          <w:tcPr>
            <w:tcW w:type="dxa" w:w="9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275,23</w:t>
            </w:r>
          </w:p>
        </w:tc>
        <w:tc>
          <w:tcPr>
            <w:tcW w:type="dxa" w:w="1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70.187,28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3. rata otplate</w:t>
            </w:r>
          </w:p>
        </w:tc>
      </w:tr>
      <w:tr w:rsidTr="009809CC" w:rsidR="009809CC">
        <w:trPr>
          <w:trHeight w:val="324"/>
        </w:trPr>
        <w:tc>
          <w:tcPr>
            <w:tcW w:type="dxa" w:w="6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4</w:t>
            </w:r>
          </w:p>
        </w:tc>
        <w:tc>
          <w:tcPr>
            <w:tcW w:type="dxa" w:w="1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30.01.2016.</w:t>
            </w:r>
          </w:p>
        </w:tc>
        <w:tc>
          <w:tcPr>
            <w:tcW w:type="dxa" w:w="10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0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3.481,84</w:t>
            </w:r>
          </w:p>
        </w:tc>
        <w:tc>
          <w:tcPr>
            <w:tcW w:type="dxa" w:w="10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3.218,64</w:t>
            </w:r>
          </w:p>
        </w:tc>
        <w:tc>
          <w:tcPr>
            <w:tcW w:type="dxa" w:w="9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263,20</w:t>
            </w:r>
          </w:p>
        </w:tc>
        <w:tc>
          <w:tcPr>
            <w:tcW w:type="dxa" w:w="1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66.968,64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4. rata otplate</w:t>
            </w:r>
          </w:p>
        </w:tc>
      </w:tr>
      <w:tr w:rsidTr="009809CC" w:rsidR="009809CC">
        <w:trPr>
          <w:trHeight w:val="324"/>
        </w:trPr>
        <w:tc>
          <w:tcPr>
            <w:tcW w:type="dxa" w:w="6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5</w:t>
            </w:r>
          </w:p>
        </w:tc>
        <w:tc>
          <w:tcPr>
            <w:tcW w:type="dxa" w:w="1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29.02.2015.</w:t>
            </w:r>
          </w:p>
        </w:tc>
        <w:tc>
          <w:tcPr>
            <w:tcW w:type="dxa" w:w="10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0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3.481,84</w:t>
            </w:r>
          </w:p>
        </w:tc>
        <w:tc>
          <w:tcPr>
            <w:tcW w:type="dxa" w:w="10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3.230,71</w:t>
            </w:r>
          </w:p>
        </w:tc>
        <w:tc>
          <w:tcPr>
            <w:tcW w:type="dxa" w:w="9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251,13</w:t>
            </w:r>
          </w:p>
        </w:tc>
        <w:tc>
          <w:tcPr>
            <w:tcW w:type="dxa" w:w="1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63.737,93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5. rata otplate</w:t>
            </w:r>
          </w:p>
        </w:tc>
      </w:tr>
      <w:tr w:rsidTr="009809CC" w:rsidR="009809CC">
        <w:trPr>
          <w:trHeight w:val="324"/>
        </w:trPr>
        <w:tc>
          <w:tcPr>
            <w:tcW w:type="dxa" w:w="6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6</w:t>
            </w:r>
          </w:p>
        </w:tc>
        <w:tc>
          <w:tcPr>
            <w:tcW w:type="dxa" w:w="1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30.03.2016.</w:t>
            </w:r>
          </w:p>
        </w:tc>
        <w:tc>
          <w:tcPr>
            <w:tcW w:type="dxa" w:w="10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0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3.481,84</w:t>
            </w:r>
          </w:p>
        </w:tc>
        <w:tc>
          <w:tcPr>
            <w:tcW w:type="dxa" w:w="10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3.242,82</w:t>
            </w:r>
          </w:p>
        </w:tc>
        <w:tc>
          <w:tcPr>
            <w:tcW w:type="dxa" w:w="9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239,02</w:t>
            </w:r>
          </w:p>
        </w:tc>
        <w:tc>
          <w:tcPr>
            <w:tcW w:type="dxa" w:w="1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60.495,11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6. rata otplate</w:t>
            </w:r>
          </w:p>
        </w:tc>
      </w:tr>
      <w:tr w:rsidTr="009809CC" w:rsidR="009809CC">
        <w:trPr>
          <w:trHeight w:val="324"/>
        </w:trPr>
        <w:tc>
          <w:tcPr>
            <w:tcW w:type="dxa" w:w="6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7</w:t>
            </w:r>
          </w:p>
        </w:tc>
        <w:tc>
          <w:tcPr>
            <w:tcW w:type="dxa" w:w="1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30.04.2016.</w:t>
            </w:r>
          </w:p>
        </w:tc>
        <w:tc>
          <w:tcPr>
            <w:tcW w:type="dxa" w:w="10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0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3.481,84</w:t>
            </w:r>
          </w:p>
        </w:tc>
        <w:tc>
          <w:tcPr>
            <w:tcW w:type="dxa" w:w="10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3.254,98</w:t>
            </w:r>
          </w:p>
        </w:tc>
        <w:tc>
          <w:tcPr>
            <w:tcW w:type="dxa" w:w="9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226,86</w:t>
            </w:r>
          </w:p>
        </w:tc>
        <w:tc>
          <w:tcPr>
            <w:tcW w:type="dxa" w:w="1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57.240,12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7. rata otplate</w:t>
            </w:r>
          </w:p>
        </w:tc>
      </w:tr>
      <w:tr w:rsidTr="009809CC" w:rsidR="009809CC">
        <w:trPr>
          <w:trHeight w:val="324"/>
        </w:trPr>
        <w:tc>
          <w:tcPr>
            <w:tcW w:type="dxa" w:w="6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8</w:t>
            </w:r>
          </w:p>
        </w:tc>
        <w:tc>
          <w:tcPr>
            <w:tcW w:type="dxa" w:w="1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30.05.2016.</w:t>
            </w:r>
          </w:p>
        </w:tc>
        <w:tc>
          <w:tcPr>
            <w:tcW w:type="dxa" w:w="10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0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3.481,84</w:t>
            </w:r>
          </w:p>
        </w:tc>
        <w:tc>
          <w:tcPr>
            <w:tcW w:type="dxa" w:w="10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3.267,19</w:t>
            </w:r>
          </w:p>
        </w:tc>
        <w:tc>
          <w:tcPr>
            <w:tcW w:type="dxa" w:w="9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214,65</w:t>
            </w:r>
          </w:p>
        </w:tc>
        <w:tc>
          <w:tcPr>
            <w:tcW w:type="dxa" w:w="1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53.972,94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8. rata otplate</w:t>
            </w:r>
          </w:p>
        </w:tc>
      </w:tr>
      <w:tr w:rsidTr="009809CC" w:rsidR="009809CC">
        <w:trPr>
          <w:trHeight w:val="324"/>
        </w:trPr>
        <w:tc>
          <w:tcPr>
            <w:tcW w:type="dxa" w:w="6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9</w:t>
            </w:r>
          </w:p>
        </w:tc>
        <w:tc>
          <w:tcPr>
            <w:tcW w:type="dxa" w:w="11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30.06.2016.</w:t>
            </w:r>
          </w:p>
        </w:tc>
        <w:tc>
          <w:tcPr>
            <w:tcW w:type="dxa" w:w="10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0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3.481,84</w:t>
            </w:r>
          </w:p>
        </w:tc>
        <w:tc>
          <w:tcPr>
            <w:tcW w:type="dxa" w:w="10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3.279,44</w:t>
            </w: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202,40</w:t>
            </w:r>
          </w:p>
        </w:tc>
        <w:tc>
          <w:tcPr>
            <w:tcW w:type="dxa" w:w="12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50.693,49</w:t>
            </w:r>
          </w:p>
        </w:tc>
        <w:tc>
          <w:tcPr>
            <w:tcW w:type="dxa" w:w="19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9. rata otplate</w:t>
            </w:r>
          </w:p>
        </w:tc>
      </w:tr>
      <w:tr w:rsidTr="009809CC" w:rsidR="009809CC">
        <w:trPr>
          <w:trHeight w:val="324"/>
        </w:trPr>
        <w:tc>
          <w:tcPr>
            <w:tcW w:type="dxa" w:w="6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10</w:t>
            </w:r>
          </w:p>
        </w:tc>
        <w:tc>
          <w:tcPr>
            <w:tcW w:type="dxa" w:w="11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30.07.2016.</w:t>
            </w:r>
          </w:p>
        </w:tc>
        <w:tc>
          <w:tcPr>
            <w:tcW w:type="dxa" w:w="10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0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3.481,84</w:t>
            </w:r>
          </w:p>
        </w:tc>
        <w:tc>
          <w:tcPr>
            <w:tcW w:type="dxa" w:w="10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3.291,74</w:t>
            </w: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190,10</w:t>
            </w:r>
          </w:p>
        </w:tc>
        <w:tc>
          <w:tcPr>
            <w:tcW w:type="dxa" w:w="12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47.401,75</w:t>
            </w:r>
          </w:p>
        </w:tc>
        <w:tc>
          <w:tcPr>
            <w:tcW w:type="dxa" w:w="19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10. rata otplate</w:t>
            </w:r>
          </w:p>
        </w:tc>
      </w:tr>
      <w:tr w:rsidTr="009809CC" w:rsidR="009809CC">
        <w:trPr>
          <w:trHeight w:val="324"/>
        </w:trPr>
        <w:tc>
          <w:tcPr>
            <w:tcW w:type="dxa" w:w="6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11</w:t>
            </w:r>
          </w:p>
        </w:tc>
        <w:tc>
          <w:tcPr>
            <w:tcW w:type="dxa" w:w="11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30.08.2016.</w:t>
            </w:r>
          </w:p>
        </w:tc>
        <w:tc>
          <w:tcPr>
            <w:tcW w:type="dxa" w:w="10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0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3.481,84</w:t>
            </w:r>
          </w:p>
        </w:tc>
        <w:tc>
          <w:tcPr>
            <w:tcW w:type="dxa" w:w="10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3.304,08</w:t>
            </w: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177,76</w:t>
            </w:r>
          </w:p>
        </w:tc>
        <w:tc>
          <w:tcPr>
            <w:tcW w:type="dxa" w:w="12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44.097,67</w:t>
            </w:r>
          </w:p>
        </w:tc>
        <w:tc>
          <w:tcPr>
            <w:tcW w:type="dxa" w:w="19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11. rata otplate</w:t>
            </w:r>
          </w:p>
        </w:tc>
      </w:tr>
      <w:tr w:rsidTr="009809CC" w:rsidR="009809CC">
        <w:trPr>
          <w:trHeight w:val="324"/>
        </w:trPr>
        <w:tc>
          <w:tcPr>
            <w:tcW w:type="dxa" w:w="6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12</w:t>
            </w:r>
          </w:p>
        </w:tc>
        <w:tc>
          <w:tcPr>
            <w:tcW w:type="dxa" w:w="11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30.09.2016.</w:t>
            </w:r>
          </w:p>
        </w:tc>
        <w:tc>
          <w:tcPr>
            <w:tcW w:type="dxa" w:w="10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0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3.481,84</w:t>
            </w:r>
          </w:p>
        </w:tc>
        <w:tc>
          <w:tcPr>
            <w:tcW w:type="dxa" w:w="10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3.316,47</w:t>
            </w: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165,37</w:t>
            </w:r>
          </w:p>
        </w:tc>
        <w:tc>
          <w:tcPr>
            <w:tcW w:type="dxa" w:w="12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40.781,20</w:t>
            </w:r>
          </w:p>
        </w:tc>
        <w:tc>
          <w:tcPr>
            <w:tcW w:type="dxa" w:w="19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12. rata otplate</w:t>
            </w:r>
          </w:p>
        </w:tc>
      </w:tr>
      <w:tr w:rsidTr="009809CC" w:rsidR="009809CC">
        <w:trPr>
          <w:trHeight w:val="324"/>
        </w:trPr>
        <w:tc>
          <w:tcPr>
            <w:tcW w:type="dxa" w:w="6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13</w:t>
            </w:r>
          </w:p>
        </w:tc>
        <w:tc>
          <w:tcPr>
            <w:tcW w:type="dxa" w:w="11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30.10.2016.</w:t>
            </w:r>
          </w:p>
        </w:tc>
        <w:tc>
          <w:tcPr>
            <w:tcW w:type="dxa" w:w="10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0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3.481,84</w:t>
            </w:r>
          </w:p>
        </w:tc>
        <w:tc>
          <w:tcPr>
            <w:tcW w:type="dxa" w:w="10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3.328,91</w:t>
            </w: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152,93</w:t>
            </w:r>
          </w:p>
        </w:tc>
        <w:tc>
          <w:tcPr>
            <w:tcW w:type="dxa" w:w="12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37.452,29</w:t>
            </w:r>
          </w:p>
        </w:tc>
        <w:tc>
          <w:tcPr>
            <w:tcW w:type="dxa" w:w="19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13. rata otplate</w:t>
            </w:r>
          </w:p>
        </w:tc>
      </w:tr>
      <w:tr w:rsidTr="009809CC" w:rsidR="009809CC">
        <w:trPr>
          <w:trHeight w:val="324"/>
        </w:trPr>
        <w:tc>
          <w:tcPr>
            <w:tcW w:type="dxa" w:w="6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14</w:t>
            </w:r>
          </w:p>
        </w:tc>
        <w:tc>
          <w:tcPr>
            <w:tcW w:type="dxa" w:w="11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30.11.2016.</w:t>
            </w:r>
          </w:p>
        </w:tc>
        <w:tc>
          <w:tcPr>
            <w:tcW w:type="dxa" w:w="10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0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3.481,84</w:t>
            </w:r>
          </w:p>
        </w:tc>
        <w:tc>
          <w:tcPr>
            <w:tcW w:type="dxa" w:w="10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3.341,39</w:t>
            </w: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140,45</w:t>
            </w:r>
          </w:p>
        </w:tc>
        <w:tc>
          <w:tcPr>
            <w:tcW w:type="dxa" w:w="12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34.110,89</w:t>
            </w:r>
          </w:p>
        </w:tc>
        <w:tc>
          <w:tcPr>
            <w:tcW w:type="dxa" w:w="19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14. rata otplate</w:t>
            </w:r>
          </w:p>
        </w:tc>
      </w:tr>
      <w:tr w:rsidTr="009809CC" w:rsidR="009809CC">
        <w:trPr>
          <w:trHeight w:val="324"/>
        </w:trPr>
        <w:tc>
          <w:tcPr>
            <w:tcW w:type="dxa" w:w="6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15</w:t>
            </w:r>
          </w:p>
        </w:tc>
        <w:tc>
          <w:tcPr>
            <w:tcW w:type="dxa" w:w="11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30.12.2016.</w:t>
            </w:r>
          </w:p>
        </w:tc>
        <w:tc>
          <w:tcPr>
            <w:tcW w:type="dxa" w:w="10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0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3.481,84</w:t>
            </w:r>
          </w:p>
        </w:tc>
        <w:tc>
          <w:tcPr>
            <w:tcW w:type="dxa" w:w="10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3.353,92</w:t>
            </w:r>
          </w:p>
        </w:tc>
        <w:tc>
          <w:tcPr>
            <w:tcW w:type="dxa" w:w="9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127,92</w:t>
            </w:r>
          </w:p>
        </w:tc>
        <w:tc>
          <w:tcPr>
            <w:tcW w:type="dxa" w:w="120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30.756,97</w:t>
            </w:r>
          </w:p>
        </w:tc>
        <w:tc>
          <w:tcPr>
            <w:tcW w:type="dxa" w:w="19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15. rata otplate</w:t>
            </w:r>
          </w:p>
        </w:tc>
      </w:tr>
      <w:tr w:rsidTr="009809CC" w:rsidR="009809CC">
        <w:trPr>
          <w:trHeight w:val="324"/>
        </w:trPr>
        <w:tc>
          <w:tcPr>
            <w:tcW w:type="dxa" w:w="6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16</w:t>
            </w:r>
          </w:p>
        </w:tc>
        <w:tc>
          <w:tcPr>
            <w:tcW w:type="dxa" w:w="1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30.01.2017.</w:t>
            </w:r>
          </w:p>
        </w:tc>
        <w:tc>
          <w:tcPr>
            <w:tcW w:type="dxa" w:w="10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0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3.481,84</w:t>
            </w:r>
          </w:p>
        </w:tc>
        <w:tc>
          <w:tcPr>
            <w:tcW w:type="dxa" w:w="10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3.366,50</w:t>
            </w:r>
          </w:p>
        </w:tc>
        <w:tc>
          <w:tcPr>
            <w:tcW w:type="dxa" w:w="9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115,34</w:t>
            </w:r>
          </w:p>
        </w:tc>
        <w:tc>
          <w:tcPr>
            <w:tcW w:type="dxa" w:w="1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27.390,47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16. rata otplate</w:t>
            </w:r>
          </w:p>
        </w:tc>
      </w:tr>
      <w:tr w:rsidTr="009809CC" w:rsidR="009809CC">
        <w:trPr>
          <w:trHeight w:val="324"/>
        </w:trPr>
        <w:tc>
          <w:tcPr>
            <w:tcW w:type="dxa" w:w="6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17</w:t>
            </w:r>
          </w:p>
        </w:tc>
        <w:tc>
          <w:tcPr>
            <w:tcW w:type="dxa" w:w="1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28.02.2017.</w:t>
            </w:r>
          </w:p>
        </w:tc>
        <w:tc>
          <w:tcPr>
            <w:tcW w:type="dxa" w:w="10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0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3.481,84</w:t>
            </w:r>
          </w:p>
        </w:tc>
        <w:tc>
          <w:tcPr>
            <w:tcW w:type="dxa" w:w="10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3.379,13</w:t>
            </w:r>
          </w:p>
        </w:tc>
        <w:tc>
          <w:tcPr>
            <w:tcW w:type="dxa" w:w="9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102,71</w:t>
            </w:r>
          </w:p>
        </w:tc>
        <w:tc>
          <w:tcPr>
            <w:tcW w:type="dxa" w:w="1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24.011,34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17. rata otplate</w:t>
            </w:r>
          </w:p>
        </w:tc>
      </w:tr>
      <w:tr w:rsidTr="009809CC" w:rsidR="009809CC">
        <w:trPr>
          <w:trHeight w:val="324"/>
        </w:trPr>
        <w:tc>
          <w:tcPr>
            <w:tcW w:type="dxa" w:w="6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18</w:t>
            </w:r>
          </w:p>
        </w:tc>
        <w:tc>
          <w:tcPr>
            <w:tcW w:type="dxa" w:w="1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30.03.2017.</w:t>
            </w:r>
          </w:p>
        </w:tc>
        <w:tc>
          <w:tcPr>
            <w:tcW w:type="dxa" w:w="10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0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3.481,84</w:t>
            </w:r>
          </w:p>
        </w:tc>
        <w:tc>
          <w:tcPr>
            <w:tcW w:type="dxa" w:w="10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3.391,80</w:t>
            </w:r>
          </w:p>
        </w:tc>
        <w:tc>
          <w:tcPr>
            <w:tcW w:type="dxa" w:w="9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90,04</w:t>
            </w:r>
          </w:p>
        </w:tc>
        <w:tc>
          <w:tcPr>
            <w:tcW w:type="dxa" w:w="1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20.619,54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18. rata otplate</w:t>
            </w:r>
          </w:p>
        </w:tc>
      </w:tr>
      <w:tr w:rsidTr="009809CC" w:rsidR="009809CC">
        <w:trPr>
          <w:trHeight w:val="324"/>
        </w:trPr>
        <w:tc>
          <w:tcPr>
            <w:tcW w:type="dxa" w:w="6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19</w:t>
            </w:r>
          </w:p>
        </w:tc>
        <w:tc>
          <w:tcPr>
            <w:tcW w:type="dxa" w:w="1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30.04.2017.</w:t>
            </w:r>
          </w:p>
        </w:tc>
        <w:tc>
          <w:tcPr>
            <w:tcW w:type="dxa" w:w="10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0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3.481,84</w:t>
            </w:r>
          </w:p>
        </w:tc>
        <w:tc>
          <w:tcPr>
            <w:tcW w:type="dxa" w:w="10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3.404,52</w:t>
            </w:r>
          </w:p>
        </w:tc>
        <w:tc>
          <w:tcPr>
            <w:tcW w:type="dxa" w:w="9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77,32</w:t>
            </w:r>
          </w:p>
        </w:tc>
        <w:tc>
          <w:tcPr>
            <w:tcW w:type="dxa" w:w="1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17.215,03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19. rata otplate</w:t>
            </w:r>
          </w:p>
        </w:tc>
      </w:tr>
      <w:tr w:rsidTr="009809CC" w:rsidR="009809CC">
        <w:trPr>
          <w:trHeight w:val="324"/>
        </w:trPr>
        <w:tc>
          <w:tcPr>
            <w:tcW w:type="dxa" w:w="6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20</w:t>
            </w:r>
          </w:p>
        </w:tc>
        <w:tc>
          <w:tcPr>
            <w:tcW w:type="dxa" w:w="11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30.05.2017.</w:t>
            </w:r>
          </w:p>
        </w:tc>
        <w:tc>
          <w:tcPr>
            <w:tcW w:type="dxa" w:w="10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0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3.481,84</w:t>
            </w:r>
          </w:p>
        </w:tc>
        <w:tc>
          <w:tcPr>
            <w:tcW w:type="dxa" w:w="10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3.417,28</w:t>
            </w: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64,56</w:t>
            </w:r>
          </w:p>
        </w:tc>
        <w:tc>
          <w:tcPr>
            <w:tcW w:type="dxa" w:w="12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13.797,74</w:t>
            </w:r>
          </w:p>
        </w:tc>
        <w:tc>
          <w:tcPr>
            <w:tcW w:type="dxa" w:w="19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20. rata otplate</w:t>
            </w:r>
          </w:p>
        </w:tc>
      </w:tr>
      <w:tr w:rsidTr="009809CC" w:rsidR="009809CC">
        <w:trPr>
          <w:trHeight w:val="324"/>
        </w:trPr>
        <w:tc>
          <w:tcPr>
            <w:tcW w:type="dxa" w:w="6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21</w:t>
            </w:r>
          </w:p>
        </w:tc>
        <w:tc>
          <w:tcPr>
            <w:tcW w:type="dxa" w:w="11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30.06.2017.</w:t>
            </w:r>
          </w:p>
        </w:tc>
        <w:tc>
          <w:tcPr>
            <w:tcW w:type="dxa" w:w="10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0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3.481,84</w:t>
            </w:r>
          </w:p>
        </w:tc>
        <w:tc>
          <w:tcPr>
            <w:tcW w:type="dxa" w:w="10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3.430,10</w:t>
            </w: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51,74</w:t>
            </w:r>
          </w:p>
        </w:tc>
        <w:tc>
          <w:tcPr>
            <w:tcW w:type="dxa" w:w="12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10.367,65</w:t>
            </w:r>
          </w:p>
        </w:tc>
        <w:tc>
          <w:tcPr>
            <w:tcW w:type="dxa" w:w="19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21. rata otplate</w:t>
            </w:r>
          </w:p>
        </w:tc>
      </w:tr>
      <w:tr w:rsidTr="009809CC" w:rsidR="009809CC">
        <w:trPr>
          <w:trHeight w:val="324"/>
        </w:trPr>
        <w:tc>
          <w:tcPr>
            <w:tcW w:type="dxa" w:w="6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22</w:t>
            </w:r>
          </w:p>
        </w:tc>
        <w:tc>
          <w:tcPr>
            <w:tcW w:type="dxa" w:w="11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30.07.2017.</w:t>
            </w:r>
          </w:p>
        </w:tc>
        <w:tc>
          <w:tcPr>
            <w:tcW w:type="dxa" w:w="10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0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3.481,84</w:t>
            </w:r>
          </w:p>
        </w:tc>
        <w:tc>
          <w:tcPr>
            <w:tcW w:type="dxa" w:w="10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3.442,96</w:t>
            </w:r>
          </w:p>
        </w:tc>
        <w:tc>
          <w:tcPr>
            <w:tcW w:type="dxa" w:w="9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38,88</w:t>
            </w:r>
          </w:p>
        </w:tc>
        <w:tc>
          <w:tcPr>
            <w:tcW w:type="dxa" w:w="120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6.924,68</w:t>
            </w:r>
          </w:p>
        </w:tc>
        <w:tc>
          <w:tcPr>
            <w:tcW w:type="dxa" w:w="19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22. rata otplate</w:t>
            </w:r>
          </w:p>
        </w:tc>
      </w:tr>
      <w:tr w:rsidTr="009809CC" w:rsidR="009809CC">
        <w:trPr>
          <w:trHeight w:val="324"/>
        </w:trPr>
        <w:tc>
          <w:tcPr>
            <w:tcW w:type="dxa" w:w="6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23</w:t>
            </w:r>
          </w:p>
        </w:tc>
        <w:tc>
          <w:tcPr>
            <w:tcW w:type="dxa" w:w="1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30.08.2017.</w:t>
            </w:r>
          </w:p>
        </w:tc>
        <w:tc>
          <w:tcPr>
            <w:tcW w:type="dxa" w:w="10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0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3.481,84</w:t>
            </w:r>
          </w:p>
        </w:tc>
        <w:tc>
          <w:tcPr>
            <w:tcW w:type="dxa" w:w="10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3.455,87</w:t>
            </w:r>
          </w:p>
        </w:tc>
        <w:tc>
          <w:tcPr>
            <w:tcW w:type="dxa" w:w="9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25,97</w:t>
            </w:r>
          </w:p>
        </w:tc>
        <w:tc>
          <w:tcPr>
            <w:tcW w:type="dxa" w:w="1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3.468,81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23. rata otplate</w:t>
            </w:r>
          </w:p>
        </w:tc>
      </w:tr>
      <w:tr w:rsidTr="009809CC" w:rsidR="009809CC">
        <w:trPr>
          <w:trHeight w:val="324"/>
        </w:trPr>
        <w:tc>
          <w:tcPr>
            <w:tcW w:type="dxa" w:w="6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24</w:t>
            </w:r>
          </w:p>
        </w:tc>
        <w:tc>
          <w:tcPr>
            <w:tcW w:type="dxa" w:w="1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30.09.2017.</w:t>
            </w:r>
          </w:p>
        </w:tc>
        <w:tc>
          <w:tcPr>
            <w:tcW w:type="dxa" w:w="10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0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3.481,84</w:t>
            </w:r>
          </w:p>
        </w:tc>
        <w:tc>
          <w:tcPr>
            <w:tcW w:type="dxa" w:w="10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3.468,81</w:t>
            </w:r>
          </w:p>
        </w:tc>
        <w:tc>
          <w:tcPr>
            <w:tcW w:type="dxa" w:w="9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13,01</w:t>
            </w:r>
          </w:p>
        </w:tc>
        <w:tc>
          <w:tcPr>
            <w:tcW w:type="dxa" w:w="12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24. rata otplate</w:t>
            </w:r>
          </w:p>
        </w:tc>
      </w:tr>
      <w:tr w:rsidTr="009809CC" w:rsidR="009809CC">
        <w:trPr>
          <w:trHeight w:val="496"/>
        </w:trPr>
        <w:tc>
          <w:tcPr>
            <w:tcW w:type="dxa" w:w="633"/>
            <w:noWrap/>
            <w:vAlign w:val="bottom"/>
            <w:hideMark/>
          </w:tcPr>
          <w:p w:rsidRDefault="009809CC" w:rsidR="009809CC">
            <w:pPr>
              <w:rPr>
                <w:sz w:val="20"/>
              </w:rPr>
            </w:pPr>
          </w:p>
        </w:tc>
        <w:tc>
          <w:tcPr>
            <w:tcW w:type="dxa" w:w="1168"/>
            <w:noWrap/>
            <w:vAlign w:val="bottom"/>
            <w:hideMark/>
          </w:tcPr>
          <w:p w:rsidRDefault="009809CC" w:rsidR="009809CC">
            <w:pPr>
              <w:rPr>
                <w:sz w:val="20"/>
              </w:rPr>
            </w:pPr>
          </w:p>
        </w:tc>
        <w:tc>
          <w:tcPr>
            <w:tcW w:type="dxa" w:w="1029"/>
            <w:tcBorders>
              <w:top w:val="nil"/>
              <w:left w:val="nil"/>
              <w:bottom w:space="0" w:sz="8" w:color="auto" w:val="single"/>
              <w:right w:val="nil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79.771,22</w:t>
            </w:r>
          </w:p>
        </w:tc>
        <w:tc>
          <w:tcPr>
            <w:tcW w:type="dxa" w:w="1049"/>
            <w:tcBorders>
              <w:top w:val="nil"/>
              <w:left w:val="nil"/>
              <w:bottom w:space="0" w:sz="8" w:color="auto" w:val="single"/>
              <w:right w:val="nil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83.564,16</w:t>
            </w:r>
          </w:p>
        </w:tc>
        <w:tc>
          <w:tcPr>
            <w:tcW w:type="dxa" w:w="1029"/>
            <w:tcBorders>
              <w:top w:val="nil"/>
              <w:left w:val="nil"/>
              <w:bottom w:space="0" w:sz="8" w:color="auto" w:val="single"/>
              <w:right w:val="nil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79.771,22</w:t>
            </w:r>
          </w:p>
        </w:tc>
        <w:tc>
          <w:tcPr>
            <w:tcW w:type="dxa" w:w="950"/>
            <w:tcBorders>
              <w:top w:val="nil"/>
              <w:left w:val="nil"/>
              <w:bottom w:space="0" w:sz="8" w:color="auto" w:val="single"/>
              <w:right w:val="nil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3.792,92</w:t>
            </w:r>
          </w:p>
        </w:tc>
        <w:tc>
          <w:tcPr>
            <w:tcW w:type="dxa" w:w="1207"/>
            <w:noWrap/>
            <w:vAlign w:val="bottom"/>
            <w:hideMark/>
          </w:tcPr>
          <w:p w:rsidRDefault="009809CC" w:rsidR="009809CC">
            <w:pPr>
              <w:rPr>
                <w:sz w:val="20"/>
              </w:rPr>
            </w:pPr>
          </w:p>
        </w:tc>
        <w:tc>
          <w:tcPr>
            <w:tcW w:type="dxa" w:w="1900"/>
            <w:noWrap/>
            <w:vAlign w:val="center"/>
            <w:hideMark/>
          </w:tcPr>
          <w:p w:rsidRDefault="009809CC" w:rsidR="009809CC">
            <w:pPr>
              <w:rPr>
                <w:sz w:val="20"/>
              </w:rPr>
            </w:pPr>
          </w:p>
        </w:tc>
      </w:tr>
    </w:tbl>
    <w:p w:rsidRDefault="009809CC" w:rsidP="009809CC" w:rsidR="009809CC">
      <w:pPr>
        <w:rPr>
          <w:b/>
          <w:sz w:val="26"/>
          <w:szCs w:val="26"/>
        </w:rPr>
      </w:pPr>
    </w:p>
    <w:p w:rsidRDefault="009809CC" w:rsidP="009809CC" w:rsidR="009809CC">
      <w:pPr>
        <w:pBdr>
          <w:bottom w:space="1" w:sz="4" w:color="auto" w:val="single"/>
        </w:pBdr>
        <w:jc w:val="both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II.GRUPA</w:t>
      </w:r>
      <w:proofErr w:type="spellEnd"/>
      <w:r>
        <w:rPr>
          <w:b/>
          <w:sz w:val="26"/>
          <w:szCs w:val="26"/>
        </w:rPr>
        <w:t>: FINANCIJSKE INSTITUCIJE</w:t>
      </w:r>
    </w:p>
    <w:p w:rsidRDefault="009809CC" w:rsidP="009809CC" w:rsidR="009809CC">
      <w:pPr>
        <w:jc w:val="both"/>
        <w:rPr>
          <w:b/>
          <w:sz w:val="2"/>
          <w:szCs w:val="26"/>
        </w:rPr>
      </w:pPr>
    </w:p>
    <w:p w:rsidRDefault="009809CC" w:rsidP="009809CC" w:rsidR="009809CC">
      <w:pPr>
        <w:rPr>
          <w:b/>
          <w:sz w:val="26"/>
          <w:szCs w:val="26"/>
        </w:rPr>
      </w:pPr>
    </w:p>
    <w:tbl>
      <w:tblPr>
        <w:tblW w:type="dxa" w:w="9340"/>
        <w:tblInd w:type="dxa" w:w="93"/>
        <w:tblLook w:val="04A0" w:noVBand="1" w:noHBand="0" w:lastColumn="0" w:firstColumn="1" w:lastRow="0" w:firstRow="1"/>
      </w:tblPr>
      <w:tblGrid>
        <w:gridCol w:w="621"/>
        <w:gridCol w:w="1555"/>
        <w:gridCol w:w="3900"/>
        <w:gridCol w:w="1180"/>
        <w:gridCol w:w="1113"/>
        <w:gridCol w:w="1400"/>
      </w:tblGrid>
      <w:tr w:rsidTr="009809CC" w:rsidR="009809CC">
        <w:trPr>
          <w:trHeight w:val="615"/>
        </w:trPr>
        <w:tc>
          <w:tcPr>
            <w:tcW w:type="dxa" w:w="44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CCC0DA" w:color="auto" w:val="clear"/>
            <w:noWrap/>
            <w:vAlign w:val="bottom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>
              <w:rPr>
                <w:rFonts w:cs="Calibri" w:hAnsi="Calibri" w:ascii="Calibri"/>
                <w:b/>
                <w:bCs/>
                <w:color w:val="000000"/>
              </w:rPr>
              <w:t>RBR</w:t>
            </w:r>
          </w:p>
        </w:tc>
        <w:tc>
          <w:tcPr>
            <w:tcW w:type="dxa" w:w="13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CCC0DA" w:color="auto" w:val="clear"/>
            <w:noWrap/>
            <w:vAlign w:val="bottom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>
              <w:rPr>
                <w:rFonts w:cs="Calibri" w:hAnsi="Calibri" w:ascii="Calibri"/>
                <w:b/>
                <w:bCs/>
                <w:color w:val="000000"/>
              </w:rPr>
              <w:t>OIB</w:t>
            </w:r>
          </w:p>
        </w:tc>
        <w:tc>
          <w:tcPr>
            <w:tcW w:type="dxa" w:w="390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CCC0DA" w:color="auto" w:val="clear"/>
            <w:noWrap/>
            <w:vAlign w:val="bottom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>
              <w:rPr>
                <w:rFonts w:cs="Calibri" w:hAnsi="Calibri" w:ascii="Calibri"/>
                <w:b/>
                <w:bCs/>
                <w:color w:val="000000"/>
              </w:rPr>
              <w:t>NAZIV VJEROVNIKA</w:t>
            </w:r>
          </w:p>
        </w:tc>
        <w:tc>
          <w:tcPr>
            <w:tcW w:type="dxa" w:w="118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CCC0DA" w:color="auto" w:val="clear"/>
            <w:noWrap/>
            <w:vAlign w:val="bottom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>
              <w:rPr>
                <w:rFonts w:cs="Calibri" w:hAnsi="Calibri" w:ascii="Calibri"/>
                <w:b/>
                <w:bCs/>
                <w:color w:val="000000"/>
              </w:rPr>
              <w:t>IZNOS</w:t>
            </w:r>
          </w:p>
        </w:tc>
        <w:tc>
          <w:tcPr>
            <w:tcW w:type="dxa" w:w="10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CCC0DA" w:color="auto" w:val="clear"/>
            <w:vAlign w:val="bottom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>
              <w:rPr>
                <w:rFonts w:cs="Calibri" w:hAnsi="Calibri" w:ascii="Calibri"/>
                <w:b/>
                <w:bCs/>
                <w:color w:val="000000"/>
              </w:rPr>
              <w:t>OTPIS  KAMATA</w:t>
            </w:r>
          </w:p>
        </w:tc>
        <w:tc>
          <w:tcPr>
            <w:tcW w:type="dxa" w:w="140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CCC0DA" w:color="auto" w:val="clear"/>
            <w:vAlign w:val="bottom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>
              <w:rPr>
                <w:rFonts w:cs="Calibri" w:hAnsi="Calibri" w:ascii="Calibri"/>
                <w:b/>
                <w:bCs/>
                <w:color w:val="000000"/>
              </w:rPr>
              <w:t>OSTAJE ZA OTPLATITI</w:t>
            </w:r>
          </w:p>
        </w:tc>
      </w:tr>
      <w:tr w:rsidTr="009809CC" w:rsidR="009809CC">
        <w:trPr>
          <w:trHeight w:val="315"/>
        </w:trPr>
        <w:tc>
          <w:tcPr>
            <w:tcW w:type="dxa" w:w="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1</w:t>
            </w:r>
          </w:p>
        </w:tc>
        <w:tc>
          <w:tcPr>
            <w:tcW w:type="dxa" w:w="13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02535697732</w:t>
            </w:r>
          </w:p>
        </w:tc>
        <w:tc>
          <w:tcPr>
            <w:tcW w:type="dxa" w:w="39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PRIVREDNA BANKA ZAGREB d.d.</w:t>
            </w:r>
          </w:p>
        </w:tc>
        <w:tc>
          <w:tcPr>
            <w:tcW w:type="dxa" w:w="11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646,94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0</w:t>
            </w:r>
          </w:p>
        </w:tc>
        <w:tc>
          <w:tcPr>
            <w:tcW w:type="dxa" w:w="1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646,94</w:t>
            </w:r>
          </w:p>
        </w:tc>
      </w:tr>
      <w:tr w:rsidTr="009809CC" w:rsidR="009809CC">
        <w:trPr>
          <w:trHeight w:val="315"/>
        </w:trPr>
        <w:tc>
          <w:tcPr>
            <w:tcW w:type="dxa" w:w="5700"/>
            <w:gridSpan w:val="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CCC0DA" w:color="auto" w:val="clear"/>
            <w:noWrap/>
            <w:vAlign w:val="bottom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>
              <w:rPr>
                <w:rFonts w:cs="Calibri" w:hAnsi="Calibri" w:ascii="Calibri"/>
                <w:b/>
                <w:bCs/>
                <w:color w:val="000000"/>
              </w:rPr>
              <w:t>UKUPNO:</w:t>
            </w:r>
          </w:p>
        </w:tc>
        <w:tc>
          <w:tcPr>
            <w:tcW w:type="dxa" w:w="11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CC0DA" w:color="auto" w:val="clear"/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b/>
                <w:bCs/>
                <w:color w:val="000000"/>
              </w:rPr>
            </w:pPr>
            <w:r>
              <w:rPr>
                <w:rFonts w:cs="Calibri" w:hAnsi="Calibri" w:ascii="Calibri"/>
                <w:b/>
                <w:bCs/>
                <w:color w:val="000000"/>
              </w:rPr>
              <w:t>646,94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CC0DA" w:color="auto" w:val="clear"/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b/>
                <w:bCs/>
                <w:color w:val="000000"/>
              </w:rPr>
            </w:pPr>
            <w:r>
              <w:rPr>
                <w:rFonts w:cs="Calibri" w:hAnsi="Calibri" w:ascii="Calibri"/>
                <w:b/>
                <w:bCs/>
                <w:color w:val="000000"/>
              </w:rPr>
              <w:t>0,00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CC0DA" w:color="auto" w:val="clear"/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b/>
                <w:bCs/>
                <w:color w:val="000000"/>
              </w:rPr>
            </w:pPr>
            <w:r>
              <w:rPr>
                <w:rFonts w:cs="Calibri" w:hAnsi="Calibri" w:ascii="Calibri"/>
                <w:b/>
                <w:bCs/>
                <w:color w:val="000000"/>
              </w:rPr>
              <w:t>646,94</w:t>
            </w:r>
          </w:p>
        </w:tc>
      </w:tr>
    </w:tbl>
    <w:p w:rsidRDefault="009809CC" w:rsidP="009809CC" w:rsidR="009809CC">
      <w:pPr>
        <w:rPr>
          <w:b/>
          <w:sz w:val="26"/>
          <w:szCs w:val="26"/>
        </w:rPr>
      </w:pPr>
    </w:p>
    <w:p w:rsidRDefault="009809CC" w:rsidP="009809CC" w:rsidR="009809CC">
      <w:pPr>
        <w:rPr>
          <w:sz w:val="8"/>
          <w:szCs w:val="26"/>
        </w:rPr>
      </w:pPr>
      <w:r>
        <w:rPr>
          <w:b/>
          <w:sz w:val="26"/>
          <w:szCs w:val="26"/>
        </w:rPr>
        <w:t xml:space="preserve">Dužnik </w:t>
      </w:r>
      <w:r>
        <w:rPr>
          <w:rFonts w:cs="Calibri" w:hAnsi="Cambria" w:ascii="Cambria"/>
          <w:b/>
        </w:rPr>
        <w:t>KOMUNALNO PODUZEĆE NOVA RAČA  d.o.o.</w:t>
      </w:r>
      <w:r>
        <w:rPr>
          <w:b/>
          <w:sz w:val="26"/>
          <w:szCs w:val="26"/>
        </w:rPr>
        <w:t xml:space="preserve"> obvezuje se namiriti:</w:t>
      </w:r>
    </w:p>
    <w:p w:rsidRDefault="009809CC" w:rsidP="009809CC" w:rsidR="009809CC">
      <w:pPr>
        <w:rPr>
          <w:sz w:val="8"/>
          <w:szCs w:val="26"/>
        </w:rPr>
      </w:pPr>
    </w:p>
    <w:p w:rsidRDefault="009809CC" w:rsidP="009809CC" w:rsidR="009809CC">
      <w:pPr>
        <w:pStyle w:val="Odlomakpopisa"/>
        <w:numPr>
          <w:ilvl w:val="0"/>
          <w:numId w:val="54"/>
        </w:numPr>
        <w:spacing w:lineRule="auto" w:line="276" w:after="200"/>
        <w:contextualSpacing/>
        <w:rPr>
          <w:sz w:val="21"/>
          <w:szCs w:val="21"/>
        </w:rPr>
      </w:pPr>
      <w:r>
        <w:rPr>
          <w:b/>
          <w:sz w:val="21"/>
          <w:szCs w:val="21"/>
        </w:rPr>
        <w:t>PRIVREDNA BANKA ZAGREB d.d.</w:t>
      </w:r>
      <w:r>
        <w:rPr>
          <w:sz w:val="21"/>
          <w:szCs w:val="21"/>
        </w:rPr>
        <w:t xml:space="preserve">, Radnička cesta 50, 10000 Zagreb, OIB: 02535697732, utvrđeni iznos tražbine iznosi 646,94 kn. </w:t>
      </w:r>
      <w:proofErr w:type="spellStart"/>
      <w:r>
        <w:rPr>
          <w:sz w:val="21"/>
          <w:szCs w:val="21"/>
        </w:rPr>
        <w:t>Predstečajni</w:t>
      </w:r>
      <w:proofErr w:type="spellEnd"/>
      <w:r>
        <w:rPr>
          <w:sz w:val="21"/>
          <w:szCs w:val="21"/>
        </w:rPr>
        <w:t xml:space="preserve"> vjerovnik otpušta dužniku dio utvrđene tražbine, što iznosi 0,00 kn. Preostali iznos tražbine od 646,94 kn otplatiti će se na 12 mjeseci, u jednakim mjesečnim anuitetima, bez kamata. Prvi obrok dospijeva od pravomoćnosti Rješenja Trgovačkog suda o sklopljenoj nagodbi, 30 dana u mjesecu za prethodni mjesec. Svaki sljedeći mjesečni obrok dospijeva 30 dana u mjesecu do isteka razdoblja od 12 mjeseci.</w:t>
      </w:r>
    </w:p>
    <w:p w:rsidRDefault="009809CC" w:rsidP="009809CC" w:rsidR="009809CC">
      <w:pPr>
        <w:pStyle w:val="Odlomakpopisa"/>
        <w:rPr>
          <w:sz w:val="21"/>
          <w:szCs w:val="21"/>
        </w:rPr>
      </w:pPr>
      <w:r>
        <w:rPr>
          <w:sz w:val="21"/>
          <w:szCs w:val="21"/>
        </w:rPr>
        <w:t xml:space="preserve">Ukoliko se Ročište za sklapanje </w:t>
      </w:r>
      <w:proofErr w:type="spellStart"/>
      <w:r>
        <w:rPr>
          <w:sz w:val="21"/>
          <w:szCs w:val="21"/>
        </w:rPr>
        <w:t>predstečajne</w:t>
      </w:r>
      <w:proofErr w:type="spellEnd"/>
      <w:r>
        <w:rPr>
          <w:sz w:val="21"/>
          <w:szCs w:val="21"/>
        </w:rPr>
        <w:t xml:space="preserve"> nagodbe održi u rujnu 2015. godine nakon kojeg će prvostupanjski sud tj. Trgovački sud u Bjelovaru donijeti Rješenje o potvrdi </w:t>
      </w:r>
      <w:proofErr w:type="spellStart"/>
      <w:r>
        <w:rPr>
          <w:sz w:val="21"/>
          <w:szCs w:val="21"/>
        </w:rPr>
        <w:t>predstečajne</w:t>
      </w:r>
      <w:proofErr w:type="spellEnd"/>
      <w:r>
        <w:rPr>
          <w:sz w:val="21"/>
          <w:szCs w:val="21"/>
        </w:rPr>
        <w:t xml:space="preserve"> nagodbe nad dužnikom, te isto postane pravomoćno; prvi anuitet u iznosu od 53,91 kn platiti će se 30.10.2015. godine, dok će se posljednji anuitet platiti 30.09.2016. godine.</w:t>
      </w:r>
    </w:p>
    <w:p w:rsidRDefault="009809CC" w:rsidP="009809CC" w:rsidR="009809CC">
      <w:pPr>
        <w:pStyle w:val="Odlomakpopisa"/>
        <w:rPr>
          <w:sz w:val="21"/>
          <w:szCs w:val="21"/>
        </w:rPr>
      </w:pPr>
    </w:p>
    <w:tbl>
      <w:tblPr>
        <w:tblW w:type="dxa" w:w="7397"/>
        <w:jc w:val="center"/>
        <w:tblInd w:type="dxa" w:w="89"/>
        <w:tblLook w:val="04A0" w:noVBand="1" w:noHBand="0" w:lastColumn="0" w:firstColumn="1" w:lastRow="0" w:firstRow="1"/>
      </w:tblPr>
      <w:tblGrid>
        <w:gridCol w:w="670"/>
        <w:gridCol w:w="1237"/>
        <w:gridCol w:w="1090"/>
        <w:gridCol w:w="1111"/>
        <w:gridCol w:w="1278"/>
        <w:gridCol w:w="2011"/>
      </w:tblGrid>
      <w:tr w:rsidTr="009809CC" w:rsidR="009809CC">
        <w:trPr>
          <w:trHeight w:val="850"/>
          <w:jc w:val="center"/>
        </w:trPr>
        <w:tc>
          <w:tcPr>
            <w:tcW w:type="dxa" w:w="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CC0DA" w:color="auto" w:val="clear"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Red. Br.</w:t>
            </w:r>
          </w:p>
        </w:tc>
        <w:tc>
          <w:tcPr>
            <w:tcW w:type="dxa" w:w="123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0DA" w:color="auto" w:val="clear"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Datum</w:t>
            </w:r>
          </w:p>
        </w:tc>
        <w:tc>
          <w:tcPr>
            <w:tcW w:type="dxa" w:w="10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0DA" w:color="auto" w:val="clear"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Iznos glavnice</w:t>
            </w:r>
          </w:p>
        </w:tc>
        <w:tc>
          <w:tcPr>
            <w:tcW w:type="dxa" w:w="11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0DA" w:color="auto" w:val="clear"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Otplatni obrok</w:t>
            </w:r>
          </w:p>
        </w:tc>
        <w:tc>
          <w:tcPr>
            <w:tcW w:type="dxa" w:w="127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0DA" w:color="auto" w:val="clear"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Stanje glavnice</w:t>
            </w:r>
          </w:p>
        </w:tc>
        <w:tc>
          <w:tcPr>
            <w:tcW w:type="dxa" w:w="20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0DA" w:color="auto" w:val="clear"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Napomena</w:t>
            </w:r>
          </w:p>
        </w:tc>
      </w:tr>
      <w:tr w:rsidTr="009809CC" w:rsidR="009809CC">
        <w:trPr>
          <w:trHeight w:val="340"/>
          <w:jc w:val="center"/>
        </w:trPr>
        <w:tc>
          <w:tcPr>
            <w:tcW w:type="dxa" w:w="6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</w:t>
            </w:r>
          </w:p>
        </w:tc>
        <w:tc>
          <w:tcPr>
            <w:tcW w:type="dxa" w:w="12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30.09.2015.</w:t>
            </w:r>
          </w:p>
        </w:tc>
        <w:tc>
          <w:tcPr>
            <w:tcW w:type="dxa" w:w="10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646,94</w:t>
            </w:r>
          </w:p>
        </w:tc>
        <w:tc>
          <w:tcPr>
            <w:tcW w:type="dxa" w:w="11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2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646,94</w:t>
            </w:r>
          </w:p>
        </w:tc>
        <w:tc>
          <w:tcPr>
            <w:tcW w:type="dxa" w:w="20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 </w:t>
            </w:r>
          </w:p>
        </w:tc>
      </w:tr>
      <w:tr w:rsidTr="009809CC" w:rsidR="009809CC">
        <w:trPr>
          <w:trHeight w:val="289"/>
          <w:jc w:val="center"/>
        </w:trPr>
        <w:tc>
          <w:tcPr>
            <w:tcW w:type="dxa" w:w="6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type="dxa" w:w="12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30.10.2015.</w:t>
            </w:r>
          </w:p>
        </w:tc>
        <w:tc>
          <w:tcPr>
            <w:tcW w:type="dxa" w:w="10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1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53,91</w:t>
            </w:r>
          </w:p>
        </w:tc>
        <w:tc>
          <w:tcPr>
            <w:tcW w:type="dxa" w:w="12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593,03</w:t>
            </w:r>
          </w:p>
        </w:tc>
        <w:tc>
          <w:tcPr>
            <w:tcW w:type="dxa" w:w="20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1. rata otplate</w:t>
            </w:r>
          </w:p>
        </w:tc>
      </w:tr>
      <w:tr w:rsidTr="009809CC" w:rsidR="009809CC">
        <w:trPr>
          <w:trHeight w:val="289"/>
          <w:jc w:val="center"/>
        </w:trPr>
        <w:tc>
          <w:tcPr>
            <w:tcW w:type="dxa" w:w="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</w:t>
            </w:r>
          </w:p>
        </w:tc>
        <w:tc>
          <w:tcPr>
            <w:tcW w:type="dxa" w:w="12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30.11.2015.</w:t>
            </w:r>
          </w:p>
        </w:tc>
        <w:tc>
          <w:tcPr>
            <w:tcW w:type="dxa" w:w="10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1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53,91</w:t>
            </w:r>
          </w:p>
        </w:tc>
        <w:tc>
          <w:tcPr>
            <w:tcW w:type="dxa" w:w="12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539,12</w:t>
            </w:r>
          </w:p>
        </w:tc>
        <w:tc>
          <w:tcPr>
            <w:tcW w:type="dxa" w:w="20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2. rata otplate</w:t>
            </w:r>
          </w:p>
        </w:tc>
      </w:tr>
      <w:tr w:rsidTr="009809CC" w:rsidR="009809CC">
        <w:trPr>
          <w:trHeight w:val="289"/>
          <w:jc w:val="center"/>
        </w:trPr>
        <w:tc>
          <w:tcPr>
            <w:tcW w:type="dxa" w:w="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</w:t>
            </w:r>
          </w:p>
        </w:tc>
        <w:tc>
          <w:tcPr>
            <w:tcW w:type="dxa" w:w="12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30.12.2015</w:t>
            </w:r>
          </w:p>
        </w:tc>
        <w:tc>
          <w:tcPr>
            <w:tcW w:type="dxa" w:w="10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1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53,91</w:t>
            </w:r>
          </w:p>
        </w:tc>
        <w:tc>
          <w:tcPr>
            <w:tcW w:type="dxa" w:w="12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485,21</w:t>
            </w:r>
          </w:p>
        </w:tc>
        <w:tc>
          <w:tcPr>
            <w:tcW w:type="dxa" w:w="20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3. rata otplate</w:t>
            </w:r>
          </w:p>
        </w:tc>
      </w:tr>
      <w:tr w:rsidTr="009809CC" w:rsidR="009809CC">
        <w:trPr>
          <w:trHeight w:val="289"/>
          <w:jc w:val="center"/>
        </w:trPr>
        <w:tc>
          <w:tcPr>
            <w:tcW w:type="dxa" w:w="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4</w:t>
            </w:r>
          </w:p>
        </w:tc>
        <w:tc>
          <w:tcPr>
            <w:tcW w:type="dxa" w:w="12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30.01.2016.</w:t>
            </w:r>
          </w:p>
        </w:tc>
        <w:tc>
          <w:tcPr>
            <w:tcW w:type="dxa" w:w="10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1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53,91</w:t>
            </w:r>
          </w:p>
        </w:tc>
        <w:tc>
          <w:tcPr>
            <w:tcW w:type="dxa" w:w="12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431,30</w:t>
            </w:r>
          </w:p>
        </w:tc>
        <w:tc>
          <w:tcPr>
            <w:tcW w:type="dxa" w:w="20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4. rata otplate</w:t>
            </w:r>
          </w:p>
        </w:tc>
      </w:tr>
      <w:tr w:rsidTr="009809CC" w:rsidR="009809CC">
        <w:trPr>
          <w:trHeight w:val="289"/>
          <w:jc w:val="center"/>
        </w:trPr>
        <w:tc>
          <w:tcPr>
            <w:tcW w:type="dxa" w:w="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5</w:t>
            </w:r>
          </w:p>
        </w:tc>
        <w:tc>
          <w:tcPr>
            <w:tcW w:type="dxa" w:w="12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29.02.2015.</w:t>
            </w:r>
          </w:p>
        </w:tc>
        <w:tc>
          <w:tcPr>
            <w:tcW w:type="dxa" w:w="10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1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53,91</w:t>
            </w:r>
          </w:p>
        </w:tc>
        <w:tc>
          <w:tcPr>
            <w:tcW w:type="dxa" w:w="12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377,39</w:t>
            </w:r>
          </w:p>
        </w:tc>
        <w:tc>
          <w:tcPr>
            <w:tcW w:type="dxa" w:w="20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5. rata otplate</w:t>
            </w:r>
          </w:p>
        </w:tc>
      </w:tr>
      <w:tr w:rsidTr="009809CC" w:rsidR="009809CC">
        <w:trPr>
          <w:trHeight w:val="289"/>
          <w:jc w:val="center"/>
        </w:trPr>
        <w:tc>
          <w:tcPr>
            <w:tcW w:type="dxa" w:w="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6</w:t>
            </w:r>
          </w:p>
        </w:tc>
        <w:tc>
          <w:tcPr>
            <w:tcW w:type="dxa" w:w="12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30.03.2016.</w:t>
            </w:r>
          </w:p>
        </w:tc>
        <w:tc>
          <w:tcPr>
            <w:tcW w:type="dxa" w:w="10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1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53,91</w:t>
            </w:r>
          </w:p>
        </w:tc>
        <w:tc>
          <w:tcPr>
            <w:tcW w:type="dxa" w:w="12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323,48</w:t>
            </w:r>
          </w:p>
        </w:tc>
        <w:tc>
          <w:tcPr>
            <w:tcW w:type="dxa" w:w="20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6. rata otplate</w:t>
            </w:r>
          </w:p>
        </w:tc>
      </w:tr>
      <w:tr w:rsidTr="009809CC" w:rsidR="009809CC">
        <w:trPr>
          <w:trHeight w:val="289"/>
          <w:jc w:val="center"/>
        </w:trPr>
        <w:tc>
          <w:tcPr>
            <w:tcW w:type="dxa" w:w="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lastRenderedPageBreak/>
              <w:t>7</w:t>
            </w:r>
          </w:p>
        </w:tc>
        <w:tc>
          <w:tcPr>
            <w:tcW w:type="dxa" w:w="12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30.04.2016.</w:t>
            </w:r>
          </w:p>
        </w:tc>
        <w:tc>
          <w:tcPr>
            <w:tcW w:type="dxa" w:w="10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1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53,91</w:t>
            </w:r>
          </w:p>
        </w:tc>
        <w:tc>
          <w:tcPr>
            <w:tcW w:type="dxa" w:w="12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269,57</w:t>
            </w:r>
          </w:p>
        </w:tc>
        <w:tc>
          <w:tcPr>
            <w:tcW w:type="dxa" w:w="20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7. rata otplate</w:t>
            </w:r>
          </w:p>
        </w:tc>
      </w:tr>
      <w:tr w:rsidTr="009809CC" w:rsidR="009809CC">
        <w:trPr>
          <w:trHeight w:val="289"/>
          <w:jc w:val="center"/>
        </w:trPr>
        <w:tc>
          <w:tcPr>
            <w:tcW w:type="dxa" w:w="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8</w:t>
            </w:r>
          </w:p>
        </w:tc>
        <w:tc>
          <w:tcPr>
            <w:tcW w:type="dxa" w:w="12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30.05.2016.</w:t>
            </w:r>
          </w:p>
        </w:tc>
        <w:tc>
          <w:tcPr>
            <w:tcW w:type="dxa" w:w="10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1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53,91</w:t>
            </w:r>
          </w:p>
        </w:tc>
        <w:tc>
          <w:tcPr>
            <w:tcW w:type="dxa" w:w="12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215,66</w:t>
            </w:r>
          </w:p>
        </w:tc>
        <w:tc>
          <w:tcPr>
            <w:tcW w:type="dxa" w:w="20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8. rata otplate</w:t>
            </w:r>
          </w:p>
        </w:tc>
      </w:tr>
      <w:tr w:rsidTr="009809CC" w:rsidR="009809CC">
        <w:trPr>
          <w:trHeight w:val="289"/>
          <w:jc w:val="center"/>
        </w:trPr>
        <w:tc>
          <w:tcPr>
            <w:tcW w:type="dxa" w:w="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9</w:t>
            </w:r>
          </w:p>
        </w:tc>
        <w:tc>
          <w:tcPr>
            <w:tcW w:type="dxa" w:w="123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30.06.2016.</w:t>
            </w:r>
          </w:p>
        </w:tc>
        <w:tc>
          <w:tcPr>
            <w:tcW w:type="dxa" w:w="10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1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53,91</w:t>
            </w:r>
          </w:p>
        </w:tc>
        <w:tc>
          <w:tcPr>
            <w:tcW w:type="dxa" w:w="127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161,75</w:t>
            </w:r>
          </w:p>
        </w:tc>
        <w:tc>
          <w:tcPr>
            <w:tcW w:type="dxa" w:w="20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9. rata otplate</w:t>
            </w:r>
          </w:p>
        </w:tc>
      </w:tr>
      <w:tr w:rsidTr="009809CC" w:rsidR="009809CC">
        <w:trPr>
          <w:trHeight w:val="289"/>
          <w:jc w:val="center"/>
        </w:trPr>
        <w:tc>
          <w:tcPr>
            <w:tcW w:type="dxa" w:w="6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10</w:t>
            </w:r>
          </w:p>
        </w:tc>
        <w:tc>
          <w:tcPr>
            <w:tcW w:type="dxa" w:w="12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30.07.2016.</w:t>
            </w:r>
          </w:p>
        </w:tc>
        <w:tc>
          <w:tcPr>
            <w:tcW w:type="dxa" w:w="10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1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53,91</w:t>
            </w:r>
          </w:p>
        </w:tc>
        <w:tc>
          <w:tcPr>
            <w:tcW w:type="dxa" w:w="12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107,84</w:t>
            </w:r>
          </w:p>
        </w:tc>
        <w:tc>
          <w:tcPr>
            <w:tcW w:type="dxa" w:w="20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10. rata otplate</w:t>
            </w:r>
          </w:p>
        </w:tc>
      </w:tr>
      <w:tr w:rsidTr="009809CC" w:rsidR="009809CC">
        <w:trPr>
          <w:trHeight w:val="289"/>
          <w:jc w:val="center"/>
        </w:trPr>
        <w:tc>
          <w:tcPr>
            <w:tcW w:type="dxa" w:w="6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11</w:t>
            </w:r>
          </w:p>
        </w:tc>
        <w:tc>
          <w:tcPr>
            <w:tcW w:type="dxa" w:w="12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30.08.2016.</w:t>
            </w:r>
          </w:p>
        </w:tc>
        <w:tc>
          <w:tcPr>
            <w:tcW w:type="dxa" w:w="10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1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53,91</w:t>
            </w:r>
          </w:p>
        </w:tc>
        <w:tc>
          <w:tcPr>
            <w:tcW w:type="dxa" w:w="12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53,93</w:t>
            </w:r>
          </w:p>
        </w:tc>
        <w:tc>
          <w:tcPr>
            <w:tcW w:type="dxa" w:w="20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11. rata otplate</w:t>
            </w:r>
          </w:p>
        </w:tc>
      </w:tr>
      <w:tr w:rsidTr="009809CC" w:rsidR="009809CC">
        <w:trPr>
          <w:trHeight w:val="289"/>
          <w:jc w:val="center"/>
        </w:trPr>
        <w:tc>
          <w:tcPr>
            <w:tcW w:type="dxa" w:w="6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12</w:t>
            </w:r>
          </w:p>
        </w:tc>
        <w:tc>
          <w:tcPr>
            <w:tcW w:type="dxa" w:w="12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30.09.2016.</w:t>
            </w:r>
          </w:p>
        </w:tc>
        <w:tc>
          <w:tcPr>
            <w:tcW w:type="dxa" w:w="10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1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53,93</w:t>
            </w:r>
          </w:p>
        </w:tc>
        <w:tc>
          <w:tcPr>
            <w:tcW w:type="dxa" w:w="12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20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12. rata otplate</w:t>
            </w:r>
          </w:p>
        </w:tc>
      </w:tr>
      <w:tr w:rsidTr="009809CC" w:rsidR="009809CC">
        <w:trPr>
          <w:trHeight w:val="442"/>
          <w:jc w:val="center"/>
        </w:trPr>
        <w:tc>
          <w:tcPr>
            <w:tcW w:type="dxa" w:w="670"/>
            <w:noWrap/>
            <w:vAlign w:val="bottom"/>
            <w:hideMark/>
          </w:tcPr>
          <w:p w:rsidRDefault="009809CC" w:rsidR="009809CC">
            <w:pPr>
              <w:rPr>
                <w:sz w:val="20"/>
              </w:rPr>
            </w:pPr>
          </w:p>
        </w:tc>
        <w:tc>
          <w:tcPr>
            <w:tcW w:type="dxa" w:w="1237"/>
            <w:noWrap/>
            <w:vAlign w:val="bottom"/>
            <w:hideMark/>
          </w:tcPr>
          <w:p w:rsidRDefault="009809CC" w:rsidR="009809CC">
            <w:pPr>
              <w:rPr>
                <w:sz w:val="20"/>
              </w:rPr>
            </w:pPr>
          </w:p>
        </w:tc>
        <w:tc>
          <w:tcPr>
            <w:tcW w:type="dxa" w:w="1090"/>
            <w:tcBorders>
              <w:top w:val="nil"/>
              <w:left w:val="nil"/>
              <w:bottom w:space="0" w:sz="8" w:color="auto" w:val="single"/>
              <w:right w:val="nil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646,94</w:t>
            </w:r>
          </w:p>
        </w:tc>
        <w:tc>
          <w:tcPr>
            <w:tcW w:type="dxa" w:w="1111"/>
            <w:tcBorders>
              <w:top w:val="nil"/>
              <w:left w:val="nil"/>
              <w:bottom w:space="0" w:sz="8" w:color="auto" w:val="single"/>
              <w:right w:val="nil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646,94</w:t>
            </w:r>
          </w:p>
        </w:tc>
        <w:tc>
          <w:tcPr>
            <w:tcW w:type="dxa" w:w="1278"/>
            <w:noWrap/>
            <w:vAlign w:val="bottom"/>
            <w:hideMark/>
          </w:tcPr>
          <w:p w:rsidRDefault="009809CC" w:rsidR="009809CC">
            <w:pPr>
              <w:rPr>
                <w:sz w:val="20"/>
              </w:rPr>
            </w:pPr>
          </w:p>
        </w:tc>
        <w:tc>
          <w:tcPr>
            <w:tcW w:type="dxa" w:w="2011"/>
            <w:noWrap/>
            <w:vAlign w:val="center"/>
            <w:hideMark/>
          </w:tcPr>
          <w:p w:rsidRDefault="009809CC" w:rsidR="009809CC">
            <w:pPr>
              <w:rPr>
                <w:sz w:val="20"/>
              </w:rPr>
            </w:pPr>
          </w:p>
        </w:tc>
      </w:tr>
    </w:tbl>
    <w:p w:rsidRDefault="009809CC" w:rsidP="009809CC" w:rsidR="009809CC">
      <w:pPr>
        <w:rPr>
          <w:b/>
          <w:sz w:val="26"/>
          <w:szCs w:val="26"/>
        </w:rPr>
      </w:pPr>
    </w:p>
    <w:p w:rsidRDefault="009809CC" w:rsidP="009809CC" w:rsidR="009809CC">
      <w:pPr>
        <w:pBdr>
          <w:bottom w:space="1" w:sz="4" w:color="auto" w:val="single"/>
        </w:pBdr>
        <w:jc w:val="both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III.GRUPA</w:t>
      </w:r>
      <w:proofErr w:type="spellEnd"/>
      <w:r>
        <w:rPr>
          <w:b/>
          <w:sz w:val="26"/>
          <w:szCs w:val="26"/>
        </w:rPr>
        <w:t>: OSTALI VJEROVNICI</w:t>
      </w:r>
    </w:p>
    <w:p w:rsidRDefault="009809CC" w:rsidP="009809CC" w:rsidR="009809CC">
      <w:pPr>
        <w:jc w:val="both"/>
        <w:rPr>
          <w:b/>
          <w:sz w:val="26"/>
          <w:szCs w:val="26"/>
        </w:rPr>
      </w:pPr>
    </w:p>
    <w:tbl>
      <w:tblPr>
        <w:tblW w:type="dxa" w:w="9571"/>
        <w:tblInd w:type="dxa" w:w="93"/>
        <w:tblLook w:val="04A0" w:noVBand="1" w:noHBand="0" w:lastColumn="0" w:firstColumn="1" w:lastRow="0" w:firstRow="1"/>
      </w:tblPr>
      <w:tblGrid>
        <w:gridCol w:w="621"/>
        <w:gridCol w:w="1555"/>
        <w:gridCol w:w="3900"/>
        <w:gridCol w:w="1180"/>
        <w:gridCol w:w="1113"/>
        <w:gridCol w:w="1400"/>
      </w:tblGrid>
      <w:tr w:rsidTr="009809CC" w:rsidR="009809CC">
        <w:trPr>
          <w:trHeight w:val="615"/>
        </w:trPr>
        <w:tc>
          <w:tcPr>
            <w:tcW w:type="dxa" w:w="58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CCC0DA" w:color="auto" w:val="clear"/>
            <w:noWrap/>
            <w:vAlign w:val="bottom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>
              <w:rPr>
                <w:rFonts w:cs="Calibri" w:hAnsi="Calibri" w:ascii="Calibri"/>
                <w:b/>
                <w:bCs/>
                <w:color w:val="000000"/>
              </w:rPr>
              <w:t>RBR</w:t>
            </w:r>
          </w:p>
        </w:tc>
        <w:tc>
          <w:tcPr>
            <w:tcW w:type="dxa" w:w="144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CCC0DA" w:color="auto" w:val="clear"/>
            <w:noWrap/>
            <w:vAlign w:val="bottom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>
              <w:rPr>
                <w:rFonts w:cs="Calibri" w:hAnsi="Calibri" w:ascii="Calibri"/>
                <w:b/>
                <w:bCs/>
                <w:color w:val="000000"/>
              </w:rPr>
              <w:t>OIB</w:t>
            </w:r>
          </w:p>
        </w:tc>
        <w:tc>
          <w:tcPr>
            <w:tcW w:type="dxa" w:w="390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CCC0DA" w:color="auto" w:val="clear"/>
            <w:noWrap/>
            <w:vAlign w:val="bottom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>
              <w:rPr>
                <w:rFonts w:cs="Calibri" w:hAnsi="Calibri" w:ascii="Calibri"/>
                <w:b/>
                <w:bCs/>
                <w:color w:val="000000"/>
              </w:rPr>
              <w:t>NAZIV VJEROVNIKA</w:t>
            </w:r>
          </w:p>
        </w:tc>
        <w:tc>
          <w:tcPr>
            <w:tcW w:type="dxa" w:w="118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CCC0DA" w:color="auto" w:val="clear"/>
            <w:noWrap/>
            <w:vAlign w:val="bottom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>
              <w:rPr>
                <w:rFonts w:cs="Calibri" w:hAnsi="Calibri" w:ascii="Calibri"/>
                <w:b/>
                <w:bCs/>
                <w:color w:val="000000"/>
              </w:rPr>
              <w:t>IZNOS</w:t>
            </w:r>
          </w:p>
        </w:tc>
        <w:tc>
          <w:tcPr>
            <w:tcW w:type="dxa" w:w="10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CCC0DA" w:color="auto" w:val="clear"/>
            <w:vAlign w:val="bottom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>
              <w:rPr>
                <w:rFonts w:cs="Calibri" w:hAnsi="Calibri" w:ascii="Calibri"/>
                <w:b/>
                <w:bCs/>
                <w:color w:val="000000"/>
              </w:rPr>
              <w:t>OTPIS  KAMATA</w:t>
            </w:r>
          </w:p>
        </w:tc>
        <w:tc>
          <w:tcPr>
            <w:tcW w:type="dxa" w:w="140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CCC0DA" w:color="auto" w:val="clear"/>
            <w:vAlign w:val="bottom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>
              <w:rPr>
                <w:rFonts w:cs="Calibri" w:hAnsi="Calibri" w:ascii="Calibri"/>
                <w:b/>
                <w:bCs/>
                <w:color w:val="000000"/>
              </w:rPr>
              <w:t>OSTAJE ZA OTPLATITI</w:t>
            </w:r>
          </w:p>
        </w:tc>
      </w:tr>
      <w:tr w:rsidTr="009809CC" w:rsidR="009809CC">
        <w:trPr>
          <w:trHeight w:val="615"/>
        </w:trPr>
        <w:tc>
          <w:tcPr>
            <w:tcW w:type="dxa" w:w="58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1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MB 80157858</w:t>
            </w:r>
          </w:p>
        </w:tc>
        <w:tc>
          <w:tcPr>
            <w:tcW w:type="dxa" w:w="39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 xml:space="preserve">Odvjetnički ured Krunoslav </w:t>
            </w:r>
            <w:proofErr w:type="spellStart"/>
            <w:r>
              <w:rPr>
                <w:rFonts w:cs="Calibri" w:hAnsi="Calibri" w:ascii="Calibri"/>
                <w:color w:val="000000"/>
              </w:rPr>
              <w:t>Markovinović</w:t>
            </w:r>
            <w:proofErr w:type="spellEnd"/>
          </w:p>
        </w:tc>
        <w:tc>
          <w:tcPr>
            <w:tcW w:type="dxa" w:w="11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1.562,50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0</w:t>
            </w:r>
          </w:p>
        </w:tc>
        <w:tc>
          <w:tcPr>
            <w:tcW w:type="dxa" w:w="1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1.562,50</w:t>
            </w:r>
          </w:p>
        </w:tc>
      </w:tr>
      <w:tr w:rsidTr="009809CC" w:rsidR="009809CC">
        <w:trPr>
          <w:trHeight w:val="315"/>
        </w:trPr>
        <w:tc>
          <w:tcPr>
            <w:tcW w:type="dxa" w:w="58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2</w:t>
            </w:r>
          </w:p>
        </w:tc>
        <w:tc>
          <w:tcPr>
            <w:tcW w:type="dxa" w:w="14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68416812428</w:t>
            </w:r>
          </w:p>
        </w:tc>
        <w:tc>
          <w:tcPr>
            <w:tcW w:type="dxa" w:w="3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VRT d.o.o.</w:t>
            </w:r>
          </w:p>
        </w:tc>
        <w:tc>
          <w:tcPr>
            <w:tcW w:type="dxa" w:w="11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3.164,44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0</w:t>
            </w:r>
          </w:p>
        </w:tc>
        <w:tc>
          <w:tcPr>
            <w:tcW w:type="dxa" w:w="1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3.164,44</w:t>
            </w:r>
          </w:p>
        </w:tc>
      </w:tr>
      <w:tr w:rsidTr="009809CC" w:rsidR="009809CC">
        <w:trPr>
          <w:trHeight w:val="315"/>
        </w:trPr>
        <w:tc>
          <w:tcPr>
            <w:tcW w:type="dxa" w:w="5931"/>
            <w:gridSpan w:val="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CCC0DA" w:color="auto" w:val="clear"/>
            <w:noWrap/>
            <w:vAlign w:val="bottom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>
              <w:rPr>
                <w:rFonts w:cs="Calibri" w:hAnsi="Calibri" w:ascii="Calibri"/>
                <w:b/>
                <w:bCs/>
                <w:color w:val="000000"/>
              </w:rPr>
              <w:t>UKUPNO:</w:t>
            </w:r>
          </w:p>
        </w:tc>
        <w:tc>
          <w:tcPr>
            <w:tcW w:type="dxa" w:w="11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CC0DA" w:color="auto" w:val="clear"/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b/>
                <w:bCs/>
                <w:color w:val="000000"/>
              </w:rPr>
            </w:pPr>
            <w:r>
              <w:rPr>
                <w:rFonts w:cs="Calibri" w:hAnsi="Calibri" w:ascii="Calibri"/>
                <w:b/>
                <w:bCs/>
                <w:color w:val="000000"/>
              </w:rPr>
              <w:t>4.726,94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CC0DA" w:color="auto" w:val="clear"/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b/>
                <w:bCs/>
                <w:color w:val="000000"/>
              </w:rPr>
            </w:pPr>
            <w:r>
              <w:rPr>
                <w:rFonts w:cs="Calibri" w:hAnsi="Calibri" w:ascii="Calibri"/>
                <w:b/>
                <w:bCs/>
                <w:color w:val="000000"/>
              </w:rPr>
              <w:t>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CC0DA" w:color="auto" w:val="clear"/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b/>
                <w:bCs/>
                <w:color w:val="000000"/>
              </w:rPr>
            </w:pPr>
            <w:r>
              <w:rPr>
                <w:rFonts w:cs="Calibri" w:hAnsi="Calibri" w:ascii="Calibri"/>
                <w:b/>
                <w:bCs/>
                <w:color w:val="000000"/>
              </w:rPr>
              <w:t>4.726,94</w:t>
            </w:r>
          </w:p>
        </w:tc>
      </w:tr>
    </w:tbl>
    <w:p w:rsidRDefault="009809CC" w:rsidP="009809CC" w:rsidR="009809CC">
      <w:pPr>
        <w:rPr>
          <w:b/>
          <w:sz w:val="26"/>
          <w:szCs w:val="26"/>
        </w:rPr>
      </w:pPr>
    </w:p>
    <w:p w:rsidRDefault="009809CC" w:rsidP="009809CC" w:rsidR="009809CC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Dužnik </w:t>
      </w:r>
      <w:r>
        <w:rPr>
          <w:rFonts w:cs="Calibri" w:hAnsi="Cambria" w:ascii="Cambria"/>
          <w:b/>
        </w:rPr>
        <w:t>KOMUNALNO PODUZEĆE NOVA RAČA  d.o.o.</w:t>
      </w:r>
      <w:r>
        <w:rPr>
          <w:b/>
          <w:sz w:val="26"/>
          <w:szCs w:val="26"/>
        </w:rPr>
        <w:t xml:space="preserve"> obvezuje se namiriti:</w:t>
      </w:r>
    </w:p>
    <w:p w:rsidRDefault="009809CC" w:rsidP="009809CC" w:rsidR="009809CC">
      <w:pPr>
        <w:rPr>
          <w:b/>
          <w:sz w:val="26"/>
          <w:szCs w:val="26"/>
        </w:rPr>
      </w:pPr>
    </w:p>
    <w:p w:rsidRDefault="009809CC" w:rsidP="009809CC" w:rsidR="009809CC">
      <w:pPr>
        <w:rPr>
          <w:sz w:val="21"/>
          <w:szCs w:val="21"/>
        </w:rPr>
      </w:pPr>
      <w:r>
        <w:rPr>
          <w:b/>
          <w:sz w:val="21"/>
          <w:szCs w:val="21"/>
        </w:rPr>
        <w:t xml:space="preserve">1.ODVJETNIČKI URED KRUNOSLAV MARKOVINOVIĆ, </w:t>
      </w:r>
      <w:r>
        <w:rPr>
          <w:sz w:val="21"/>
          <w:szCs w:val="21"/>
        </w:rPr>
        <w:t>S. Mihanovića 1, 43000 BJELOVAR</w:t>
      </w:r>
      <w:r>
        <w:rPr>
          <w:rFonts w:cs="Calibri" w:hAnsi="Calibri" w:ascii="Calibri"/>
          <w:color w:val="000000"/>
          <w:sz w:val="21"/>
          <w:szCs w:val="21"/>
        </w:rPr>
        <w:t>,</w:t>
      </w:r>
      <w:r>
        <w:rPr>
          <w:sz w:val="21"/>
          <w:szCs w:val="21"/>
        </w:rPr>
        <w:t xml:space="preserve"> MB: 80157858, utvrđeni iznos tražbine iznosi 1.562,50  kn. </w:t>
      </w:r>
      <w:proofErr w:type="spellStart"/>
      <w:r>
        <w:rPr>
          <w:sz w:val="21"/>
          <w:szCs w:val="21"/>
        </w:rPr>
        <w:t>Predstečajni</w:t>
      </w:r>
      <w:proofErr w:type="spellEnd"/>
      <w:r>
        <w:rPr>
          <w:sz w:val="21"/>
          <w:szCs w:val="21"/>
        </w:rPr>
        <w:t xml:space="preserve"> vjerovnik otpušta dužniku dio utvrđene tražbine, što iznosi 0,00 kn. Preostali iznos tražbine od 1.562,50 kn otplatiti će se na 12 mjeseci, uz dodatnih 6 mjeseci počeka, u jednakim mjesečnim anuitetima, bez kamata. Prvi obrok dospijeva od pravomoćnosti Rješenja Trgovačkog suda o sklopljenoj nagodbi, nakon isteka počeka od 6 mjeseci, 30 dana u mjesecu za prethodni mjesec. Svaki sljedeći mjesečni obrok dospijeva 30 dana u mjesecu do isteka razdoblja od 12 mjeseci.</w:t>
      </w:r>
    </w:p>
    <w:p w:rsidRDefault="009809CC" w:rsidP="009809CC" w:rsidR="009809CC">
      <w:pPr>
        <w:pStyle w:val="Odlomakpopisa"/>
        <w:rPr>
          <w:sz w:val="21"/>
          <w:szCs w:val="21"/>
        </w:rPr>
      </w:pPr>
      <w:r>
        <w:rPr>
          <w:sz w:val="21"/>
          <w:szCs w:val="21"/>
        </w:rPr>
        <w:t xml:space="preserve">Ukoliko se Ročište za sklapanje </w:t>
      </w:r>
      <w:proofErr w:type="spellStart"/>
      <w:r>
        <w:rPr>
          <w:sz w:val="21"/>
          <w:szCs w:val="21"/>
        </w:rPr>
        <w:t>predstečajne</w:t>
      </w:r>
      <w:proofErr w:type="spellEnd"/>
      <w:r>
        <w:rPr>
          <w:sz w:val="21"/>
          <w:szCs w:val="21"/>
        </w:rPr>
        <w:t xml:space="preserve"> nagodbe održi u rujnu 2015. godine nakon kojeg će prvostupanjski sud tj. Trgovački sud u Bjelovaru donijeti Rješenje o potvrdi </w:t>
      </w:r>
      <w:proofErr w:type="spellStart"/>
      <w:r>
        <w:rPr>
          <w:sz w:val="21"/>
          <w:szCs w:val="21"/>
        </w:rPr>
        <w:t>predstečajne</w:t>
      </w:r>
      <w:proofErr w:type="spellEnd"/>
      <w:r>
        <w:rPr>
          <w:sz w:val="21"/>
          <w:szCs w:val="21"/>
        </w:rPr>
        <w:t xml:space="preserve"> nagodbe nad dužnikom, te isto postane pravomoćno; prvi anuitet u iznosu od 130,21 kn platiti će se 30.04.2016. godine, dok će se posljednji anuitet platiti 30.03.2017. godine.</w:t>
      </w:r>
    </w:p>
    <w:p w:rsidRDefault="009809CC" w:rsidP="009809CC" w:rsidR="009809CC">
      <w:pPr>
        <w:pStyle w:val="Odlomakpopisa"/>
        <w:rPr>
          <w:sz w:val="21"/>
          <w:szCs w:val="21"/>
        </w:rPr>
      </w:pPr>
    </w:p>
    <w:tbl>
      <w:tblPr>
        <w:tblW w:type="dxa" w:w="7771"/>
        <w:jc w:val="center"/>
        <w:tblInd w:type="dxa" w:w="89"/>
        <w:tblLook w:val="04A0" w:noVBand="1" w:noHBand="0" w:lastColumn="0" w:firstColumn="1" w:lastRow="0" w:firstRow="1"/>
      </w:tblPr>
      <w:tblGrid>
        <w:gridCol w:w="704"/>
        <w:gridCol w:w="1299"/>
        <w:gridCol w:w="1145"/>
        <w:gridCol w:w="1167"/>
        <w:gridCol w:w="1343"/>
        <w:gridCol w:w="2113"/>
      </w:tblGrid>
      <w:tr w:rsidTr="009809CC" w:rsidR="009809CC">
        <w:trPr>
          <w:trHeight w:val="1079"/>
          <w:jc w:val="center"/>
        </w:trPr>
        <w:tc>
          <w:tcPr>
            <w:tcW w:type="dxa" w:w="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CC0DA" w:color="auto" w:val="clear"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lastRenderedPageBreak/>
              <w:t>Red. Br.</w:t>
            </w:r>
          </w:p>
        </w:tc>
        <w:tc>
          <w:tcPr>
            <w:tcW w:type="dxa" w:w="12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0DA" w:color="auto" w:val="clear"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Datum</w:t>
            </w:r>
          </w:p>
        </w:tc>
        <w:tc>
          <w:tcPr>
            <w:tcW w:type="dxa" w:w="114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0DA" w:color="auto" w:val="clear"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Iznos glavnice</w:t>
            </w:r>
          </w:p>
        </w:tc>
        <w:tc>
          <w:tcPr>
            <w:tcW w:type="dxa" w:w="11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0DA" w:color="auto" w:val="clear"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Otplatni obrok</w:t>
            </w:r>
          </w:p>
        </w:tc>
        <w:tc>
          <w:tcPr>
            <w:tcW w:type="dxa" w:w="13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0DA" w:color="auto" w:val="clear"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Stanje glavnice</w:t>
            </w:r>
          </w:p>
        </w:tc>
        <w:tc>
          <w:tcPr>
            <w:tcW w:type="dxa" w:w="211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0DA" w:color="auto" w:val="clear"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Napomena</w:t>
            </w:r>
          </w:p>
        </w:tc>
      </w:tr>
      <w:tr w:rsidTr="009809CC" w:rsidR="009809CC">
        <w:trPr>
          <w:trHeight w:val="432"/>
          <w:jc w:val="center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</w:t>
            </w:r>
          </w:p>
        </w:tc>
        <w:tc>
          <w:tcPr>
            <w:tcW w:type="dxa" w:w="12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30.09.2015.</w:t>
            </w:r>
          </w:p>
        </w:tc>
        <w:tc>
          <w:tcPr>
            <w:tcW w:type="dxa" w:w="11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1.562,50</w:t>
            </w:r>
          </w:p>
        </w:tc>
        <w:tc>
          <w:tcPr>
            <w:tcW w:type="dxa" w:w="1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1.562,50</w:t>
            </w:r>
          </w:p>
        </w:tc>
        <w:tc>
          <w:tcPr>
            <w:tcW w:type="dxa" w:w="21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 </w:t>
            </w:r>
          </w:p>
        </w:tc>
      </w:tr>
      <w:tr w:rsidTr="009809CC" w:rsidR="009809CC">
        <w:trPr>
          <w:trHeight w:val="367"/>
          <w:jc w:val="center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type="dxa" w:w="12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30.10.2015.</w:t>
            </w:r>
          </w:p>
        </w:tc>
        <w:tc>
          <w:tcPr>
            <w:tcW w:type="dxa" w:w="11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1.562,50</w:t>
            </w:r>
          </w:p>
        </w:tc>
        <w:tc>
          <w:tcPr>
            <w:tcW w:type="dxa" w:w="21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Poček</w:t>
            </w:r>
          </w:p>
        </w:tc>
      </w:tr>
      <w:tr w:rsidTr="009809CC" w:rsidR="009809CC">
        <w:trPr>
          <w:trHeight w:val="367"/>
          <w:jc w:val="center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</w:t>
            </w:r>
          </w:p>
        </w:tc>
        <w:tc>
          <w:tcPr>
            <w:tcW w:type="dxa" w:w="12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30.11.2015.</w:t>
            </w:r>
          </w:p>
        </w:tc>
        <w:tc>
          <w:tcPr>
            <w:tcW w:type="dxa" w:w="11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1.562,50</w:t>
            </w:r>
          </w:p>
        </w:tc>
        <w:tc>
          <w:tcPr>
            <w:tcW w:type="dxa" w:w="21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Poček</w:t>
            </w:r>
          </w:p>
        </w:tc>
      </w:tr>
      <w:tr w:rsidTr="009809CC" w:rsidR="009809CC">
        <w:trPr>
          <w:trHeight w:val="367"/>
          <w:jc w:val="center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</w:t>
            </w:r>
          </w:p>
        </w:tc>
        <w:tc>
          <w:tcPr>
            <w:tcW w:type="dxa" w:w="12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30.12.2015</w:t>
            </w:r>
          </w:p>
        </w:tc>
        <w:tc>
          <w:tcPr>
            <w:tcW w:type="dxa" w:w="11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1.562,50</w:t>
            </w:r>
          </w:p>
        </w:tc>
        <w:tc>
          <w:tcPr>
            <w:tcW w:type="dxa" w:w="21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Poček</w:t>
            </w:r>
          </w:p>
        </w:tc>
      </w:tr>
      <w:tr w:rsidTr="009809CC" w:rsidR="009809CC">
        <w:trPr>
          <w:trHeight w:val="367"/>
          <w:jc w:val="center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4</w:t>
            </w:r>
          </w:p>
        </w:tc>
        <w:tc>
          <w:tcPr>
            <w:tcW w:type="dxa" w:w="12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30.01.2016.</w:t>
            </w:r>
          </w:p>
        </w:tc>
        <w:tc>
          <w:tcPr>
            <w:tcW w:type="dxa" w:w="11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1.562,50</w:t>
            </w:r>
          </w:p>
        </w:tc>
        <w:tc>
          <w:tcPr>
            <w:tcW w:type="dxa" w:w="21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Poček</w:t>
            </w:r>
          </w:p>
        </w:tc>
      </w:tr>
      <w:tr w:rsidTr="009809CC" w:rsidR="009809CC">
        <w:trPr>
          <w:trHeight w:val="367"/>
          <w:jc w:val="center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5</w:t>
            </w:r>
          </w:p>
        </w:tc>
        <w:tc>
          <w:tcPr>
            <w:tcW w:type="dxa" w:w="12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29.02.2015.</w:t>
            </w:r>
          </w:p>
        </w:tc>
        <w:tc>
          <w:tcPr>
            <w:tcW w:type="dxa" w:w="11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1.562,50</w:t>
            </w:r>
          </w:p>
        </w:tc>
        <w:tc>
          <w:tcPr>
            <w:tcW w:type="dxa" w:w="21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Poček</w:t>
            </w:r>
          </w:p>
        </w:tc>
      </w:tr>
      <w:tr w:rsidTr="009809CC" w:rsidR="009809CC">
        <w:trPr>
          <w:trHeight w:val="367"/>
          <w:jc w:val="center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6</w:t>
            </w:r>
          </w:p>
        </w:tc>
        <w:tc>
          <w:tcPr>
            <w:tcW w:type="dxa" w:w="12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30.03.2016.</w:t>
            </w:r>
          </w:p>
        </w:tc>
        <w:tc>
          <w:tcPr>
            <w:tcW w:type="dxa" w:w="11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1.562,50</w:t>
            </w:r>
          </w:p>
        </w:tc>
        <w:tc>
          <w:tcPr>
            <w:tcW w:type="dxa" w:w="21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Poček</w:t>
            </w:r>
          </w:p>
        </w:tc>
      </w:tr>
      <w:tr w:rsidTr="009809CC" w:rsidR="009809CC">
        <w:trPr>
          <w:trHeight w:val="367"/>
          <w:jc w:val="center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7</w:t>
            </w:r>
          </w:p>
        </w:tc>
        <w:tc>
          <w:tcPr>
            <w:tcW w:type="dxa" w:w="12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30.04.2016.</w:t>
            </w:r>
          </w:p>
        </w:tc>
        <w:tc>
          <w:tcPr>
            <w:tcW w:type="dxa" w:w="11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130,21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1.432,29</w:t>
            </w:r>
          </w:p>
        </w:tc>
        <w:tc>
          <w:tcPr>
            <w:tcW w:type="dxa" w:w="21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1. rata otplate</w:t>
            </w:r>
          </w:p>
        </w:tc>
      </w:tr>
      <w:tr w:rsidTr="009809CC" w:rsidR="009809CC">
        <w:trPr>
          <w:trHeight w:val="367"/>
          <w:jc w:val="center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8</w:t>
            </w:r>
          </w:p>
        </w:tc>
        <w:tc>
          <w:tcPr>
            <w:tcW w:type="dxa" w:w="12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30.05.2016.</w:t>
            </w:r>
          </w:p>
        </w:tc>
        <w:tc>
          <w:tcPr>
            <w:tcW w:type="dxa" w:w="11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130,21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1.302,08</w:t>
            </w:r>
          </w:p>
        </w:tc>
        <w:tc>
          <w:tcPr>
            <w:tcW w:type="dxa" w:w="21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2. rata otplate</w:t>
            </w:r>
          </w:p>
        </w:tc>
      </w:tr>
      <w:tr w:rsidTr="009809CC" w:rsidR="009809CC">
        <w:trPr>
          <w:trHeight w:val="367"/>
          <w:jc w:val="center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9</w:t>
            </w:r>
          </w:p>
        </w:tc>
        <w:tc>
          <w:tcPr>
            <w:tcW w:type="dxa" w:w="12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30.06.2016.</w:t>
            </w:r>
          </w:p>
        </w:tc>
        <w:tc>
          <w:tcPr>
            <w:tcW w:type="dxa" w:w="11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130,21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1.171,87</w:t>
            </w:r>
          </w:p>
        </w:tc>
        <w:tc>
          <w:tcPr>
            <w:tcW w:type="dxa" w:w="21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3. rata otplate</w:t>
            </w:r>
          </w:p>
        </w:tc>
      </w:tr>
      <w:tr w:rsidTr="009809CC" w:rsidR="009809CC">
        <w:trPr>
          <w:trHeight w:val="367"/>
          <w:jc w:val="center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10</w:t>
            </w:r>
          </w:p>
        </w:tc>
        <w:tc>
          <w:tcPr>
            <w:tcW w:type="dxa" w:w="12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30.07.2016.</w:t>
            </w:r>
          </w:p>
        </w:tc>
        <w:tc>
          <w:tcPr>
            <w:tcW w:type="dxa" w:w="11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130,21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1.041,66</w:t>
            </w:r>
          </w:p>
        </w:tc>
        <w:tc>
          <w:tcPr>
            <w:tcW w:type="dxa" w:w="21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4. rata otplate</w:t>
            </w:r>
          </w:p>
        </w:tc>
      </w:tr>
      <w:tr w:rsidTr="009809CC" w:rsidR="009809CC">
        <w:trPr>
          <w:trHeight w:val="367"/>
          <w:jc w:val="center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11</w:t>
            </w:r>
          </w:p>
        </w:tc>
        <w:tc>
          <w:tcPr>
            <w:tcW w:type="dxa" w:w="12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30.08.2016.</w:t>
            </w:r>
          </w:p>
        </w:tc>
        <w:tc>
          <w:tcPr>
            <w:tcW w:type="dxa" w:w="11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130,21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911,45</w:t>
            </w:r>
          </w:p>
        </w:tc>
        <w:tc>
          <w:tcPr>
            <w:tcW w:type="dxa" w:w="21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5. rata otplate</w:t>
            </w:r>
          </w:p>
        </w:tc>
      </w:tr>
      <w:tr w:rsidTr="009809CC" w:rsidR="009809CC">
        <w:trPr>
          <w:trHeight w:val="367"/>
          <w:jc w:val="center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12</w:t>
            </w:r>
          </w:p>
        </w:tc>
        <w:tc>
          <w:tcPr>
            <w:tcW w:type="dxa" w:w="12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30.09.2016.</w:t>
            </w:r>
          </w:p>
        </w:tc>
        <w:tc>
          <w:tcPr>
            <w:tcW w:type="dxa" w:w="11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130,21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781,24</w:t>
            </w:r>
          </w:p>
        </w:tc>
        <w:tc>
          <w:tcPr>
            <w:tcW w:type="dxa" w:w="21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6. rata otplate</w:t>
            </w:r>
          </w:p>
        </w:tc>
      </w:tr>
      <w:tr w:rsidTr="009809CC" w:rsidR="009809CC">
        <w:trPr>
          <w:trHeight w:val="367"/>
          <w:jc w:val="center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13</w:t>
            </w:r>
          </w:p>
        </w:tc>
        <w:tc>
          <w:tcPr>
            <w:tcW w:type="dxa" w:w="12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30.10.2016.</w:t>
            </w:r>
          </w:p>
        </w:tc>
        <w:tc>
          <w:tcPr>
            <w:tcW w:type="dxa" w:w="11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130,21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651,03</w:t>
            </w:r>
          </w:p>
        </w:tc>
        <w:tc>
          <w:tcPr>
            <w:tcW w:type="dxa" w:w="21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7. rata otplate</w:t>
            </w:r>
          </w:p>
        </w:tc>
      </w:tr>
      <w:tr w:rsidTr="009809CC" w:rsidR="009809CC">
        <w:trPr>
          <w:trHeight w:val="367"/>
          <w:jc w:val="center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14</w:t>
            </w:r>
          </w:p>
        </w:tc>
        <w:tc>
          <w:tcPr>
            <w:tcW w:type="dxa" w:w="12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30.11.2016.</w:t>
            </w:r>
          </w:p>
        </w:tc>
        <w:tc>
          <w:tcPr>
            <w:tcW w:type="dxa" w:w="11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130,21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520,82</w:t>
            </w:r>
          </w:p>
        </w:tc>
        <w:tc>
          <w:tcPr>
            <w:tcW w:type="dxa" w:w="21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8. rata otplate</w:t>
            </w:r>
          </w:p>
        </w:tc>
      </w:tr>
      <w:tr w:rsidTr="009809CC" w:rsidR="009809CC">
        <w:trPr>
          <w:trHeight w:val="367"/>
          <w:jc w:val="center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15</w:t>
            </w:r>
          </w:p>
        </w:tc>
        <w:tc>
          <w:tcPr>
            <w:tcW w:type="dxa" w:w="12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30.12.2016</w:t>
            </w:r>
          </w:p>
        </w:tc>
        <w:tc>
          <w:tcPr>
            <w:tcW w:type="dxa" w:w="11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130,21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390,61</w:t>
            </w:r>
          </w:p>
        </w:tc>
        <w:tc>
          <w:tcPr>
            <w:tcW w:type="dxa" w:w="21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9. rata otplate</w:t>
            </w:r>
          </w:p>
        </w:tc>
      </w:tr>
      <w:tr w:rsidTr="009809CC" w:rsidR="009809CC">
        <w:trPr>
          <w:trHeight w:val="367"/>
          <w:jc w:val="center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16</w:t>
            </w:r>
          </w:p>
        </w:tc>
        <w:tc>
          <w:tcPr>
            <w:tcW w:type="dxa" w:w="12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30.01.2017.</w:t>
            </w:r>
          </w:p>
        </w:tc>
        <w:tc>
          <w:tcPr>
            <w:tcW w:type="dxa" w:w="11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130,21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260,40</w:t>
            </w:r>
          </w:p>
        </w:tc>
        <w:tc>
          <w:tcPr>
            <w:tcW w:type="dxa" w:w="21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10. rata otplate</w:t>
            </w:r>
          </w:p>
        </w:tc>
      </w:tr>
      <w:tr w:rsidTr="009809CC" w:rsidR="009809CC">
        <w:trPr>
          <w:trHeight w:val="367"/>
          <w:jc w:val="center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17</w:t>
            </w:r>
          </w:p>
        </w:tc>
        <w:tc>
          <w:tcPr>
            <w:tcW w:type="dxa" w:w="12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28.02.2017.</w:t>
            </w:r>
          </w:p>
        </w:tc>
        <w:tc>
          <w:tcPr>
            <w:tcW w:type="dxa" w:w="11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130,21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130,19</w:t>
            </w:r>
          </w:p>
        </w:tc>
        <w:tc>
          <w:tcPr>
            <w:tcW w:type="dxa" w:w="21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11. rata otplate</w:t>
            </w:r>
          </w:p>
        </w:tc>
      </w:tr>
      <w:tr w:rsidTr="009809CC" w:rsidR="009809CC">
        <w:trPr>
          <w:trHeight w:val="367"/>
          <w:jc w:val="center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18</w:t>
            </w:r>
          </w:p>
        </w:tc>
        <w:tc>
          <w:tcPr>
            <w:tcW w:type="dxa" w:w="12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30.03.2017.</w:t>
            </w:r>
          </w:p>
        </w:tc>
        <w:tc>
          <w:tcPr>
            <w:tcW w:type="dxa" w:w="11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130,19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21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12. rata otplate</w:t>
            </w:r>
          </w:p>
        </w:tc>
      </w:tr>
      <w:tr w:rsidTr="009809CC" w:rsidR="009809CC">
        <w:trPr>
          <w:trHeight w:val="561"/>
          <w:jc w:val="center"/>
        </w:trPr>
        <w:tc>
          <w:tcPr>
            <w:tcW w:type="dxa" w:w="704"/>
            <w:noWrap/>
            <w:vAlign w:val="bottom"/>
            <w:hideMark/>
          </w:tcPr>
          <w:p w:rsidRDefault="009809CC" w:rsidR="009809CC">
            <w:pPr>
              <w:rPr>
                <w:sz w:val="20"/>
              </w:rPr>
            </w:pPr>
          </w:p>
        </w:tc>
        <w:tc>
          <w:tcPr>
            <w:tcW w:type="dxa" w:w="1299"/>
            <w:noWrap/>
            <w:vAlign w:val="bottom"/>
            <w:hideMark/>
          </w:tcPr>
          <w:p w:rsidRDefault="009809CC" w:rsidR="009809CC">
            <w:pPr>
              <w:rPr>
                <w:sz w:val="20"/>
              </w:rPr>
            </w:pPr>
          </w:p>
        </w:tc>
        <w:tc>
          <w:tcPr>
            <w:tcW w:type="dxa" w:w="1145"/>
            <w:tcBorders>
              <w:top w:val="nil"/>
              <w:left w:val="nil"/>
              <w:bottom w:space="0" w:sz="8" w:color="auto" w:val="single"/>
              <w:right w:val="nil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1.562,50</w:t>
            </w:r>
          </w:p>
        </w:tc>
        <w:tc>
          <w:tcPr>
            <w:tcW w:type="dxa" w:w="1167"/>
            <w:tcBorders>
              <w:top w:val="nil"/>
              <w:left w:val="nil"/>
              <w:bottom w:space="0" w:sz="8" w:color="auto" w:val="single"/>
              <w:right w:val="nil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1.562,50</w:t>
            </w:r>
          </w:p>
        </w:tc>
        <w:tc>
          <w:tcPr>
            <w:tcW w:type="dxa" w:w="1343"/>
            <w:noWrap/>
            <w:vAlign w:val="bottom"/>
            <w:hideMark/>
          </w:tcPr>
          <w:p w:rsidRDefault="009809CC" w:rsidR="009809CC">
            <w:pPr>
              <w:rPr>
                <w:sz w:val="20"/>
              </w:rPr>
            </w:pPr>
          </w:p>
        </w:tc>
        <w:tc>
          <w:tcPr>
            <w:tcW w:type="dxa" w:w="2113"/>
            <w:noWrap/>
            <w:vAlign w:val="center"/>
            <w:hideMark/>
          </w:tcPr>
          <w:p w:rsidRDefault="009809CC" w:rsidR="009809CC">
            <w:pPr>
              <w:rPr>
                <w:sz w:val="20"/>
              </w:rPr>
            </w:pPr>
          </w:p>
        </w:tc>
      </w:tr>
    </w:tbl>
    <w:p w:rsidRDefault="009809CC" w:rsidP="009809CC" w:rsidR="009809CC">
      <w:pPr>
        <w:jc w:val="center"/>
        <w:rPr>
          <w:rFonts w:cs="Calibri"/>
          <w:sz w:val="26"/>
          <w:szCs w:val="26"/>
        </w:rPr>
      </w:pPr>
    </w:p>
    <w:p w:rsidRDefault="009809CC" w:rsidP="009809CC" w:rsidR="009809CC">
      <w:pPr>
        <w:pStyle w:val="Odlomakpopisa"/>
        <w:ind w:left="360"/>
        <w:rPr>
          <w:rFonts w:cs="Times New Roman"/>
          <w:sz w:val="21"/>
          <w:szCs w:val="21"/>
        </w:rPr>
      </w:pPr>
      <w:r>
        <w:rPr>
          <w:b/>
          <w:sz w:val="21"/>
          <w:szCs w:val="21"/>
        </w:rPr>
        <w:t xml:space="preserve">2.VRT d.o.o., </w:t>
      </w:r>
      <w:r>
        <w:rPr>
          <w:sz w:val="21"/>
          <w:szCs w:val="21"/>
        </w:rPr>
        <w:t>M. Hrvatske 4/1, 43000 BJELOVAR</w:t>
      </w:r>
      <w:r>
        <w:rPr>
          <w:rFonts w:cs="Calibri"/>
          <w:color w:val="000000"/>
          <w:sz w:val="21"/>
          <w:szCs w:val="21"/>
        </w:rPr>
        <w:t>,</w:t>
      </w:r>
      <w:r>
        <w:rPr>
          <w:sz w:val="21"/>
          <w:szCs w:val="21"/>
        </w:rPr>
        <w:t xml:space="preserve"> OIB: 68416812428, utvrđeni iznos tražbine iznosi 3.164,44 kn. </w:t>
      </w:r>
      <w:proofErr w:type="spellStart"/>
      <w:r>
        <w:rPr>
          <w:sz w:val="21"/>
          <w:szCs w:val="21"/>
        </w:rPr>
        <w:t>Predstečajni</w:t>
      </w:r>
      <w:proofErr w:type="spellEnd"/>
      <w:r>
        <w:rPr>
          <w:sz w:val="21"/>
          <w:szCs w:val="21"/>
        </w:rPr>
        <w:t xml:space="preserve"> vjerovnik otpušta dužniku dio utvrđene tražbine, što iznosi 0,00 kn. Preostali iznos tražbine od 3.164,44 kn otplatiti će se na 12 mjeseci, uz dodatnih 6 mjeseci počeka, u jednakim mjesečnim anuitetima, bez kamata. Prvi obrok dospijeva od pravomoćnosti Rješenja Trgovačkog suda o sklopljenoj nagodbi, nakon isteka počeka od 6 mjeseci, 30 dana u mjesecu za prethodni mjesec. Svaki sljedeći mjesečni obrok dospijeva 30 dana u mjesecu do isteka razdoblja od 12 mjeseci.</w:t>
      </w:r>
    </w:p>
    <w:p w:rsidRDefault="009809CC" w:rsidP="009809CC" w:rsidR="009809CC">
      <w:pPr>
        <w:pStyle w:val="Odlomakpopisa"/>
        <w:rPr>
          <w:sz w:val="21"/>
          <w:szCs w:val="21"/>
        </w:rPr>
      </w:pPr>
      <w:r>
        <w:rPr>
          <w:sz w:val="21"/>
          <w:szCs w:val="21"/>
        </w:rPr>
        <w:lastRenderedPageBreak/>
        <w:t xml:space="preserve">Ukoliko se Ročište za sklapanje </w:t>
      </w:r>
      <w:proofErr w:type="spellStart"/>
      <w:r>
        <w:rPr>
          <w:sz w:val="21"/>
          <w:szCs w:val="21"/>
        </w:rPr>
        <w:t>predstečajne</w:t>
      </w:r>
      <w:proofErr w:type="spellEnd"/>
      <w:r>
        <w:rPr>
          <w:sz w:val="21"/>
          <w:szCs w:val="21"/>
        </w:rPr>
        <w:t xml:space="preserve"> nagodbe održi u rujnu 2015. godine nakon kojeg će prvostupanjski sud tj. Trgovački sud u Bjelovaru donijeti Rješenje o potvrdi </w:t>
      </w:r>
      <w:proofErr w:type="spellStart"/>
      <w:r>
        <w:rPr>
          <w:sz w:val="21"/>
          <w:szCs w:val="21"/>
        </w:rPr>
        <w:t>predstečajne</w:t>
      </w:r>
      <w:proofErr w:type="spellEnd"/>
      <w:r>
        <w:rPr>
          <w:sz w:val="21"/>
          <w:szCs w:val="21"/>
        </w:rPr>
        <w:t xml:space="preserve"> nagodbe nad dužnikom, te isto postane pravomoćno; prvi anuitet u iznosu od 53,91 kn platiti će se 30.04.2016. godine, dok će se posljednji anuitet platiti 30.03.2017. godine.</w:t>
      </w:r>
    </w:p>
    <w:p w:rsidRDefault="009809CC" w:rsidP="009809CC" w:rsidR="009809CC">
      <w:pPr>
        <w:pStyle w:val="Odlomakpopisa"/>
        <w:rPr>
          <w:sz w:val="21"/>
          <w:szCs w:val="21"/>
        </w:rPr>
      </w:pPr>
    </w:p>
    <w:tbl>
      <w:tblPr>
        <w:tblW w:type="dxa" w:w="7940"/>
        <w:jc w:val="center"/>
        <w:tblInd w:type="dxa" w:w="89"/>
        <w:tblLook w:val="04A0" w:noVBand="1" w:noHBand="0" w:lastColumn="0" w:firstColumn="1" w:lastRow="0" w:firstRow="1"/>
      </w:tblPr>
      <w:tblGrid>
        <w:gridCol w:w="720"/>
        <w:gridCol w:w="1327"/>
        <w:gridCol w:w="1170"/>
        <w:gridCol w:w="1192"/>
        <w:gridCol w:w="1372"/>
        <w:gridCol w:w="2159"/>
      </w:tblGrid>
      <w:tr w:rsidTr="009809CC" w:rsidR="009809CC">
        <w:trPr>
          <w:trHeight w:val="1099"/>
          <w:jc w:val="center"/>
        </w:trPr>
        <w:tc>
          <w:tcPr>
            <w:tcW w:type="dxa" w:w="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CC0DA" w:color="auto" w:val="clear"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Red. Br.</w:t>
            </w:r>
          </w:p>
        </w:tc>
        <w:tc>
          <w:tcPr>
            <w:tcW w:type="dxa" w:w="13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0DA" w:color="auto" w:val="clear"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Datum</w:t>
            </w:r>
          </w:p>
        </w:tc>
        <w:tc>
          <w:tcPr>
            <w:tcW w:type="dxa" w:w="11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0DA" w:color="auto" w:val="clear"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Iznos glavnice</w:t>
            </w:r>
          </w:p>
        </w:tc>
        <w:tc>
          <w:tcPr>
            <w:tcW w:type="dxa" w:w="11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0DA" w:color="auto" w:val="clear"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Otplatni obrok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0DA" w:color="auto" w:val="clear"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Stanje glavnice</w:t>
            </w:r>
          </w:p>
        </w:tc>
        <w:tc>
          <w:tcPr>
            <w:tcW w:type="dxa" w:w="21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0DA" w:color="auto" w:val="clear"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Napomena</w:t>
            </w:r>
          </w:p>
        </w:tc>
      </w:tr>
      <w:tr w:rsidTr="009809CC" w:rsidR="009809CC">
        <w:trPr>
          <w:trHeight w:val="440"/>
          <w:jc w:val="center"/>
        </w:trPr>
        <w:tc>
          <w:tcPr>
            <w:tcW w:type="dxa" w:w="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30.09.2015.</w:t>
            </w:r>
          </w:p>
        </w:tc>
        <w:tc>
          <w:tcPr>
            <w:tcW w:type="dxa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3.164,44</w:t>
            </w:r>
          </w:p>
        </w:tc>
        <w:tc>
          <w:tcPr>
            <w:tcW w:type="dxa" w:w="11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3.164,44</w:t>
            </w:r>
          </w:p>
        </w:tc>
        <w:tc>
          <w:tcPr>
            <w:tcW w:type="dxa" w:w="2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 </w:t>
            </w:r>
          </w:p>
        </w:tc>
      </w:tr>
      <w:tr w:rsidTr="009809CC" w:rsidR="009809CC">
        <w:trPr>
          <w:trHeight w:val="374"/>
          <w:jc w:val="center"/>
        </w:trPr>
        <w:tc>
          <w:tcPr>
            <w:tcW w:type="dxa" w:w="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30.10.2015.</w:t>
            </w:r>
          </w:p>
        </w:tc>
        <w:tc>
          <w:tcPr>
            <w:tcW w:type="dxa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1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3.164,44</w:t>
            </w:r>
          </w:p>
        </w:tc>
        <w:tc>
          <w:tcPr>
            <w:tcW w:type="dxa" w:w="2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Poček</w:t>
            </w:r>
          </w:p>
        </w:tc>
      </w:tr>
      <w:tr w:rsidTr="009809CC" w:rsidR="009809CC">
        <w:trPr>
          <w:trHeight w:val="374"/>
          <w:jc w:val="center"/>
        </w:trPr>
        <w:tc>
          <w:tcPr>
            <w:tcW w:type="dxa" w:w="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30.11.2015.</w:t>
            </w:r>
          </w:p>
        </w:tc>
        <w:tc>
          <w:tcPr>
            <w:tcW w:type="dxa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1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3.164,44</w:t>
            </w:r>
          </w:p>
        </w:tc>
        <w:tc>
          <w:tcPr>
            <w:tcW w:type="dxa" w:w="2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Poček</w:t>
            </w:r>
          </w:p>
        </w:tc>
      </w:tr>
      <w:tr w:rsidTr="009809CC" w:rsidR="009809CC">
        <w:trPr>
          <w:trHeight w:val="374"/>
          <w:jc w:val="center"/>
        </w:trPr>
        <w:tc>
          <w:tcPr>
            <w:tcW w:type="dxa" w:w="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30.12.2015</w:t>
            </w:r>
          </w:p>
        </w:tc>
        <w:tc>
          <w:tcPr>
            <w:tcW w:type="dxa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1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3.164,44</w:t>
            </w:r>
          </w:p>
        </w:tc>
        <w:tc>
          <w:tcPr>
            <w:tcW w:type="dxa" w:w="2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Poček</w:t>
            </w:r>
          </w:p>
        </w:tc>
      </w:tr>
      <w:tr w:rsidTr="009809CC" w:rsidR="009809CC">
        <w:trPr>
          <w:trHeight w:val="374"/>
          <w:jc w:val="center"/>
        </w:trPr>
        <w:tc>
          <w:tcPr>
            <w:tcW w:type="dxa" w:w="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4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30.01.2016.</w:t>
            </w:r>
          </w:p>
        </w:tc>
        <w:tc>
          <w:tcPr>
            <w:tcW w:type="dxa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1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3.164,44</w:t>
            </w:r>
          </w:p>
        </w:tc>
        <w:tc>
          <w:tcPr>
            <w:tcW w:type="dxa" w:w="2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Poček</w:t>
            </w:r>
          </w:p>
        </w:tc>
      </w:tr>
      <w:tr w:rsidTr="009809CC" w:rsidR="009809CC">
        <w:trPr>
          <w:trHeight w:val="374"/>
          <w:jc w:val="center"/>
        </w:trPr>
        <w:tc>
          <w:tcPr>
            <w:tcW w:type="dxa" w:w="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5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29.02.2015.</w:t>
            </w:r>
          </w:p>
        </w:tc>
        <w:tc>
          <w:tcPr>
            <w:tcW w:type="dxa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1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3.164,44</w:t>
            </w:r>
          </w:p>
        </w:tc>
        <w:tc>
          <w:tcPr>
            <w:tcW w:type="dxa" w:w="2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Poček</w:t>
            </w:r>
          </w:p>
        </w:tc>
      </w:tr>
      <w:tr w:rsidTr="009809CC" w:rsidR="009809CC">
        <w:trPr>
          <w:trHeight w:val="374"/>
          <w:jc w:val="center"/>
        </w:trPr>
        <w:tc>
          <w:tcPr>
            <w:tcW w:type="dxa" w:w="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6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30.03.2016.</w:t>
            </w:r>
          </w:p>
        </w:tc>
        <w:tc>
          <w:tcPr>
            <w:tcW w:type="dxa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1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3.164,44</w:t>
            </w:r>
          </w:p>
        </w:tc>
        <w:tc>
          <w:tcPr>
            <w:tcW w:type="dxa" w:w="2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Poček</w:t>
            </w:r>
          </w:p>
        </w:tc>
      </w:tr>
      <w:tr w:rsidTr="009809CC" w:rsidR="009809CC">
        <w:trPr>
          <w:trHeight w:val="374"/>
          <w:jc w:val="center"/>
        </w:trPr>
        <w:tc>
          <w:tcPr>
            <w:tcW w:type="dxa" w:w="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7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30.04.2016.</w:t>
            </w:r>
          </w:p>
        </w:tc>
        <w:tc>
          <w:tcPr>
            <w:tcW w:type="dxa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1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263,70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2.900,74</w:t>
            </w:r>
          </w:p>
        </w:tc>
        <w:tc>
          <w:tcPr>
            <w:tcW w:type="dxa" w:w="2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1. rata otplate</w:t>
            </w:r>
          </w:p>
        </w:tc>
      </w:tr>
      <w:tr w:rsidTr="009809CC" w:rsidR="009809CC">
        <w:trPr>
          <w:trHeight w:val="374"/>
          <w:jc w:val="center"/>
        </w:trPr>
        <w:tc>
          <w:tcPr>
            <w:tcW w:type="dxa" w:w="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8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30.05.2016.</w:t>
            </w:r>
          </w:p>
        </w:tc>
        <w:tc>
          <w:tcPr>
            <w:tcW w:type="dxa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1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263,70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2.637,04</w:t>
            </w:r>
          </w:p>
        </w:tc>
        <w:tc>
          <w:tcPr>
            <w:tcW w:type="dxa" w:w="2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2. rata otplate</w:t>
            </w:r>
          </w:p>
        </w:tc>
      </w:tr>
      <w:tr w:rsidTr="009809CC" w:rsidR="009809CC">
        <w:trPr>
          <w:trHeight w:val="374"/>
          <w:jc w:val="center"/>
        </w:trPr>
        <w:tc>
          <w:tcPr>
            <w:tcW w:type="dxa" w:w="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9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30.06.2016.</w:t>
            </w:r>
          </w:p>
        </w:tc>
        <w:tc>
          <w:tcPr>
            <w:tcW w:type="dxa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1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263,70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2.373,34</w:t>
            </w:r>
          </w:p>
        </w:tc>
        <w:tc>
          <w:tcPr>
            <w:tcW w:type="dxa" w:w="2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3. rata otplate</w:t>
            </w:r>
          </w:p>
        </w:tc>
      </w:tr>
      <w:tr w:rsidTr="009809CC" w:rsidR="009809CC">
        <w:trPr>
          <w:trHeight w:val="374"/>
          <w:jc w:val="center"/>
        </w:trPr>
        <w:tc>
          <w:tcPr>
            <w:tcW w:type="dxa" w:w="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10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30.07.2016.</w:t>
            </w:r>
          </w:p>
        </w:tc>
        <w:tc>
          <w:tcPr>
            <w:tcW w:type="dxa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1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263,70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2.109,64</w:t>
            </w:r>
          </w:p>
        </w:tc>
        <w:tc>
          <w:tcPr>
            <w:tcW w:type="dxa" w:w="2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4. rata otplate</w:t>
            </w:r>
          </w:p>
        </w:tc>
      </w:tr>
      <w:tr w:rsidTr="009809CC" w:rsidR="009809CC">
        <w:trPr>
          <w:trHeight w:val="374"/>
          <w:jc w:val="center"/>
        </w:trPr>
        <w:tc>
          <w:tcPr>
            <w:tcW w:type="dxa" w:w="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11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30.08.2016.</w:t>
            </w:r>
          </w:p>
        </w:tc>
        <w:tc>
          <w:tcPr>
            <w:tcW w:type="dxa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1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263,70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1.845,94</w:t>
            </w:r>
          </w:p>
        </w:tc>
        <w:tc>
          <w:tcPr>
            <w:tcW w:type="dxa" w:w="2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5. rata otplate</w:t>
            </w:r>
          </w:p>
        </w:tc>
      </w:tr>
      <w:tr w:rsidTr="009809CC" w:rsidR="009809CC">
        <w:trPr>
          <w:trHeight w:val="374"/>
          <w:jc w:val="center"/>
        </w:trPr>
        <w:tc>
          <w:tcPr>
            <w:tcW w:type="dxa" w:w="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12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30.09.2016.</w:t>
            </w:r>
          </w:p>
        </w:tc>
        <w:tc>
          <w:tcPr>
            <w:tcW w:type="dxa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1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263,70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1.582,24</w:t>
            </w:r>
          </w:p>
        </w:tc>
        <w:tc>
          <w:tcPr>
            <w:tcW w:type="dxa" w:w="2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6. rata otplate</w:t>
            </w:r>
          </w:p>
        </w:tc>
      </w:tr>
      <w:tr w:rsidTr="009809CC" w:rsidR="009809CC">
        <w:trPr>
          <w:trHeight w:val="374"/>
          <w:jc w:val="center"/>
        </w:trPr>
        <w:tc>
          <w:tcPr>
            <w:tcW w:type="dxa" w:w="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13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30.10.2016.</w:t>
            </w:r>
          </w:p>
        </w:tc>
        <w:tc>
          <w:tcPr>
            <w:tcW w:type="dxa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1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263,70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1.318,54</w:t>
            </w:r>
          </w:p>
        </w:tc>
        <w:tc>
          <w:tcPr>
            <w:tcW w:type="dxa" w:w="2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7. rata otplate</w:t>
            </w:r>
          </w:p>
        </w:tc>
      </w:tr>
      <w:tr w:rsidTr="009809CC" w:rsidR="009809CC">
        <w:trPr>
          <w:trHeight w:val="374"/>
          <w:jc w:val="center"/>
        </w:trPr>
        <w:tc>
          <w:tcPr>
            <w:tcW w:type="dxa" w:w="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14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30.11.2016.</w:t>
            </w:r>
          </w:p>
        </w:tc>
        <w:tc>
          <w:tcPr>
            <w:tcW w:type="dxa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1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263,70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1.054,84</w:t>
            </w:r>
          </w:p>
        </w:tc>
        <w:tc>
          <w:tcPr>
            <w:tcW w:type="dxa" w:w="2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8. rata otplate</w:t>
            </w:r>
          </w:p>
        </w:tc>
      </w:tr>
      <w:tr w:rsidTr="009809CC" w:rsidR="009809CC">
        <w:trPr>
          <w:trHeight w:val="374"/>
          <w:jc w:val="center"/>
        </w:trPr>
        <w:tc>
          <w:tcPr>
            <w:tcW w:type="dxa" w:w="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15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30.12.2016</w:t>
            </w:r>
          </w:p>
        </w:tc>
        <w:tc>
          <w:tcPr>
            <w:tcW w:type="dxa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1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263,70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791,14</w:t>
            </w:r>
          </w:p>
        </w:tc>
        <w:tc>
          <w:tcPr>
            <w:tcW w:type="dxa" w:w="2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9. rata otplate</w:t>
            </w:r>
          </w:p>
        </w:tc>
      </w:tr>
      <w:tr w:rsidTr="009809CC" w:rsidR="009809CC">
        <w:trPr>
          <w:trHeight w:val="374"/>
          <w:jc w:val="center"/>
        </w:trPr>
        <w:tc>
          <w:tcPr>
            <w:tcW w:type="dxa" w:w="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16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30.01.2017.</w:t>
            </w:r>
          </w:p>
        </w:tc>
        <w:tc>
          <w:tcPr>
            <w:tcW w:type="dxa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1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263,70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527,44</w:t>
            </w:r>
          </w:p>
        </w:tc>
        <w:tc>
          <w:tcPr>
            <w:tcW w:type="dxa" w:w="2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10. rata otplate</w:t>
            </w:r>
          </w:p>
        </w:tc>
      </w:tr>
      <w:tr w:rsidTr="009809CC" w:rsidR="009809CC">
        <w:trPr>
          <w:trHeight w:val="374"/>
          <w:jc w:val="center"/>
        </w:trPr>
        <w:tc>
          <w:tcPr>
            <w:tcW w:type="dxa" w:w="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17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28.02.2017.</w:t>
            </w:r>
          </w:p>
        </w:tc>
        <w:tc>
          <w:tcPr>
            <w:tcW w:type="dxa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1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263,70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263,74</w:t>
            </w:r>
          </w:p>
        </w:tc>
        <w:tc>
          <w:tcPr>
            <w:tcW w:type="dxa" w:w="2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11. rata otplate</w:t>
            </w:r>
          </w:p>
        </w:tc>
      </w:tr>
      <w:tr w:rsidTr="009809CC" w:rsidR="009809CC">
        <w:trPr>
          <w:trHeight w:val="374"/>
          <w:jc w:val="center"/>
        </w:trPr>
        <w:tc>
          <w:tcPr>
            <w:tcW w:type="dxa" w:w="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18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30.03.2017.</w:t>
            </w:r>
          </w:p>
        </w:tc>
        <w:tc>
          <w:tcPr>
            <w:tcW w:type="dxa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11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263,74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0,00</w:t>
            </w:r>
          </w:p>
        </w:tc>
        <w:tc>
          <w:tcPr>
            <w:tcW w:type="dxa" w:w="21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809CC" w:rsidR="009809CC">
            <w:pPr>
              <w:jc w:val="center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12. rata otplate</w:t>
            </w:r>
          </w:p>
        </w:tc>
      </w:tr>
      <w:tr w:rsidTr="009809CC" w:rsidR="009809CC">
        <w:trPr>
          <w:trHeight w:val="572"/>
          <w:jc w:val="center"/>
        </w:trPr>
        <w:tc>
          <w:tcPr>
            <w:tcW w:type="dxa" w:w="720"/>
            <w:noWrap/>
            <w:vAlign w:val="bottom"/>
            <w:hideMark/>
          </w:tcPr>
          <w:p w:rsidRDefault="009809CC" w:rsidR="009809CC">
            <w:pPr>
              <w:rPr>
                <w:sz w:val="20"/>
              </w:rPr>
            </w:pPr>
          </w:p>
        </w:tc>
        <w:tc>
          <w:tcPr>
            <w:tcW w:type="dxa" w:w="1327"/>
            <w:noWrap/>
            <w:vAlign w:val="bottom"/>
            <w:hideMark/>
          </w:tcPr>
          <w:p w:rsidRDefault="009809CC" w:rsidR="009809CC">
            <w:pPr>
              <w:rPr>
                <w:sz w:val="20"/>
              </w:rPr>
            </w:pPr>
          </w:p>
        </w:tc>
        <w:tc>
          <w:tcPr>
            <w:tcW w:type="dxa" w:w="1170"/>
            <w:tcBorders>
              <w:top w:val="nil"/>
              <w:left w:val="nil"/>
              <w:bottom w:space="0" w:sz="8" w:color="auto" w:val="single"/>
              <w:right w:val="nil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3.164,44</w:t>
            </w:r>
          </w:p>
        </w:tc>
        <w:tc>
          <w:tcPr>
            <w:tcW w:type="dxa" w:w="1192"/>
            <w:tcBorders>
              <w:top w:val="nil"/>
              <w:left w:val="nil"/>
              <w:bottom w:space="0" w:sz="8" w:color="auto" w:val="single"/>
              <w:right w:val="nil"/>
            </w:tcBorders>
            <w:noWrap/>
            <w:vAlign w:val="bottom"/>
            <w:hideMark/>
          </w:tcPr>
          <w:p w:rsidRDefault="009809CC" w:rsidR="009809CC">
            <w:pPr>
              <w:jc w:val="right"/>
              <w:rPr>
                <w:rFonts w:cs="Calibri" w:hAnsi="Calibri" w:ascii="Calibri"/>
                <w:color w:val="000000"/>
                <w:sz w:val="19"/>
                <w:szCs w:val="19"/>
              </w:rPr>
            </w:pPr>
            <w:r>
              <w:rPr>
                <w:rFonts w:cs="Calibri" w:hAnsi="Calibri" w:ascii="Calibri"/>
                <w:color w:val="000000"/>
                <w:sz w:val="19"/>
                <w:szCs w:val="19"/>
              </w:rPr>
              <w:t>3.164,44</w:t>
            </w:r>
          </w:p>
        </w:tc>
        <w:tc>
          <w:tcPr>
            <w:tcW w:type="dxa" w:w="1372"/>
            <w:noWrap/>
            <w:vAlign w:val="bottom"/>
            <w:hideMark/>
          </w:tcPr>
          <w:p w:rsidRDefault="009809CC" w:rsidR="009809CC">
            <w:pPr>
              <w:rPr>
                <w:sz w:val="20"/>
              </w:rPr>
            </w:pPr>
          </w:p>
        </w:tc>
        <w:tc>
          <w:tcPr>
            <w:tcW w:type="dxa" w:w="2159"/>
            <w:noWrap/>
            <w:vAlign w:val="center"/>
            <w:hideMark/>
          </w:tcPr>
          <w:p w:rsidRDefault="009809CC" w:rsidR="009809CC">
            <w:pPr>
              <w:rPr>
                <w:sz w:val="20"/>
              </w:rPr>
            </w:pPr>
          </w:p>
        </w:tc>
      </w:tr>
    </w:tbl>
    <w:p w:rsidRDefault="009809CC" w:rsidP="009809CC" w:rsidR="009809CC">
      <w:pPr>
        <w:rPr>
          <w:rFonts w:cs="Calibri"/>
          <w:sz w:val="26"/>
          <w:szCs w:val="26"/>
        </w:rPr>
      </w:pPr>
    </w:p>
    <w:p w:rsidRDefault="009809CC" w:rsidP="009809CC" w:rsidR="009809CC">
      <w:pPr>
        <w:rPr>
          <w:rFonts w:cs="Calibri"/>
          <w:sz w:val="26"/>
          <w:szCs w:val="26"/>
        </w:rPr>
      </w:pPr>
    </w:p>
    <w:p w:rsidRDefault="009809CC" w:rsidP="009809CC" w:rsidR="009809CC">
      <w:pPr>
        <w:pStyle w:val="Odlomakpopisa"/>
        <w:tabs>
          <w:tab w:pos="709" w:val="left"/>
        </w:tabs>
        <w:ind w:left="360"/>
        <w:rPr>
          <w:rFonts w:cs="Calibri"/>
          <w:sz w:val="26"/>
          <w:szCs w:val="26"/>
        </w:rPr>
      </w:pPr>
      <w:proofErr w:type="spellStart"/>
      <w:r>
        <w:rPr>
          <w:rFonts w:cs="Calibri"/>
          <w:sz w:val="26"/>
          <w:szCs w:val="26"/>
        </w:rPr>
        <w:lastRenderedPageBreak/>
        <w:t>III.Stranke</w:t>
      </w:r>
      <w:proofErr w:type="spellEnd"/>
      <w:r>
        <w:rPr>
          <w:rFonts w:cs="Calibri"/>
          <w:sz w:val="26"/>
          <w:szCs w:val="26"/>
        </w:rPr>
        <w:t xml:space="preserve"> suglasno utvrđuju da vjerovnici nemaju nikakvih daljnjih tražbina prema dužniku, nastalih do dana otvaranja postupka </w:t>
      </w:r>
      <w:proofErr w:type="spellStart"/>
      <w:r>
        <w:rPr>
          <w:rFonts w:cs="Calibri"/>
          <w:sz w:val="26"/>
          <w:szCs w:val="26"/>
        </w:rPr>
        <w:t>predstečajne</w:t>
      </w:r>
      <w:proofErr w:type="spellEnd"/>
      <w:r>
        <w:rPr>
          <w:rFonts w:cs="Calibri"/>
          <w:sz w:val="26"/>
          <w:szCs w:val="26"/>
        </w:rPr>
        <w:t xml:space="preserve"> nagodbe, osim onih navedenih u Izmijenjenom planu financijskog i operativnog restrukturiranja dužnika, te da su vjerovnici, primitkom iznosa navedenih u ovoj Nagodbi, u cijelosti namireni za sve tražbine prema dužniku, nastale do dana otvaranja postupka </w:t>
      </w:r>
      <w:proofErr w:type="spellStart"/>
      <w:r>
        <w:rPr>
          <w:rFonts w:cs="Calibri"/>
          <w:sz w:val="26"/>
          <w:szCs w:val="26"/>
        </w:rPr>
        <w:t>predstečajne</w:t>
      </w:r>
      <w:proofErr w:type="spellEnd"/>
      <w:r>
        <w:rPr>
          <w:rFonts w:cs="Calibri"/>
          <w:sz w:val="26"/>
          <w:szCs w:val="26"/>
        </w:rPr>
        <w:t xml:space="preserve"> nagodbe.</w:t>
      </w:r>
    </w:p>
    <w:p w:rsidRDefault="009809CC" w:rsidP="009809CC" w:rsidR="009809CC">
      <w:pPr>
        <w:pStyle w:val="Odlomakpopisa"/>
        <w:tabs>
          <w:tab w:pos="709" w:val="left"/>
        </w:tabs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 xml:space="preserve">Ova </w:t>
      </w:r>
      <w:proofErr w:type="spellStart"/>
      <w:r>
        <w:rPr>
          <w:rFonts w:cs="Calibri"/>
          <w:sz w:val="26"/>
          <w:szCs w:val="26"/>
        </w:rPr>
        <w:t>predstečajna</w:t>
      </w:r>
      <w:proofErr w:type="spellEnd"/>
      <w:r>
        <w:rPr>
          <w:rFonts w:cs="Calibri"/>
          <w:sz w:val="26"/>
          <w:szCs w:val="26"/>
        </w:rPr>
        <w:t xml:space="preserve"> nagodba ima snagu ovršne isprave za sve vjerovnike čije su tražbine utvrđene i </w:t>
      </w:r>
      <w:proofErr w:type="spellStart"/>
      <w:r>
        <w:rPr>
          <w:rFonts w:cs="Calibri"/>
          <w:sz w:val="26"/>
          <w:szCs w:val="26"/>
        </w:rPr>
        <w:t>razlučne</w:t>
      </w:r>
      <w:proofErr w:type="spellEnd"/>
      <w:r>
        <w:rPr>
          <w:rFonts w:cs="Calibri"/>
          <w:sz w:val="26"/>
          <w:szCs w:val="26"/>
        </w:rPr>
        <w:t xml:space="preserve"> vjerovnike ako su se odrekli prava na odvojeno namirenje, te su na temelju ove nagodbe ovlašteni radi ostvarenja dužne činidbe nakon dospjelosti obveze, neposredno provesti prisilnu ovrhu.</w:t>
      </w:r>
    </w:p>
    <w:p w:rsidRDefault="009809CC" w:rsidP="009809CC" w:rsidR="009809CC">
      <w:pPr>
        <w:pStyle w:val="Odlomakpopisa"/>
        <w:tabs>
          <w:tab w:pos="709" w:val="left"/>
        </w:tabs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 xml:space="preserve">Stranke utvrđuju da nakon pravomoćnosti Rješenja o potvrdi Nagodbe nije dopušteno pokretanje ovršnog, upravnog ili parničnog postupka protiv dužnika </w:t>
      </w:r>
      <w:r>
        <w:rPr>
          <w:rFonts w:cs="Calibri" w:hAnsi="Cambria" w:ascii="Cambria"/>
        </w:rPr>
        <w:t xml:space="preserve">nagodbe </w:t>
      </w:r>
      <w:r>
        <w:rPr>
          <w:rFonts w:cs="Calibri" w:hAnsi="Cambria" w:ascii="Cambria"/>
          <w:b/>
        </w:rPr>
        <w:t xml:space="preserve">KOMUNALNO PODUZEĆE NOVA RAČA d.o.o. za proizvodnju, trgovinu i usluge, Trg Stjepana Radića 56, 43 272 Nova </w:t>
      </w:r>
      <w:proofErr w:type="spellStart"/>
      <w:r>
        <w:rPr>
          <w:rFonts w:cs="Calibri" w:hAnsi="Cambria" w:ascii="Cambria"/>
          <w:b/>
        </w:rPr>
        <w:t>Rača</w:t>
      </w:r>
      <w:proofErr w:type="spellEnd"/>
      <w:r>
        <w:rPr>
          <w:sz w:val="26"/>
          <w:szCs w:val="26"/>
        </w:rPr>
        <w:t>,</w:t>
      </w:r>
      <w:r>
        <w:rPr>
          <w:rFonts w:cs="Calibri" w:hAnsi="Cambria" w:ascii="Cambria"/>
          <w:b/>
        </w:rPr>
        <w:t xml:space="preserve"> OIB 67222392621, MBO: 010079301</w:t>
      </w:r>
      <w:r>
        <w:rPr>
          <w:rFonts w:cs="Calibri"/>
          <w:sz w:val="26"/>
          <w:szCs w:val="26"/>
        </w:rPr>
        <w:t xml:space="preserve">, radi utvrđenja i ostvarenja tražbine koja je nastala prije otvaranja postupka </w:t>
      </w:r>
      <w:proofErr w:type="spellStart"/>
      <w:r>
        <w:rPr>
          <w:rFonts w:cs="Calibri"/>
          <w:sz w:val="26"/>
          <w:szCs w:val="26"/>
        </w:rPr>
        <w:t>predstečajne</w:t>
      </w:r>
      <w:proofErr w:type="spellEnd"/>
      <w:r>
        <w:rPr>
          <w:rFonts w:cs="Calibri"/>
          <w:sz w:val="26"/>
          <w:szCs w:val="26"/>
        </w:rPr>
        <w:t xml:space="preserve"> nagodbe (koji se nad dužnikom vodio pod poslovnim brojem KLASA: UP-I/110/07/14-01/7570, pred FINANCIJSKOM AGENCIJOM, Regionalni centar: Zagreb, Nagodbeno vijeće: ZG05), a koja u tom postupku nije prijavljena od strane vjerovnika niti je tu tražbinu dužnik uvrstio u Popis obveza prema vjerovnicima iz članka 60. stavka 3. Zakona o financijskom poslovanju i </w:t>
      </w:r>
      <w:proofErr w:type="spellStart"/>
      <w:r>
        <w:rPr>
          <w:rFonts w:cs="Calibri"/>
          <w:sz w:val="26"/>
          <w:szCs w:val="26"/>
        </w:rPr>
        <w:t>predstečajnoj</w:t>
      </w:r>
      <w:proofErr w:type="spellEnd"/>
      <w:r>
        <w:rPr>
          <w:rFonts w:cs="Calibri"/>
          <w:sz w:val="26"/>
          <w:szCs w:val="26"/>
        </w:rPr>
        <w:t xml:space="preserve"> nagodbi.</w:t>
      </w:r>
    </w:p>
    <w:p w:rsidRDefault="009809CC" w:rsidP="009809CC" w:rsidR="009809CC">
      <w:pPr>
        <w:tabs>
          <w:tab w:pos="1478" w:val="left"/>
        </w:tabs>
        <w:ind w:left="709"/>
        <w:jc w:val="both"/>
        <w:rPr>
          <w:rFonts w:cs="Calibri" w:hAnsi="Calibri" w:ascii="Calibri"/>
          <w:sz w:val="26"/>
          <w:szCs w:val="26"/>
        </w:rPr>
      </w:pPr>
      <w:r>
        <w:rPr>
          <w:rFonts w:cs="Calibri" w:hAnsi="Calibri" w:ascii="Calibri"/>
          <w:sz w:val="26"/>
          <w:szCs w:val="26"/>
        </w:rPr>
        <w:t xml:space="preserve">Stranke sukladno utvrđuju da se dužnik </w:t>
      </w:r>
      <w:r>
        <w:rPr>
          <w:rFonts w:cs="Calibri" w:hAnsi="Cambria" w:ascii="Cambria"/>
        </w:rPr>
        <w:t xml:space="preserve">nagodbe </w:t>
      </w:r>
      <w:r>
        <w:rPr>
          <w:rFonts w:cs="Calibri" w:hAnsi="Cambria" w:ascii="Cambria"/>
          <w:b/>
        </w:rPr>
        <w:t xml:space="preserve">KOMUNALNO PODUZEĆE NOVA RAČA d.o.o. za proizvodnju, trgovinu i usluge, Trg Stjepana Radića 56, 43 272 Nova </w:t>
      </w:r>
      <w:proofErr w:type="spellStart"/>
      <w:r>
        <w:rPr>
          <w:rFonts w:cs="Calibri" w:hAnsi="Cambria" w:ascii="Cambria"/>
          <w:b/>
        </w:rPr>
        <w:t>Rača</w:t>
      </w:r>
      <w:proofErr w:type="spellEnd"/>
      <w:r>
        <w:rPr>
          <w:sz w:val="26"/>
          <w:szCs w:val="26"/>
        </w:rPr>
        <w:t>,</w:t>
      </w:r>
      <w:r>
        <w:rPr>
          <w:rFonts w:cs="Calibri" w:hAnsi="Cambria" w:ascii="Cambria"/>
          <w:b/>
        </w:rPr>
        <w:t xml:space="preserve"> OIB 67222392621, MBO: 010079301</w:t>
      </w:r>
      <w:r>
        <w:rPr>
          <w:rFonts w:cs="Calibri" w:hAnsi="Calibri" w:ascii="Calibri"/>
          <w:sz w:val="26"/>
          <w:szCs w:val="26"/>
        </w:rPr>
        <w:t>, oslobađa od obveza namirenja tražbina vjerovnika iz Nagodbe, ako namiri tražbine u skladu s točkom II. ove Nagodbe.</w:t>
      </w:r>
    </w:p>
    <w:p w:rsidRDefault="009809CC" w:rsidP="009809CC" w:rsidR="009809CC">
      <w:pPr>
        <w:tabs>
          <w:tab w:pos="1478" w:val="left"/>
        </w:tabs>
        <w:ind w:left="709"/>
        <w:jc w:val="both"/>
        <w:rPr>
          <w:rFonts w:cs="Calibri" w:hAnsi="Calibri" w:ascii="Calibri"/>
          <w:sz w:val="26"/>
          <w:szCs w:val="26"/>
        </w:rPr>
      </w:pPr>
      <w:r>
        <w:rPr>
          <w:rFonts w:cs="Calibri" w:hAnsi="Calibri" w:ascii="Calibri"/>
          <w:sz w:val="26"/>
          <w:szCs w:val="26"/>
        </w:rPr>
        <w:t xml:space="preserve">Stranke sukladno utvrđuju da se dužnik </w:t>
      </w:r>
      <w:r>
        <w:rPr>
          <w:rFonts w:cs="Calibri" w:hAnsi="Cambria" w:ascii="Cambria"/>
        </w:rPr>
        <w:t xml:space="preserve">nagodbe </w:t>
      </w:r>
      <w:r>
        <w:rPr>
          <w:rFonts w:cs="Calibri" w:hAnsi="Cambria" w:ascii="Cambria"/>
          <w:b/>
        </w:rPr>
        <w:t xml:space="preserve">KOMUNALNO PODUZEĆE NOVA RAČA d.o.o. za proizvodnju, trgovinu i usluge, Trg Stjepana Radića 56, 43 272 Nova </w:t>
      </w:r>
      <w:proofErr w:type="spellStart"/>
      <w:r>
        <w:rPr>
          <w:rFonts w:cs="Calibri" w:hAnsi="Cambria" w:ascii="Cambria"/>
          <w:b/>
        </w:rPr>
        <w:t>Rača</w:t>
      </w:r>
      <w:proofErr w:type="spellEnd"/>
      <w:r>
        <w:rPr>
          <w:sz w:val="26"/>
          <w:szCs w:val="26"/>
        </w:rPr>
        <w:t>,</w:t>
      </w:r>
      <w:r>
        <w:rPr>
          <w:rFonts w:cs="Calibri" w:hAnsi="Cambria" w:ascii="Cambria"/>
          <w:b/>
        </w:rPr>
        <w:t xml:space="preserve"> OIB 67222392621, MBO: 010079301</w:t>
      </w:r>
      <w:r>
        <w:rPr>
          <w:rFonts w:cs="Calibri" w:hAnsi="Calibri" w:ascii="Calibri"/>
          <w:sz w:val="26"/>
          <w:szCs w:val="26"/>
        </w:rPr>
        <w:t>, na temelju ove Nagodbe  oslobađa od obveze da vjerovnicima isplati iznos koji je veći od iznosa tražbina u smislu točke II. ove Nagodbe, a rokovi plaćanja se odgađaju u skladu s ovom Nagodbom.</w:t>
      </w:r>
    </w:p>
    <w:p w:rsidRDefault="009809CC" w:rsidP="009809CC" w:rsidR="009809CC">
      <w:pPr>
        <w:tabs>
          <w:tab w:pos="1478" w:val="left"/>
        </w:tabs>
        <w:ind w:left="709"/>
        <w:jc w:val="both"/>
        <w:rPr>
          <w:rFonts w:cs="Calibri" w:hAnsi="Calibri" w:ascii="Calibri"/>
          <w:sz w:val="26"/>
          <w:szCs w:val="26"/>
        </w:rPr>
      </w:pPr>
      <w:r>
        <w:rPr>
          <w:rFonts w:cs="Calibri" w:hAnsi="Calibri" w:ascii="Calibri"/>
          <w:sz w:val="26"/>
          <w:szCs w:val="26"/>
        </w:rPr>
        <w:t xml:space="preserve">U odnosu na tražbine vjerovnika utvrđene u postupku </w:t>
      </w:r>
      <w:proofErr w:type="spellStart"/>
      <w:r>
        <w:rPr>
          <w:rFonts w:cs="Calibri" w:hAnsi="Calibri" w:ascii="Calibri"/>
          <w:sz w:val="26"/>
          <w:szCs w:val="26"/>
        </w:rPr>
        <w:t>predstečajne</w:t>
      </w:r>
      <w:proofErr w:type="spellEnd"/>
      <w:r>
        <w:rPr>
          <w:rFonts w:cs="Calibri" w:hAnsi="Calibri" w:ascii="Calibri"/>
          <w:sz w:val="26"/>
          <w:szCs w:val="26"/>
        </w:rPr>
        <w:t xml:space="preserve"> nagodbe koji se nad dužnikom </w:t>
      </w:r>
      <w:r>
        <w:rPr>
          <w:rFonts w:cs="Calibri" w:hAnsi="Cambria" w:ascii="Cambria"/>
        </w:rPr>
        <w:t xml:space="preserve">nagodbe </w:t>
      </w:r>
      <w:r>
        <w:rPr>
          <w:rFonts w:cs="Calibri" w:hAnsi="Cambria" w:ascii="Cambria"/>
          <w:b/>
        </w:rPr>
        <w:t xml:space="preserve">KOMUNALNO PODUZEĆE NOVA RAČA d.o.o. za proizvodnju, trgovinu i usluge, Trg Stjepana Radića 56, 43 272 Nova </w:t>
      </w:r>
      <w:proofErr w:type="spellStart"/>
      <w:r>
        <w:rPr>
          <w:rFonts w:cs="Calibri" w:hAnsi="Cambria" w:ascii="Cambria"/>
          <w:b/>
        </w:rPr>
        <w:t>Rača</w:t>
      </w:r>
      <w:proofErr w:type="spellEnd"/>
      <w:r>
        <w:rPr>
          <w:sz w:val="26"/>
          <w:szCs w:val="26"/>
        </w:rPr>
        <w:t>,</w:t>
      </w:r>
      <w:r>
        <w:rPr>
          <w:rFonts w:cs="Calibri" w:hAnsi="Cambria" w:ascii="Cambria"/>
          <w:b/>
        </w:rPr>
        <w:t xml:space="preserve"> OIB 67222392621, MBO: 010079301</w:t>
      </w:r>
      <w:r>
        <w:rPr>
          <w:rFonts w:cs="Calibri" w:hAnsi="Calibri" w:ascii="Calibri"/>
          <w:sz w:val="26"/>
          <w:szCs w:val="26"/>
        </w:rPr>
        <w:t xml:space="preserve">, vodio pred Financijskom agencijom pod klasom UP-I/110/07/14-01/7570 i obuhvaćene ovom nagodbom, ovršni i upravni postupci pokrenuti prije otvaranja postupka </w:t>
      </w:r>
      <w:proofErr w:type="spellStart"/>
      <w:r>
        <w:rPr>
          <w:rFonts w:cs="Calibri" w:hAnsi="Calibri" w:ascii="Calibri"/>
          <w:sz w:val="26"/>
          <w:szCs w:val="26"/>
        </w:rPr>
        <w:t>predstečajne</w:t>
      </w:r>
      <w:proofErr w:type="spellEnd"/>
      <w:r>
        <w:rPr>
          <w:rFonts w:cs="Calibri" w:hAnsi="Calibri" w:ascii="Calibri"/>
          <w:sz w:val="26"/>
          <w:szCs w:val="26"/>
        </w:rPr>
        <w:t xml:space="preserve"> nagodbe obustavit će se, a u parničnim postupcima sud će u odnosu na te tražbine odbaciti tužbu, na prijedlog dužnika podnesen nakon pravomoćnosti rješenja o potvrdi </w:t>
      </w:r>
      <w:proofErr w:type="spellStart"/>
      <w:r>
        <w:rPr>
          <w:rFonts w:cs="Calibri" w:hAnsi="Calibri" w:ascii="Calibri"/>
          <w:sz w:val="26"/>
          <w:szCs w:val="26"/>
        </w:rPr>
        <w:t>predstečajne</w:t>
      </w:r>
      <w:proofErr w:type="spellEnd"/>
      <w:r>
        <w:rPr>
          <w:rFonts w:cs="Calibri" w:hAnsi="Calibri" w:ascii="Calibri"/>
          <w:sz w:val="26"/>
          <w:szCs w:val="26"/>
        </w:rPr>
        <w:t xml:space="preserve"> nagodbe.</w:t>
      </w:r>
    </w:p>
    <w:p w:rsidRDefault="009809CC" w:rsidP="009809CC" w:rsidR="009809CC">
      <w:pPr>
        <w:tabs>
          <w:tab w:pos="1478" w:val="left"/>
        </w:tabs>
        <w:ind w:left="709"/>
        <w:jc w:val="both"/>
        <w:rPr>
          <w:rFonts w:cs="Calibri" w:hAnsi="Calibri" w:ascii="Calibri"/>
          <w:sz w:val="26"/>
          <w:szCs w:val="26"/>
        </w:rPr>
      </w:pPr>
      <w:r>
        <w:rPr>
          <w:rFonts w:cs="Calibri" w:hAnsi="Calibri" w:ascii="Calibri"/>
          <w:sz w:val="26"/>
          <w:szCs w:val="26"/>
        </w:rPr>
        <w:lastRenderedPageBreak/>
        <w:t xml:space="preserve">Ovršne isprave koje se odnose na tražbine iz ove Nagodbe gube pravnu snagu u odnosu na dužnika </w:t>
      </w:r>
      <w:r>
        <w:rPr>
          <w:rFonts w:cs="Calibri" w:hAnsi="Cambria" w:ascii="Cambria"/>
        </w:rPr>
        <w:t xml:space="preserve">nagodbe </w:t>
      </w:r>
      <w:r>
        <w:rPr>
          <w:rFonts w:cs="Calibri" w:hAnsi="Cambria" w:ascii="Cambria"/>
          <w:b/>
        </w:rPr>
        <w:t xml:space="preserve">KOMUNALNO PODUZEĆE NOVA RAČA d.o.o. za proizvodnju, trgovinu i usluge, Trg Stjepana Radića 56, 43 272 Nova </w:t>
      </w:r>
      <w:proofErr w:type="spellStart"/>
      <w:r>
        <w:rPr>
          <w:rFonts w:cs="Calibri" w:hAnsi="Cambria" w:ascii="Cambria"/>
          <w:b/>
        </w:rPr>
        <w:t>Rača</w:t>
      </w:r>
      <w:proofErr w:type="spellEnd"/>
      <w:r>
        <w:rPr>
          <w:sz w:val="26"/>
          <w:szCs w:val="26"/>
        </w:rPr>
        <w:t>,</w:t>
      </w:r>
      <w:r>
        <w:rPr>
          <w:rFonts w:cs="Calibri" w:hAnsi="Cambria" w:ascii="Cambria"/>
          <w:b/>
        </w:rPr>
        <w:t xml:space="preserve"> OIB 67222392621, MBO: 010079301</w:t>
      </w:r>
      <w:r>
        <w:rPr>
          <w:rFonts w:cs="Calibri" w:hAnsi="Calibri" w:ascii="Calibri"/>
          <w:sz w:val="26"/>
          <w:szCs w:val="26"/>
        </w:rPr>
        <w:t xml:space="preserve">. Ovršne isprave </w:t>
      </w:r>
      <w:proofErr w:type="spellStart"/>
      <w:r>
        <w:rPr>
          <w:rFonts w:cs="Calibri" w:hAnsi="Calibri" w:ascii="Calibri"/>
          <w:sz w:val="26"/>
          <w:szCs w:val="26"/>
        </w:rPr>
        <w:t>razlučnih</w:t>
      </w:r>
      <w:proofErr w:type="spellEnd"/>
      <w:r>
        <w:rPr>
          <w:rFonts w:cs="Calibri" w:hAnsi="Calibri" w:ascii="Calibri"/>
          <w:sz w:val="26"/>
          <w:szCs w:val="26"/>
        </w:rPr>
        <w:t xml:space="preserve"> vjerovnika ne gube pravnu snagu glede namirenja na predmetu na kojem postoji </w:t>
      </w:r>
      <w:proofErr w:type="spellStart"/>
      <w:r>
        <w:rPr>
          <w:rFonts w:cs="Calibri" w:hAnsi="Calibri" w:ascii="Calibri"/>
          <w:sz w:val="26"/>
          <w:szCs w:val="26"/>
        </w:rPr>
        <w:t>razlučno</w:t>
      </w:r>
      <w:proofErr w:type="spellEnd"/>
      <w:r>
        <w:rPr>
          <w:rFonts w:cs="Calibri" w:hAnsi="Calibri" w:ascii="Calibri"/>
          <w:sz w:val="26"/>
          <w:szCs w:val="26"/>
        </w:rPr>
        <w:t xml:space="preserve"> pravo.</w:t>
      </w:r>
    </w:p>
    <w:p w:rsidRDefault="009809CC" w:rsidP="009809CC" w:rsidR="009809CC">
      <w:pPr>
        <w:tabs>
          <w:tab w:pos="1478" w:val="left"/>
        </w:tabs>
        <w:ind w:left="709"/>
        <w:jc w:val="both"/>
        <w:rPr>
          <w:rFonts w:cs="Calibri" w:hAnsi="Calibri" w:ascii="Calibri"/>
          <w:sz w:val="26"/>
          <w:szCs w:val="26"/>
        </w:rPr>
      </w:pPr>
      <w:r>
        <w:rPr>
          <w:rFonts w:cs="Calibri" w:hAnsi="Calibri" w:ascii="Calibri"/>
          <w:sz w:val="26"/>
          <w:szCs w:val="26"/>
        </w:rPr>
        <w:t xml:space="preserve">Ukoliko postoje, Izjave o odricanju od prava na odvojeno namirenje </w:t>
      </w:r>
      <w:proofErr w:type="spellStart"/>
      <w:r>
        <w:rPr>
          <w:rFonts w:cs="Calibri" w:hAnsi="Calibri" w:ascii="Calibri"/>
          <w:sz w:val="26"/>
          <w:szCs w:val="26"/>
        </w:rPr>
        <w:t>razlučnih</w:t>
      </w:r>
      <w:proofErr w:type="spellEnd"/>
      <w:r>
        <w:rPr>
          <w:rFonts w:cs="Calibri" w:hAnsi="Calibri" w:ascii="Calibri"/>
          <w:sz w:val="26"/>
          <w:szCs w:val="26"/>
        </w:rPr>
        <w:t xml:space="preserve"> vjerovnika dane u postupku </w:t>
      </w:r>
      <w:proofErr w:type="spellStart"/>
      <w:r>
        <w:rPr>
          <w:rFonts w:cs="Calibri" w:hAnsi="Calibri" w:ascii="Calibri"/>
          <w:sz w:val="26"/>
          <w:szCs w:val="26"/>
        </w:rPr>
        <w:t>predstečajne</w:t>
      </w:r>
      <w:proofErr w:type="spellEnd"/>
      <w:r>
        <w:rPr>
          <w:rFonts w:cs="Calibri" w:hAnsi="Calibri" w:ascii="Calibri"/>
          <w:sz w:val="26"/>
          <w:szCs w:val="26"/>
        </w:rPr>
        <w:t xml:space="preserve"> nagodbe koji se nad dužnikom </w:t>
      </w:r>
      <w:r>
        <w:rPr>
          <w:rFonts w:cs="Calibri" w:hAnsi="Cambria" w:ascii="Cambria"/>
        </w:rPr>
        <w:t xml:space="preserve">nagodbe </w:t>
      </w:r>
      <w:r>
        <w:rPr>
          <w:rFonts w:cs="Calibri" w:hAnsi="Cambria" w:ascii="Cambria"/>
          <w:b/>
        </w:rPr>
        <w:t xml:space="preserve">KOMUNALNO PODUZEĆE NOVA RAČA d.o.o. za proizvodnju, trgovinu i usluge, Trg Stjepana Radića 56, 43 272 Nova </w:t>
      </w:r>
      <w:proofErr w:type="spellStart"/>
      <w:r>
        <w:rPr>
          <w:rFonts w:cs="Calibri" w:hAnsi="Cambria" w:ascii="Cambria"/>
          <w:b/>
        </w:rPr>
        <w:t>Rača</w:t>
      </w:r>
      <w:proofErr w:type="spellEnd"/>
      <w:r>
        <w:rPr>
          <w:sz w:val="26"/>
          <w:szCs w:val="26"/>
        </w:rPr>
        <w:t>,</w:t>
      </w:r>
      <w:r>
        <w:rPr>
          <w:rFonts w:cs="Calibri" w:hAnsi="Cambria" w:ascii="Cambria"/>
          <w:b/>
        </w:rPr>
        <w:t xml:space="preserve"> OIB 67222392621, MBO: 010079301</w:t>
      </w:r>
      <w:r>
        <w:rPr>
          <w:rFonts w:cs="Calibri" w:hAnsi="Calibri" w:ascii="Calibri"/>
          <w:sz w:val="26"/>
          <w:szCs w:val="26"/>
        </w:rPr>
        <w:t xml:space="preserve">, vodio pred Financijskom agencijom pod klasom UP-I/110/07/14-01/7570,  smatraju se samo izjavama o odricanju od pokretanja i vođenja postupka prisilne naplate za vrijeme trajanja navedenog postupka </w:t>
      </w:r>
      <w:proofErr w:type="spellStart"/>
      <w:r>
        <w:rPr>
          <w:rFonts w:cs="Calibri" w:hAnsi="Calibri" w:ascii="Calibri"/>
          <w:sz w:val="26"/>
          <w:szCs w:val="26"/>
        </w:rPr>
        <w:t>predstečajne</w:t>
      </w:r>
      <w:proofErr w:type="spellEnd"/>
      <w:r>
        <w:rPr>
          <w:rFonts w:cs="Calibri" w:hAnsi="Calibri" w:ascii="Calibri"/>
          <w:sz w:val="26"/>
          <w:szCs w:val="26"/>
        </w:rPr>
        <w:t xml:space="preserve"> nagodbe i za vrijeme urednog izvršavanja ove Nagodbe. Navedene izjave o odricanju ne znače odricanje od upisanog založnog prava ili druge vrste </w:t>
      </w:r>
      <w:proofErr w:type="spellStart"/>
      <w:r>
        <w:rPr>
          <w:rFonts w:cs="Calibri" w:hAnsi="Calibri" w:ascii="Calibri"/>
          <w:sz w:val="26"/>
          <w:szCs w:val="26"/>
        </w:rPr>
        <w:t>razlučnog</w:t>
      </w:r>
      <w:proofErr w:type="spellEnd"/>
      <w:r>
        <w:rPr>
          <w:rFonts w:cs="Calibri" w:hAnsi="Calibri" w:ascii="Calibri"/>
          <w:sz w:val="26"/>
          <w:szCs w:val="26"/>
        </w:rPr>
        <w:t xml:space="preserve"> prava niti se one smatraju </w:t>
      </w:r>
      <w:proofErr w:type="spellStart"/>
      <w:r>
        <w:rPr>
          <w:rFonts w:cs="Calibri" w:hAnsi="Calibri" w:ascii="Calibri"/>
          <w:sz w:val="26"/>
          <w:szCs w:val="26"/>
        </w:rPr>
        <w:t>brisovnim</w:t>
      </w:r>
      <w:proofErr w:type="spellEnd"/>
      <w:r>
        <w:rPr>
          <w:rFonts w:cs="Calibri" w:hAnsi="Calibri" w:ascii="Calibri"/>
          <w:sz w:val="26"/>
          <w:szCs w:val="26"/>
        </w:rPr>
        <w:t xml:space="preserve"> očitovanjem. U slučaju neurednog izvršavanja obveza preuzetih ovom Nagodbom, </w:t>
      </w:r>
      <w:proofErr w:type="spellStart"/>
      <w:r>
        <w:rPr>
          <w:rFonts w:cs="Calibri" w:hAnsi="Calibri" w:ascii="Calibri"/>
          <w:sz w:val="26"/>
          <w:szCs w:val="26"/>
        </w:rPr>
        <w:t>razlučni</w:t>
      </w:r>
      <w:proofErr w:type="spellEnd"/>
      <w:r>
        <w:rPr>
          <w:rFonts w:cs="Calibri" w:hAnsi="Calibri" w:ascii="Calibri"/>
          <w:sz w:val="26"/>
          <w:szCs w:val="26"/>
        </w:rPr>
        <w:t xml:space="preserve"> vjerovnici koji su se u postupku </w:t>
      </w:r>
      <w:proofErr w:type="spellStart"/>
      <w:r>
        <w:rPr>
          <w:rFonts w:cs="Calibri" w:hAnsi="Calibri" w:ascii="Calibri"/>
          <w:sz w:val="26"/>
          <w:szCs w:val="26"/>
        </w:rPr>
        <w:t>prestečajne</w:t>
      </w:r>
      <w:proofErr w:type="spellEnd"/>
      <w:r>
        <w:rPr>
          <w:rFonts w:cs="Calibri" w:hAnsi="Calibri" w:ascii="Calibri"/>
          <w:sz w:val="26"/>
          <w:szCs w:val="26"/>
        </w:rPr>
        <w:t xml:space="preserve"> nagodbe koji se nad dužnikom </w:t>
      </w:r>
      <w:r>
        <w:rPr>
          <w:rFonts w:cs="Calibri" w:hAnsi="Cambria" w:ascii="Cambria"/>
        </w:rPr>
        <w:t xml:space="preserve">nagodbe </w:t>
      </w:r>
      <w:r>
        <w:rPr>
          <w:rFonts w:cs="Calibri" w:hAnsi="Cambria" w:ascii="Cambria"/>
          <w:b/>
        </w:rPr>
        <w:t xml:space="preserve">KOMUNALNO PODUZEĆE NOVA RAČA d.o.o. za proizvodnju, trgovinu i usluge, Trg Stjepana Radića 56, 43 272 Nova </w:t>
      </w:r>
      <w:proofErr w:type="spellStart"/>
      <w:r>
        <w:rPr>
          <w:rFonts w:cs="Calibri" w:hAnsi="Cambria" w:ascii="Cambria"/>
          <w:b/>
        </w:rPr>
        <w:t>Rača</w:t>
      </w:r>
      <w:proofErr w:type="spellEnd"/>
      <w:r>
        <w:rPr>
          <w:sz w:val="26"/>
          <w:szCs w:val="26"/>
        </w:rPr>
        <w:t>,</w:t>
      </w:r>
      <w:r>
        <w:rPr>
          <w:rFonts w:cs="Calibri" w:hAnsi="Cambria" w:ascii="Cambria"/>
          <w:b/>
        </w:rPr>
        <w:t xml:space="preserve"> OIB 67222392621, MBO: 010079301</w:t>
      </w:r>
      <w:r>
        <w:rPr>
          <w:rFonts w:cs="Calibri" w:hAnsi="Calibri" w:ascii="Calibri"/>
          <w:sz w:val="26"/>
          <w:szCs w:val="26"/>
        </w:rPr>
        <w:t xml:space="preserve">, vodio pred Financijskom agencijom pod klasom UP-I/110/07/14-01/7570, odrekli prava na odvojeno namirenje, imaju pravo namiriti svoje tražbine iz predmeta </w:t>
      </w:r>
      <w:proofErr w:type="spellStart"/>
      <w:r>
        <w:rPr>
          <w:rFonts w:cs="Calibri" w:hAnsi="Calibri" w:ascii="Calibri"/>
          <w:sz w:val="26"/>
          <w:szCs w:val="26"/>
        </w:rPr>
        <w:t>razlučnog</w:t>
      </w:r>
      <w:proofErr w:type="spellEnd"/>
      <w:r>
        <w:rPr>
          <w:rFonts w:cs="Calibri" w:hAnsi="Calibri" w:ascii="Calibri"/>
          <w:sz w:val="26"/>
          <w:szCs w:val="26"/>
        </w:rPr>
        <w:t xml:space="preserve"> prava neovisno o danoj izjavi o odricanju od prava na odvojeno namirenje.</w:t>
      </w:r>
    </w:p>
    <w:p w:rsidRDefault="009809CC" w:rsidP="009809CC" w:rsidR="009809CC">
      <w:pPr>
        <w:tabs>
          <w:tab w:pos="1478" w:val="left"/>
        </w:tabs>
        <w:ind w:left="709"/>
        <w:jc w:val="both"/>
        <w:rPr>
          <w:rFonts w:cs="Calibri" w:hAnsi="Calibri" w:ascii="Calibri"/>
          <w:sz w:val="26"/>
          <w:szCs w:val="26"/>
        </w:rPr>
      </w:pPr>
      <w:r>
        <w:rPr>
          <w:rFonts w:cs="Calibri" w:hAnsi="Calibri" w:ascii="Calibri"/>
          <w:sz w:val="26"/>
          <w:szCs w:val="26"/>
        </w:rPr>
        <w:t>Ako se ova nagodba potpuno ne izvrši, vjerovnici koji su namireni u smislu točke II. ove Nagodbe nisu dužni vratiti ono što su primili, a tražbine tih vjerovnika smatrat će se potpuno namirenim ako su namireni iznosi utvrđeni u točki II. ove Nagodbe.</w:t>
      </w:r>
    </w:p>
    <w:p w:rsidRDefault="009809CC" w:rsidP="009809CC" w:rsidR="009809CC">
      <w:pPr>
        <w:tabs>
          <w:tab w:pos="1478" w:val="left"/>
        </w:tabs>
        <w:ind w:left="709"/>
        <w:jc w:val="both"/>
        <w:rPr>
          <w:rFonts w:cs="Calibri" w:hAnsi="Calibri" w:ascii="Calibri"/>
          <w:sz w:val="26"/>
          <w:szCs w:val="26"/>
        </w:rPr>
      </w:pPr>
      <w:r>
        <w:rPr>
          <w:rFonts w:cs="Calibri" w:hAnsi="Calibri" w:ascii="Calibri"/>
          <w:sz w:val="26"/>
          <w:szCs w:val="26"/>
        </w:rPr>
        <w:t xml:space="preserve">Vjerovnici koji su djelomično namireni u smislu točke II. ove Nagodbe mogu prijaviti u stečajnom postupku koji bi se vodio nad dužnikom </w:t>
      </w:r>
      <w:r>
        <w:rPr>
          <w:rFonts w:cs="Calibri" w:hAnsi="Cambria" w:ascii="Cambria"/>
        </w:rPr>
        <w:t xml:space="preserve">nagodbe </w:t>
      </w:r>
      <w:r>
        <w:rPr>
          <w:rFonts w:cs="Calibri" w:hAnsi="Cambria" w:ascii="Cambria"/>
          <w:b/>
        </w:rPr>
        <w:t xml:space="preserve">KOMUNALNO PODUZEĆE NOVA RAČA d.o.o. za proizvodnju, trgovinu i usluge, Trg Stjepana Radića 56, 43 272 Nova </w:t>
      </w:r>
      <w:proofErr w:type="spellStart"/>
      <w:r>
        <w:rPr>
          <w:rFonts w:cs="Calibri" w:hAnsi="Cambria" w:ascii="Cambria"/>
          <w:b/>
        </w:rPr>
        <w:t>Rača</w:t>
      </w:r>
      <w:proofErr w:type="spellEnd"/>
      <w:r>
        <w:rPr>
          <w:sz w:val="26"/>
          <w:szCs w:val="26"/>
        </w:rPr>
        <w:t>,</w:t>
      </w:r>
      <w:r>
        <w:rPr>
          <w:rFonts w:cs="Calibri" w:hAnsi="Cambria" w:ascii="Cambria"/>
          <w:b/>
        </w:rPr>
        <w:t xml:space="preserve"> OIB 67222392621, MBO: 010079301</w:t>
      </w:r>
      <w:r>
        <w:rPr>
          <w:rFonts w:cs="Calibri" w:hAnsi="Calibri" w:ascii="Calibri"/>
          <w:sz w:val="26"/>
          <w:szCs w:val="26"/>
        </w:rPr>
        <w:t>, ukupnu smanjenu tražbinu iz točke II. ove nagodbe umanjenu za iznos koji se smatra da je po ovoj Nagodbi namiren.</w:t>
      </w:r>
    </w:p>
    <w:p w:rsidRDefault="009809CC" w:rsidP="009809CC" w:rsidR="009809CC">
      <w:pPr>
        <w:tabs>
          <w:tab w:pos="1478" w:val="left"/>
        </w:tabs>
        <w:ind w:left="709"/>
        <w:jc w:val="both"/>
        <w:rPr>
          <w:rFonts w:cs="Calibri" w:hAnsi="Calibri" w:ascii="Calibri"/>
          <w:sz w:val="26"/>
          <w:szCs w:val="26"/>
        </w:rPr>
      </w:pPr>
      <w:r>
        <w:rPr>
          <w:rFonts w:cs="Calibri" w:hAnsi="Calibri" w:ascii="Calibri"/>
          <w:sz w:val="26"/>
          <w:szCs w:val="26"/>
        </w:rPr>
        <w:t xml:space="preserve">Vjerovnici koji ni djelomično nisu namireni u smislu točke II. ove Nagodbe mogu prijaviti tražbine u stečajnom postupku koji bi se vodio nad dužnikom </w:t>
      </w:r>
      <w:r>
        <w:rPr>
          <w:rFonts w:cs="Calibri" w:hAnsi="Cambria" w:ascii="Cambria"/>
        </w:rPr>
        <w:t xml:space="preserve">nagodbe </w:t>
      </w:r>
      <w:r>
        <w:rPr>
          <w:rFonts w:cs="Calibri" w:hAnsi="Cambria" w:ascii="Cambria"/>
          <w:b/>
        </w:rPr>
        <w:t xml:space="preserve">KOMUNALNO PODUZEĆE NOVA RAČA d.o.o. za proizvodnju, trgovinu i usluge, Trg Stjepana Radića 56, 43 272 Nova </w:t>
      </w:r>
      <w:proofErr w:type="spellStart"/>
      <w:r>
        <w:rPr>
          <w:rFonts w:cs="Calibri" w:hAnsi="Cambria" w:ascii="Cambria"/>
          <w:b/>
        </w:rPr>
        <w:t>Rača</w:t>
      </w:r>
      <w:proofErr w:type="spellEnd"/>
      <w:r>
        <w:rPr>
          <w:sz w:val="26"/>
          <w:szCs w:val="26"/>
        </w:rPr>
        <w:t>,</w:t>
      </w:r>
      <w:r>
        <w:rPr>
          <w:rFonts w:cs="Calibri" w:hAnsi="Cambria" w:ascii="Cambria"/>
          <w:b/>
        </w:rPr>
        <w:t xml:space="preserve"> OIB 67222392621, MBO: 010079301</w:t>
      </w:r>
      <w:r>
        <w:rPr>
          <w:rFonts w:cs="Calibri" w:hAnsi="Calibri" w:ascii="Calibri"/>
          <w:sz w:val="26"/>
          <w:szCs w:val="26"/>
        </w:rPr>
        <w:t>.</w:t>
      </w:r>
    </w:p>
    <w:tbl>
      <w:tblPr>
        <w:tblW w:type="dxa" w:w="15888"/>
        <w:tblInd w:type="dxa" w:w="93"/>
        <w:tblLayout w:type="fixed"/>
        <w:tblLook w:val="04A0" w:noVBand="1" w:noHBand="0" w:lastColumn="0" w:firstColumn="1" w:lastRow="0" w:firstRow="1"/>
      </w:tblPr>
      <w:tblGrid>
        <w:gridCol w:w="9436"/>
        <w:gridCol w:w="741"/>
        <w:gridCol w:w="1244"/>
        <w:gridCol w:w="1360"/>
        <w:gridCol w:w="1060"/>
        <w:gridCol w:w="1220"/>
        <w:gridCol w:w="827"/>
      </w:tblGrid>
      <w:tr w:rsidTr="009809CC" w:rsidR="009809CC">
        <w:trPr>
          <w:trHeight w:val="300"/>
        </w:trPr>
        <w:tc>
          <w:tcPr>
            <w:tcW w:type="dxa" w:w="9436"/>
            <w:vAlign w:val="bottom"/>
          </w:tcPr>
          <w:p w:rsidRDefault="009809CC" w:rsidR="009809CC">
            <w:pPr>
              <w:rPr>
                <w:rFonts w:cs="Calibri" w:hAnsi="Calibri" w:ascii="Calibri"/>
              </w:rPr>
            </w:pPr>
            <w:proofErr w:type="spellStart"/>
            <w:r>
              <w:rPr>
                <w:rFonts w:cs="Calibri"/>
                <w:sz w:val="26"/>
                <w:szCs w:val="26"/>
              </w:rPr>
              <w:lastRenderedPageBreak/>
              <w:t>IV.S</w:t>
            </w:r>
            <w:proofErr w:type="spellEnd"/>
            <w:r>
              <w:rPr>
                <w:rFonts w:cs="Calibri"/>
                <w:sz w:val="26"/>
                <w:szCs w:val="26"/>
              </w:rPr>
              <w:t xml:space="preserve"> obzirom na prethodno navedeno, kako je Nagodbeno vijeće Rješenjem utvrdilo da je postupak nad dužnikom </w:t>
            </w:r>
            <w:r>
              <w:rPr>
                <w:rFonts w:cs="Calibri" w:hAnsi="Cambria" w:ascii="Cambria"/>
              </w:rPr>
              <w:t xml:space="preserve">nagodbe </w:t>
            </w:r>
            <w:r>
              <w:rPr>
                <w:rFonts w:cs="Calibri" w:hAnsi="Cambria" w:ascii="Cambria"/>
                <w:b/>
              </w:rPr>
              <w:t xml:space="preserve">KOMUNALNO PODUZEĆE NOVA RAČA d.o.o.  </w:t>
            </w:r>
            <w:r>
              <w:rPr>
                <w:rFonts w:cs="Calibri"/>
                <w:sz w:val="26"/>
                <w:szCs w:val="26"/>
              </w:rPr>
              <w:t xml:space="preserve">proveden u skladu sa odredbama Zakona, dužnik </w:t>
            </w:r>
            <w:r>
              <w:rPr>
                <w:rFonts w:cs="Calibri" w:hAnsi="Cambria" w:ascii="Cambria"/>
              </w:rPr>
              <w:t xml:space="preserve">nagodbe </w:t>
            </w:r>
            <w:r>
              <w:rPr>
                <w:rFonts w:cs="Calibri" w:hAnsi="Cambria" w:ascii="Cambria"/>
                <w:b/>
              </w:rPr>
              <w:t xml:space="preserve">KOMUNALNO PODUZEĆE NOVA RAČA d.o.o. za proizvodnju, trgovinu i usluge, Trg Stjepana Radića 56, 43 272 Nova </w:t>
            </w:r>
            <w:proofErr w:type="spellStart"/>
            <w:r>
              <w:rPr>
                <w:rFonts w:cs="Calibri" w:hAnsi="Cambria" w:ascii="Cambria"/>
                <w:b/>
              </w:rPr>
              <w:t>Rača</w:t>
            </w:r>
            <w:proofErr w:type="spellEnd"/>
            <w:r>
              <w:rPr>
                <w:sz w:val="26"/>
                <w:szCs w:val="26"/>
              </w:rPr>
              <w:t>,</w:t>
            </w:r>
            <w:r>
              <w:rPr>
                <w:rFonts w:cs="Calibri" w:hAnsi="Cambria" w:ascii="Cambria"/>
                <w:b/>
              </w:rPr>
              <w:t xml:space="preserve"> OIB 67222392621, MBO: 010079301</w:t>
            </w:r>
            <w:r>
              <w:rPr>
                <w:rFonts w:cs="Calibri"/>
                <w:sz w:val="26"/>
                <w:szCs w:val="26"/>
              </w:rPr>
              <w:t xml:space="preserve">, zastupan po ovlaštenom predstavniku dužnika, direktoru Mati Buriću, sukladno odredbi članka 66. st. 1. Zakona, predlaže naslovnome sudu, da kao stvarno i za dužnika mjesno nadležni sud, sukladno priloženim ispravama okončanog postupka </w:t>
            </w:r>
            <w:proofErr w:type="spellStart"/>
            <w:r>
              <w:rPr>
                <w:rFonts w:cs="Calibri"/>
                <w:sz w:val="26"/>
                <w:szCs w:val="26"/>
              </w:rPr>
              <w:t>predstčajne</w:t>
            </w:r>
            <w:proofErr w:type="spellEnd"/>
            <w:r>
              <w:rPr>
                <w:rFonts w:cs="Calibri"/>
                <w:sz w:val="26"/>
                <w:szCs w:val="26"/>
              </w:rPr>
              <w:t xml:space="preserve"> nagodbe, koji je pod poslovnim brojem KLASA: UP-I/110/07/14-01/7570 proveden pred Nagodbenim vijećem ZG05 FINA-e i ovom prijedlogu, po održanom ročištu, Rješenjem odobri sklapanje predložene </w:t>
            </w:r>
            <w:proofErr w:type="spellStart"/>
            <w:r>
              <w:rPr>
                <w:rFonts w:cs="Calibri"/>
                <w:sz w:val="26"/>
                <w:szCs w:val="26"/>
              </w:rPr>
              <w:t>predstečajne</w:t>
            </w:r>
            <w:proofErr w:type="spellEnd"/>
            <w:r>
              <w:rPr>
                <w:rFonts w:cs="Calibri"/>
                <w:sz w:val="26"/>
                <w:szCs w:val="26"/>
              </w:rPr>
              <w:t xml:space="preserve"> nagodbe.</w:t>
            </w:r>
          </w:p>
        </w:tc>
        <w:tc>
          <w:tcPr>
            <w:tcW w:type="dxa" w:w="741"/>
            <w:vAlign w:val="bottom"/>
          </w:tcPr>
          <w:p w:rsidRDefault="009809CC" w:rsidR="009809CC">
            <w:pPr>
              <w:snapToGrid w:val="false"/>
              <w:rPr>
                <w:rFonts w:cs="Calibri" w:hAnsi="Calibri" w:ascii="Calibri"/>
              </w:rPr>
            </w:pPr>
          </w:p>
        </w:tc>
        <w:tc>
          <w:tcPr>
            <w:tcW w:type="dxa" w:w="1244"/>
            <w:vAlign w:val="bottom"/>
          </w:tcPr>
          <w:p w:rsidRDefault="009809CC" w:rsidR="009809CC">
            <w:pPr>
              <w:snapToGrid w:val="false"/>
              <w:rPr>
                <w:rFonts w:cs="Calibri" w:hAnsi="Calibri" w:ascii="Calibri"/>
              </w:rPr>
            </w:pPr>
          </w:p>
        </w:tc>
        <w:tc>
          <w:tcPr>
            <w:tcW w:type="dxa" w:w="1360"/>
            <w:vAlign w:val="bottom"/>
          </w:tcPr>
          <w:p w:rsidRDefault="009809CC" w:rsidR="009809CC">
            <w:pPr>
              <w:snapToGrid w:val="false"/>
              <w:jc w:val="right"/>
              <w:rPr>
                <w:rFonts w:cs="Calibri" w:hAnsi="Calibri" w:ascii="Calibri"/>
              </w:rPr>
            </w:pPr>
          </w:p>
        </w:tc>
        <w:tc>
          <w:tcPr>
            <w:tcW w:type="dxa" w:w="1060"/>
            <w:vAlign w:val="bottom"/>
          </w:tcPr>
          <w:p w:rsidRDefault="009809CC" w:rsidR="009809CC">
            <w:pPr>
              <w:snapToGrid w:val="false"/>
              <w:jc w:val="center"/>
              <w:rPr>
                <w:rFonts w:cs="Calibri" w:hAnsi="Calibri" w:ascii="Calibri"/>
              </w:rPr>
            </w:pPr>
          </w:p>
        </w:tc>
        <w:tc>
          <w:tcPr>
            <w:tcW w:type="dxa" w:w="1220"/>
            <w:vAlign w:val="bottom"/>
          </w:tcPr>
          <w:p w:rsidRDefault="009809CC" w:rsidR="009809CC">
            <w:pPr>
              <w:snapToGrid w:val="false"/>
              <w:jc w:val="right"/>
              <w:rPr>
                <w:rFonts w:cs="Calibri" w:hAnsi="Calibri" w:ascii="Calibri"/>
              </w:rPr>
            </w:pPr>
          </w:p>
        </w:tc>
        <w:tc>
          <w:tcPr>
            <w:tcW w:type="dxa" w:w="827"/>
            <w:vAlign w:val="bottom"/>
          </w:tcPr>
          <w:p w:rsidRDefault="009809CC" w:rsidR="009809CC">
            <w:pPr>
              <w:snapToGrid w:val="false"/>
              <w:jc w:val="center"/>
              <w:rPr>
                <w:rFonts w:cs="Calibri" w:hAnsi="Calibri" w:ascii="Calibri"/>
              </w:rPr>
            </w:pPr>
          </w:p>
        </w:tc>
      </w:tr>
    </w:tbl>
    <w:p w:rsidRDefault="009809CC" w:rsidP="009809CC" w:rsidR="009809CC">
      <w:pPr>
        <w:jc w:val="both"/>
        <w:rPr>
          <w:rFonts w:cs="Times New Roman" w:hAnsi="Arial" w:ascii="Arial"/>
          <w:szCs w:val="20"/>
        </w:rPr>
      </w:pPr>
      <w:r>
        <w:rPr>
          <w:rFonts w:hAnsi="Arial" w:ascii="Arial"/>
        </w:rPr>
        <w:t xml:space="preserve">Nazočnim vjerovnicima nakon što je ova nagodba pročitana i protumačena, te nakon što je glasovanje na ročištu uz ostvarenu većinu iz čl.63. Zakona o financijskom poslovanju i </w:t>
      </w:r>
      <w:proofErr w:type="spellStart"/>
      <w:r>
        <w:rPr>
          <w:rFonts w:hAnsi="Arial" w:ascii="Arial"/>
        </w:rPr>
        <w:t>predstečajnoj</w:t>
      </w:r>
      <w:proofErr w:type="spellEnd"/>
      <w:r>
        <w:rPr>
          <w:rFonts w:hAnsi="Arial" w:ascii="Arial"/>
        </w:rPr>
        <w:t xml:space="preserve"> nagodbi pristalo na njezino sklapanje, a dužnik izjavio da na takvu nagodbu pristaje i obvezuje se ispuniti je tako kako ona glasi, svojim potpisom ovog zapisnika potvrđuju da su u cijelosti prihvatili gore navedenu </w:t>
      </w:r>
      <w:proofErr w:type="spellStart"/>
      <w:r>
        <w:rPr>
          <w:rFonts w:hAnsi="Arial" w:ascii="Arial"/>
        </w:rPr>
        <w:t>predstečajnu</w:t>
      </w:r>
      <w:proofErr w:type="spellEnd"/>
      <w:r>
        <w:rPr>
          <w:rFonts w:hAnsi="Arial" w:ascii="Arial"/>
        </w:rPr>
        <w:t xml:space="preserve"> nagodbu.                                         </w:t>
      </w:r>
    </w:p>
    <w:p w:rsidRDefault="009809CC" w:rsidP="009809CC" w:rsidR="009809CC" w:rsidRPr="009809CC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9809CC" w:rsidP="009809CC" w:rsidR="009809CC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Dana 4. kolovoza 2015. godine, dužnik je u roku predviđenom odredbom članka </w:t>
      </w:r>
      <w:smartTag w:element="metricconverter" w:uri="urn:schemas-microsoft-com:office:smarttags">
        <w:smartTagPr>
          <w:attr w:val="66. st" w:name="ProductID"/>
        </w:smartTagPr>
        <w:r>
          <w:rPr>
            <w:rFonts w:hAnsi="Arial" w:ascii="Arial"/>
          </w:rPr>
          <w:t>66. st</w:t>
        </w:r>
      </w:smartTag>
      <w:r>
        <w:rPr>
          <w:rFonts w:hAnsi="Arial" w:ascii="Arial"/>
        </w:rPr>
        <w:t xml:space="preserve">.1. Zakona o financijskom poslovanju i </w:t>
      </w:r>
      <w:proofErr w:type="spellStart"/>
      <w:r>
        <w:rPr>
          <w:rFonts w:hAnsi="Arial" w:ascii="Arial"/>
        </w:rPr>
        <w:t>predstečajnoj</w:t>
      </w:r>
      <w:proofErr w:type="spellEnd"/>
      <w:r>
        <w:rPr>
          <w:rFonts w:hAnsi="Arial" w:ascii="Arial"/>
        </w:rPr>
        <w:t xml:space="preserve"> nagodbi (NN broj 108/12 i 144/12), podnio ovom sudu prijedlog za sklapanje </w:t>
      </w:r>
      <w:proofErr w:type="spellStart"/>
      <w:r>
        <w:rPr>
          <w:rFonts w:hAnsi="Arial" w:ascii="Arial"/>
        </w:rPr>
        <w:t>predstečajne</w:t>
      </w:r>
      <w:proofErr w:type="spellEnd"/>
      <w:r>
        <w:rPr>
          <w:rFonts w:hAnsi="Arial" w:ascii="Arial"/>
        </w:rPr>
        <w:t xml:space="preserve"> nagodbe.</w:t>
      </w:r>
    </w:p>
    <w:p w:rsidRDefault="009809CC" w:rsidP="009809CC" w:rsidR="009809CC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Dužnik je uz svoj prijedlog dostavio sve dokumente predviđene odredbom čl.66. st.3. Zakona o financijskom poslovanju i </w:t>
      </w:r>
      <w:proofErr w:type="spellStart"/>
      <w:r>
        <w:rPr>
          <w:rFonts w:hAnsi="Arial" w:ascii="Arial"/>
        </w:rPr>
        <w:t>predstečajnoj</w:t>
      </w:r>
      <w:proofErr w:type="spellEnd"/>
      <w:r>
        <w:rPr>
          <w:rFonts w:hAnsi="Arial" w:ascii="Arial"/>
        </w:rPr>
        <w:t xml:space="preserve"> nagodbi.</w:t>
      </w:r>
    </w:p>
    <w:p w:rsidRDefault="009809CC" w:rsidP="009809CC" w:rsidR="009809CC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Kako je na temelju dostavljenih isprava sud utvrdio da su ispunjene pretpostavke za sklapanje </w:t>
      </w:r>
      <w:proofErr w:type="spellStart"/>
      <w:r>
        <w:rPr>
          <w:rFonts w:hAnsi="Arial" w:ascii="Arial"/>
        </w:rPr>
        <w:t>predstečajne</w:t>
      </w:r>
      <w:proofErr w:type="spellEnd"/>
      <w:r>
        <w:rPr>
          <w:rFonts w:hAnsi="Arial" w:ascii="Arial"/>
        </w:rPr>
        <w:t xml:space="preserve"> nagodbe, zakazao je ročište radi sklapanja </w:t>
      </w:r>
      <w:proofErr w:type="spellStart"/>
      <w:r>
        <w:rPr>
          <w:rFonts w:hAnsi="Arial" w:ascii="Arial"/>
        </w:rPr>
        <w:t>predstečajne</w:t>
      </w:r>
      <w:proofErr w:type="spellEnd"/>
      <w:r>
        <w:rPr>
          <w:rFonts w:hAnsi="Arial" w:ascii="Arial"/>
        </w:rPr>
        <w:t xml:space="preserve"> nagodbe, o čemu su dužnik i svi vjerovnici koji su prihvatili plan financijskog restrukturiranja obaviješteni oglasom koji je istaknut na oglasnoj ploči ovog suda i objavljen na web stranici Financijske agencije.</w:t>
      </w:r>
    </w:p>
    <w:p w:rsidRDefault="009809CC" w:rsidP="009809CC" w:rsidR="009809CC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Na ročištu koje je održano dana 8. srpnja 2015. godine, svoj pristanak za sklapanje </w:t>
      </w:r>
      <w:proofErr w:type="spellStart"/>
      <w:r>
        <w:rPr>
          <w:rFonts w:hAnsi="Arial" w:ascii="Arial"/>
        </w:rPr>
        <w:t>predstečajne</w:t>
      </w:r>
      <w:proofErr w:type="spellEnd"/>
      <w:r>
        <w:rPr>
          <w:rFonts w:hAnsi="Arial" w:ascii="Arial"/>
        </w:rPr>
        <w:t xml:space="preserve"> nagodbe dali su dužnik i nazočni vjerovnik, koji su prihvatili plan financijskog restrukturiranja, a čija tražbina čini potrebnu većinu iz članka 63. ovog Zakona, pa je stoga sud ovim Rješenjem odobrio sklopljenu </w:t>
      </w:r>
      <w:proofErr w:type="spellStart"/>
      <w:r>
        <w:rPr>
          <w:rFonts w:hAnsi="Arial" w:ascii="Arial"/>
        </w:rPr>
        <w:t>predstečajnu</w:t>
      </w:r>
      <w:proofErr w:type="spellEnd"/>
      <w:r>
        <w:rPr>
          <w:rFonts w:hAnsi="Arial" w:ascii="Arial"/>
        </w:rPr>
        <w:t xml:space="preserve"> nagodbu, koja je u cijelosti istovjetna sa sadržajem prihvaćenog Plana financijskog restrukturiranja za kojeg su glasali vjerovnici na ročištu održanom dana 8.7.2015. godine.</w:t>
      </w:r>
    </w:p>
    <w:p w:rsidRDefault="009809CC" w:rsidP="009809CC" w:rsidR="009809CC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Ovo rješenje objaviti će se na web stranicama Financijske agencije, a </w:t>
      </w:r>
      <w:proofErr w:type="spellStart"/>
      <w:r>
        <w:rPr>
          <w:rFonts w:hAnsi="Arial" w:ascii="Arial"/>
        </w:rPr>
        <w:t>predstečajna</w:t>
      </w:r>
      <w:proofErr w:type="spellEnd"/>
      <w:r>
        <w:rPr>
          <w:rFonts w:hAnsi="Arial" w:ascii="Arial"/>
        </w:rPr>
        <w:t xml:space="preserve"> nagodba ima snagu ovršne isprave za sve vjerovnike čije su tražbine utvrđene, a u skladu s odredbom članka </w:t>
      </w:r>
      <w:smartTag w:element="metricconverter" w:uri="urn:schemas-microsoft-com:office:smarttags">
        <w:smartTagPr>
          <w:attr w:val="66. st" w:name="ProductID"/>
        </w:smartTagPr>
        <w:r>
          <w:rPr>
            <w:rFonts w:hAnsi="Arial" w:ascii="Arial"/>
          </w:rPr>
          <w:t>66. st</w:t>
        </w:r>
      </w:smartTag>
      <w:r>
        <w:rPr>
          <w:rFonts w:hAnsi="Arial" w:ascii="Arial"/>
        </w:rPr>
        <w:t xml:space="preserve">.11. i 12. Zakona o financijskom poslovanju i </w:t>
      </w:r>
      <w:proofErr w:type="spellStart"/>
      <w:r>
        <w:rPr>
          <w:rFonts w:hAnsi="Arial" w:ascii="Arial"/>
        </w:rPr>
        <w:t>predstečajnoj</w:t>
      </w:r>
      <w:proofErr w:type="spellEnd"/>
      <w:r>
        <w:rPr>
          <w:rFonts w:hAnsi="Arial" w:ascii="Arial"/>
        </w:rPr>
        <w:t xml:space="preserve"> nagodbi.</w:t>
      </w:r>
    </w:p>
    <w:p w:rsidRDefault="009809CC" w:rsidP="009809CC" w:rsidR="009809CC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Sudski registar Trgovačkog suda u Bjelovaru po služenoj dužnosti će upisati činjenicu donošenja Rješenja  o sklopljenoj </w:t>
      </w:r>
      <w:proofErr w:type="spellStart"/>
      <w:r>
        <w:rPr>
          <w:rFonts w:hAnsi="Arial" w:ascii="Arial"/>
        </w:rPr>
        <w:t>predstečajnoj</w:t>
      </w:r>
      <w:proofErr w:type="spellEnd"/>
      <w:r>
        <w:rPr>
          <w:rFonts w:hAnsi="Arial" w:ascii="Arial"/>
        </w:rPr>
        <w:t xml:space="preserve"> nagodbi u skladu s </w:t>
      </w:r>
      <w:r>
        <w:rPr>
          <w:rFonts w:hAnsi="Arial" w:ascii="Arial"/>
        </w:rPr>
        <w:lastRenderedPageBreak/>
        <w:t xml:space="preserve">odredbama članka 66. i 84. Zakona o financijskom poslovanju i </w:t>
      </w:r>
      <w:proofErr w:type="spellStart"/>
      <w:r>
        <w:rPr>
          <w:rFonts w:hAnsi="Arial" w:ascii="Arial"/>
        </w:rPr>
        <w:t>predstečajnoj</w:t>
      </w:r>
      <w:proofErr w:type="spellEnd"/>
      <w:r>
        <w:rPr>
          <w:rFonts w:hAnsi="Arial" w:ascii="Arial"/>
        </w:rPr>
        <w:t xml:space="preserve"> nagodbi.</w:t>
      </w:r>
    </w:p>
    <w:p w:rsidRDefault="009809CC" w:rsidP="009809CC" w:rsidR="009809CC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16. rujna 2015. godine</w:t>
      </w:r>
    </w:p>
    <w:p w:rsidRDefault="009809CC" w:rsidP="009809CC" w:rsidR="009809CC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STEČAJNI SUDAC</w:t>
      </w:r>
      <w:bookmarkStart w:name="_GoBack" w:id="0"/>
      <w:bookmarkEnd w:id="0"/>
    </w:p>
    <w:p w:rsidRDefault="009809CC" w:rsidP="009809CC" w:rsidR="009809CC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9809CC" w:rsidP="009809CC" w:rsidR="009809CC">
      <w:pPr>
        <w:ind w:firstLine="720"/>
        <w:jc w:val="both"/>
        <w:rPr>
          <w:rFonts w:hAnsi="Arial" w:ascii="Arial"/>
        </w:rPr>
      </w:pPr>
    </w:p>
    <w:p w:rsidRDefault="009809CC" w:rsidP="009809CC" w:rsidR="009809CC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može se izjaviti žalba u roku od 8 dana,</w:t>
      </w:r>
    </w:p>
    <w:p w:rsidRDefault="009809CC" w:rsidP="009809CC" w:rsidR="009809CC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         računajući od dana objave, u dva primjerka, Visokom</w:t>
      </w:r>
    </w:p>
    <w:p w:rsidRDefault="009809CC" w:rsidP="009809CC" w:rsidR="009809CC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         trgovačkom sudu RH, u Zagrebu, a putem ovog suda.</w:t>
      </w:r>
    </w:p>
    <w:p w:rsidRDefault="009809CC" w:rsidP="009809CC" w:rsidR="009809CC">
      <w:pPr>
        <w:ind w:firstLine="720"/>
        <w:jc w:val="both"/>
        <w:rPr>
          <w:rFonts w:hAnsi="Arial" w:ascii="Arial"/>
        </w:rPr>
      </w:pPr>
    </w:p>
    <w:p w:rsidRDefault="009809CC" w:rsidP="009809CC" w:rsidR="009809CC">
      <w:pPr>
        <w:ind w:firstLine="720"/>
        <w:jc w:val="both"/>
        <w:rPr>
          <w:rFonts w:hAnsi="Arial" w:ascii="Arial"/>
        </w:rPr>
      </w:pPr>
    </w:p>
    <w:p w:rsidRDefault="009809CC" w:rsidP="009809CC" w:rsidR="009809CC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9809CC" w:rsidP="009809CC" w:rsidR="009809CC">
      <w:pPr>
        <w:jc w:val="both"/>
        <w:rPr>
          <w:rFonts w:hAnsi="Arial" w:ascii="Arial"/>
        </w:rPr>
      </w:pPr>
      <w:r>
        <w:rPr>
          <w:rFonts w:hAnsi="Arial" w:ascii="Arial"/>
        </w:rPr>
        <w:t>Dna: FINI Zagreb e-oglasnom pločom</w:t>
      </w:r>
    </w:p>
    <w:p w:rsidRDefault="009809CC" w:rsidP="009809CC" w:rsidR="009809CC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sudskom registru elektronskim putem</w:t>
      </w:r>
    </w:p>
    <w:p w:rsidRDefault="009809CC" w:rsidP="009809CC" w:rsidR="009809CC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e-oglasna ploča</w:t>
      </w:r>
    </w:p>
    <w:p w:rsidRDefault="009809CC" w:rsidP="009809CC" w:rsidR="009809CC">
      <w:pPr>
        <w:jc w:val="both"/>
        <w:rPr>
          <w:rFonts w:hAnsi="Arial" w:ascii="Arial"/>
        </w:rPr>
      </w:pPr>
      <w:r>
        <w:rPr>
          <w:rFonts w:hAnsi="Arial" w:ascii="Arial"/>
        </w:rPr>
        <w:t>Kal. 8 dana</w:t>
      </w:r>
    </w:p>
    <w:p w:rsidRDefault="009809CC" w:rsidP="009809CC" w:rsidR="009809CC">
      <w:pPr>
        <w:jc w:val="both"/>
        <w:rPr>
          <w:rFonts w:hAnsi="Arial" w:ascii="Arial"/>
        </w:rPr>
      </w:pPr>
      <w:r>
        <w:rPr>
          <w:rFonts w:hAnsi="Arial" w:ascii="Arial"/>
        </w:rPr>
        <w:t>Bj.16.9.2015.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1C2B32"/>
    <w:multiLevelType w:val="hybridMultilevel"/>
    <w:tmpl w:val="3F5C0346"/>
    <w:lvl w:tplc="94364E60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1EDB6DF3"/>
    <w:multiLevelType w:val="hybridMultilevel"/>
    <w:tmpl w:val="3F5C0346"/>
    <w:lvl w:tplc="94364E60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35D5157"/>
    <w:multiLevelType w:val="hybridMultilevel"/>
    <w:tmpl w:val="BF780676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29CC3EFC"/>
    <w:multiLevelType w:val="hybridMultilevel"/>
    <w:tmpl w:val="7E201B74"/>
    <w:lvl w:tplc="041A0003" w:ilvl="0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7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9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30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1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2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3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3"/>
  </w:num>
  <w:num w:numId="3">
    <w:abstractNumId w:val="18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2"/>
  </w:num>
  <w:num w:numId="9">
    <w:abstractNumId w:val="16"/>
  </w:num>
  <w:num w:numId="10">
    <w:abstractNumId w:val="38"/>
  </w:num>
  <w:num w:numId="11">
    <w:abstractNumId w:val="15"/>
  </w:num>
  <w:num w:numId="12">
    <w:abstractNumId w:val="13"/>
  </w:num>
  <w:num w:numId="13">
    <w:abstractNumId w:val="41"/>
  </w:num>
  <w:num w:numId="14">
    <w:abstractNumId w:val="30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27"/>
  </w:num>
  <w:num w:numId="18">
    <w:abstractNumId w:val="40"/>
  </w:num>
  <w:num w:numId="19">
    <w:abstractNumId w:val="17"/>
  </w:num>
  <w:num w:numId="20">
    <w:abstractNumId w:val="22"/>
  </w:num>
  <w:num w:numId="21">
    <w:abstractNumId w:val="24"/>
  </w:num>
  <w:num w:numId="22">
    <w:abstractNumId w:val="18"/>
  </w:num>
  <w:num w:numId="23">
    <w:abstractNumId w:val="36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31"/>
  </w:num>
  <w:num w:numId="35">
    <w:abstractNumId w:val="29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8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</w:num>
  <w:num w:numId="48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25"/>
  </w:num>
  <w:num w:numId="5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3"/>
  </w:num>
  <w:num w:numId="5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4"/>
  </w:num>
  <w:num w:numId="5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9CC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0" w:name="header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header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078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2015.</izvorni_sadrzaj>
    <derivirana_varijabla naziv="DomainObject.DatumDonosenjaOdluke_1">16.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Stpn-33/2015-7</izvorni_sadrzaj>
    <derivirana_varijabla naziv="DomainObject.Oznaka_1">Stpn-33/2015-7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11</izvorni_sadrzaj>
    <derivirana_varijabla naziv="DomainObject.BrojStranica_1">11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2015.</izvorni_sadrzaj>
    <derivirana_varijabla naziv="DomainObject.Predmet.DatumOsnivanja_1">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Stpn-33/2015</izvorni_sadrzaj>
    <derivirana_varijabla naziv="DomainObject.Predmet.OznakaBroj_1">Stpn-33/2015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KOMUNALNO PODUZEĆE NOVA RAČA društvo s ograničenom odgovornošću za proizvodnju, trgovinu i usluge, Nova Rača</izvorni_sadrzaj>
    <derivirana_varijabla naziv="DomainObject.Predmet.StrankaFormated_1">  KOMUNALNO PODUZEĆE NOVA RAČA društvo s ograničenom odgovornošću za proizvodnju, trgovinu i usluge, Nova Rača</derivirana_varijabla>
  </DomainObject.Predmet.StrankaFormated>
  <DomainObject.Predmet.StrankaFormatedOIB>
    <izvorni_sadrzaj>  KOMUNALNO PODUZEĆE NOVA RAČA društvo s ograničenom odgovornošću za proizvodnju, trgovinu i usluge, Nova Rača, OIB 67222392621</izvorni_sadrzaj>
    <derivirana_varijabla naziv="DomainObject.Predmet.StrankaFormatedOIB_1">  KOMUNALNO PODUZEĆE NOVA RAČA društvo s ograničenom odgovornošću za proizvodnju, trgovinu i usluge, Nova Rača, OIB 67222392621</derivirana_varijabla>
  </DomainObject.Predmet.StrankaFormatedOIB>
  <DomainObject.Predmet.StrankaFormatedWithAdress>
    <izvorni_sadrzaj> KOMUNALNO PODUZEĆE NOVA RAČA društvo s ograničenom odgovornošću za proizvodnju, trgovinu i usluge, Nova Rača, Trg Stjepana Radića 56, 43270 Nova Rača</izvorni_sadrzaj>
    <derivirana_varijabla naziv="DomainObject.Predmet.StrankaFormatedWithAdress_1"> KOMUNALNO PODUZEĆE NOVA RAČA društvo s ograničenom odgovornošću za proizvodnju, trgovinu i usluge, Nova Rača, Trg Stjepana Radića 56, 43270 Nova Rača</derivirana_varijabla>
  </DomainObject.Predmet.StrankaFormatedWithAdress>
  <DomainObject.Predmet.StrankaFormatedWithAdressOIB>
    <izvorni_sadrzaj> KOMUNALNO PODUZEĆE NOVA RAČA društvo s ograničenom odgovornošću za proizvodnju, trgovinu i usluge, Nova Rača, OIB 67222392621, Trg Stjepana Radića 56, 43270 Nova Rača</izvorni_sadrzaj>
    <derivirana_varijabla naziv="DomainObject.Predmet.StrankaFormatedWithAdressOIB_1"> KOMUNALNO PODUZEĆE NOVA RAČA društvo s ograničenom odgovornošću za proizvodnju, trgovinu i usluge, Nova Rača, OIB 67222392621, Trg Stjepana Radića 56, 43270 Nova Rača</derivirana_varijabla>
  </DomainObject.Predmet.StrankaFormatedWithAdressOIB>
  <DomainObject.Predmet.StrankaWithAdress>
    <izvorni_sadrzaj>KOMUNALNO PODUZEĆE NOVA RAČA društvo s ograničenom odgovornošću za proizvodnju, trgovinu i usluge, Nova Rača Trg Stjepana Radića 56,43270 Nova Rača</izvorni_sadrzaj>
    <derivirana_varijabla naziv="DomainObject.Predmet.StrankaWithAdress_1">KOMUNALNO PODUZEĆE NOVA RAČA društvo s ograničenom odgovornošću za proizvodnju, trgovinu i usluge, Nova Rača Trg Stjepana Radića 56,43270 Nova Rača</derivirana_varijabla>
  </DomainObject.Predmet.StrankaWithAdress>
  <DomainObject.Predmet.StrankaWithAdressOIB>
    <izvorni_sadrzaj>KOMUNALNO PODUZEĆE NOVA RAČA društvo s ograničenom odgovornošću za proizvodnju, trgovinu i usluge, Nova Rača, OIB 67222392621, Trg Stjepana Radića 56,43270 Nova Rača</izvorni_sadrzaj>
    <derivirana_varijabla naziv="DomainObject.Predmet.StrankaWithAdressOIB_1">KOMUNALNO PODUZEĆE NOVA RAČA društvo s ograničenom odgovornošću za proizvodnju, trgovinu i usluge, Nova Rača, OIB 67222392621, Trg Stjepana Radića 56,43270 Nova Rača</derivirana_varijabla>
  </DomainObject.Predmet.StrankaWithAdressOIB>
  <DomainObject.Predmet.StrankaNazivFormated>
    <izvorni_sadrzaj>KOMUNALNO PODUZEĆE NOVA RAČA društvo s ograničenom odgovornošću za proizvodnju, trgovinu i usluge, Nova Rača</izvorni_sadrzaj>
    <derivirana_varijabla naziv="DomainObject.Predmet.StrankaNazivFormated_1">KOMUNALNO PODUZEĆE NOVA RAČA društvo s ograničenom odgovornošću za proizvodnju, trgovinu i usluge, Nova Rača</derivirana_varijabla>
  </DomainObject.Predmet.StrankaNazivFormated>
  <DomainObject.Predmet.StrankaNazivFormatedOIB>
    <izvorni_sadrzaj>KOMUNALNO PODUZEĆE NOVA RAČA društvo s ograničenom odgovornošću za proizvodnju, trgovinu i usluge, Nova Rača, OIB 67222392621</izvorni_sadrzaj>
    <derivirana_varijabla naziv="DomainObject.Predmet.StrankaNazivFormatedOIB_1">KOMUNALNO PODUZEĆE NOVA RAČA društvo s ograničenom odgovornošću za proizvodnju, trgovinu i usluge, Nova Rača, OIB 67222392621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KOMUNALNO PODUZEĆE NOVA RAČA društvo s ograničenom odgovornošću za proizvodnju, trgovinu i usluge, Nova Rača</item>
    </izvorni_sadrzaj>
    <derivirana_varijabla naziv="DomainObject.Predmet.StrankaListFormated_1">
      <item>KOMUNALNO PODUZEĆE NOVA RAČA društvo s ograničenom odgovornošću za proizvodnju, trgovinu i usluge, Nova Rača</item>
    </derivirana_varijabla>
  </DomainObject.Predmet.StrankaListFormated>
  <DomainObject.Predmet.StrankaListFormatedOIB>
    <izvorni_sadrzaj>
      <item>KOMUNALNO PODUZEĆE NOVA RAČA društvo s ograničenom odgovornošću za proizvodnju, trgovinu i usluge, Nova Rača, OIB 67222392621</item>
    </izvorni_sadrzaj>
    <derivirana_varijabla naziv="DomainObject.Predmet.StrankaListFormatedOIB_1">
      <item>KOMUNALNO PODUZEĆE NOVA RAČA društvo s ograničenom odgovornošću za proizvodnju, trgovinu i usluge, Nova Rača, OIB 67222392621</item>
    </derivirana_varijabla>
  </DomainObject.Predmet.StrankaListFormatedOIB>
  <DomainObject.Predmet.StrankaListFormatedWithAdress>
    <izvorni_sadrzaj>
      <item>KOMUNALNO PODUZEĆE NOVA RAČA društvo s ograničenom odgovornošću za proizvodnju, trgovinu i usluge, Nova Rača, Trg Stjepana Radića 56, 43270 Nova Rača</item>
    </izvorni_sadrzaj>
    <derivirana_varijabla naziv="DomainObject.Predmet.StrankaListFormatedWithAdress_1">
      <item>KOMUNALNO PODUZEĆE NOVA RAČA društvo s ograničenom odgovornošću za proizvodnju, trgovinu i usluge, Nova Rača, Trg Stjepana Radića 56, 43270 Nova Rača</item>
    </derivirana_varijabla>
  </DomainObject.Predmet.StrankaListFormatedWithAdress>
  <DomainObject.Predmet.StrankaListFormatedWithAdressOIB>
    <izvorni_sadrzaj>
      <item>KOMUNALNO PODUZEĆE NOVA RAČA društvo s ograničenom odgovornošću za proizvodnju, trgovinu i usluge, Nova Rača, OIB 67222392621, Trg Stjepana Radića 56, 43270 Nova Rača</item>
    </izvorni_sadrzaj>
    <derivirana_varijabla naziv="DomainObject.Predmet.StrankaListFormatedWithAdressOIB_1">
      <item>KOMUNALNO PODUZEĆE NOVA RAČA društvo s ograničenom odgovornošću za proizvodnju, trgovinu i usluge, Nova Rača, OIB 67222392621, Trg Stjepana Radića 56, 43270 Nova Rača</item>
    </derivirana_varijabla>
  </DomainObject.Predmet.StrankaListFormatedWithAdressOIB>
  <DomainObject.Predmet.StrankaListNazivFormated>
    <izvorni_sadrzaj>
      <item>KOMUNALNO PODUZEĆE NOVA RAČA društvo s ograničenom odgovornošću za proizvodnju, trgovinu i usluge, Nova Rača</item>
    </izvorni_sadrzaj>
    <derivirana_varijabla naziv="DomainObject.Predmet.StrankaListNazivFormated_1">
      <item>KOMUNALNO PODUZEĆE NOVA RAČA društvo s ograničenom odgovornošću za proizvodnju, trgovinu i usluge, Nova Rača</item>
    </derivirana_varijabla>
  </DomainObject.Predmet.StrankaListNazivFormated>
  <DomainObject.Predmet.StrankaListNazivFormatedOIB>
    <izvorni_sadrzaj>
      <item>KOMUNALNO PODUZEĆE NOVA RAČA društvo s ograničenom odgovornošću za proizvodnju, trgovinu i usluge, Nova Rača, OIB 67222392621</item>
    </izvorni_sadrzaj>
    <derivirana_varijabla naziv="DomainObject.Predmet.StrankaListNazivFormatedOIB_1">
      <item>KOMUNALNO PODUZEĆE NOVA RAČA društvo s ograničenom odgovornošću za proizvodnju, trgovinu i usluge, Nova Rača, OIB 67222392621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2015.</izvorni_sadrzaj>
    <derivirana_varijabla naziv="DomainObject.Datum_1">17. rujna 2015.</derivirana_varijabla>
  </DomainObject.Datum>
  <DomainObject.PoslovniBrojDokumenta>
    <izvorni_sadrzaj>Stpn-33/2015-7</izvorni_sadrzaj>
    <derivirana_varijabla naziv="DomainObject.PoslovniBrojDokumenta_1">Stpn-33/2015-7</derivirana_varijabla>
  </DomainObject.PoslovniBrojDokumenta>
  <DomainObject.Predmet.StrankaIDrugi>
    <izvorni_sadrzaj>KOMUNALNO PODUZEĆE NOVA RAČA društvo s ograničenom odgovornošću za proizvodnju, trgovinu i usluge, Nova Rača</izvorni_sadrzaj>
    <derivirana_varijabla naziv="DomainObject.Predmet.StrankaIDrugi_1">KOMUNALNO PODUZEĆE NOVA RAČA društvo s ograničenom odgovornošću za proizvodnju, trgovinu i usluge, Nova Rača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KOMUNALNO PODUZEĆE NOVA RAČA društvo s ograničenom odgovornošću za proizvodnju, trgovinu i usluge, Nova Rača, OIB 67222392621, Trg Stjepana Radića 56, 43270 Nova Rača</izvorni_sadrzaj>
    <derivirana_varijabla naziv="DomainObject.Predmet.StrankaIDrugiAdressOIB_1">KOMUNALNO PODUZEĆE NOVA RAČA društvo s ograničenom odgovornošću za proizvodnju, trgovinu i usluge, Nova Rača, OIB 67222392621, Trg Stjepana Radića 56, 43270 Nova Rača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KOMUNALNO PODUZEĆE NOVA RAČA društvo s ograničenom odgovornošću za proizvodnju, trgovinu i usluge, Nova Rača</item>
    </izvorni_sadrzaj>
    <derivirana_varijabla naziv="DomainObject.Predmet.SudioniciListNaziv_1">
      <item>KOMUNALNO PODUZEĆE NOVA RAČA društvo s ograničenom odgovornošću za proizvodnju, trgovinu i usluge, Nova Rača</item>
    </derivirana_varijabla>
  </DomainObject.Predmet.SudioniciListNaziv>
  <DomainObject.Predmet.SudioniciListAdressOIB>
    <izvorni_sadrzaj>
      <item>KOMUNALNO PODUZEĆE NOVA RAČA društvo s ograničenom odgovornošću za proizvodnju, trgovinu i usluge, Nova Rača, OIB 67222392621, Trg Stjepana Radića 56,43270 Nova Rača</item>
    </izvorni_sadrzaj>
    <derivirana_varijabla naziv="DomainObject.Predmet.SudioniciListAdressOIB_1">
      <item>KOMUNALNO PODUZEĆE NOVA RAČA društvo s ograničenom odgovornošću za proizvodnju, trgovinu i usluge, Nova Rača, OIB 67222392621, Trg Stjepana Radića 56,43270 Nova Rača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237A6C-04CE-460B-989B-02569E370D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13</properties:Pages>
  <properties:Words>3611</properties:Words>
  <properties:Characters>20788</properties:Characters>
  <properties:Lines>1173</properties:Lines>
  <properties:Paragraphs>874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2015-09-17T09:11:00Z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13</vt:i4>
  </prop:property>
  <prop:property name="Naslov" pid="5" fmtid="{D5CDD505-2E9C-101B-9397-08002B2CF9AE}">
    <vt:lpwstr>Stpn-33/2015-7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