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9105" w14:paraId="a5d9105" w:rsidRDefault="00AE649C" w:rsidP="00FA5B5E" w:rsidR="00AE649C" w:rsidRPr="00B76F3C">
      <w:pPr>
        <w:pStyle w:val="Naslov3"/>
        <w15:collapsed w:val="false"/>
      </w:pPr>
    </w:p>
    <w:p w:rsidRDefault="00B07A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7A09" w:rsidP="00B07A09" w:rsidR="00B07A09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St-46/2014-77.</w:t>
      </w:r>
    </w:p>
    <w:p w:rsidRDefault="00B07A09" w:rsidP="00B07A09" w:rsidR="00B07A09">
      <w:pPr>
        <w:jc w:val="center"/>
        <w:rPr>
          <w:rFonts w:hAnsi="Arial" w:ascii="Arial"/>
          <w:b/>
        </w:rPr>
      </w:pPr>
    </w:p>
    <w:p w:rsidRDefault="00B07A09" w:rsidP="00B07A09" w:rsidR="00B07A0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B07A09" w:rsidP="00B07A09" w:rsidR="00B07A09">
      <w:pPr>
        <w:jc w:val="center"/>
        <w:rPr>
          <w:rFonts w:hAnsi="Arial" w:ascii="Arial"/>
          <w:b/>
        </w:rPr>
      </w:pPr>
    </w:p>
    <w:p w:rsidRDefault="00B07A09" w:rsidP="00B07A09" w:rsidR="00B07A0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79233297400, dana 16. svibnja 2016. godine</w:t>
      </w:r>
    </w:p>
    <w:p w:rsidRDefault="00B07A09" w:rsidP="00B07A09" w:rsidR="00B07A0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07A09" w:rsidP="00B07A09" w:rsidR="00B07A09">
      <w:pPr>
        <w:jc w:val="center"/>
        <w:rPr>
          <w:rFonts w:hAnsi="Arial" w:ascii="Arial"/>
          <w:b/>
        </w:rPr>
      </w:pP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Zaključuje se stečajni postupak nad dužnikom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79233297400.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79233297400, će se brisati iz sudskog registra. 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07A09" w:rsidP="00B07A09" w:rsidR="00B07A09">
      <w:pPr>
        <w:jc w:val="center"/>
        <w:rPr>
          <w:rFonts w:hAnsi="Arial" w:ascii="Arial"/>
        </w:rPr>
      </w:pPr>
    </w:p>
    <w:p w:rsidRDefault="00B07A09" w:rsidP="00B07A09" w:rsidR="00B07A0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Na završnom ročištu vjerovnika održanom dana 16. svibnja 2016. godine potvrđen je završni račun stečajnog upravitelja. Prema završnom računu stečajnog upravitelja ukupni prihod stečajnog dužnika iznosio je 373.356,93 kuna, a ukupni rashod stečajnog dužnika iznosio je 291.923,75 kuna, tako da je za diobu preostao iznos od 81.433,18 kuna, a tim iznosom namiruje se nagrada stečajnom upravitelju u iznosu od 51.497,12 kuna, stvarni putni troškovi u iznosu od 8.725,45 kuna, zatim </w:t>
      </w:r>
      <w:r>
        <w:rPr>
          <w:rFonts w:hAnsi="Arial" w:ascii="Arial"/>
        </w:rPr>
        <w:lastRenderedPageBreak/>
        <w:t xml:space="preserve">troškovi vođenja poslovnih knjiga u iznosu od 6.000,00 kuna,  te budući nepredviđeni troškovi stečajnog postupka u iznosu od 15.220,61 kuna, time da će se od tog iznosa ukoliko nešto preostane doznačiti Agenciji za potraživanje radnika u slučaju stečaja poslodavca, te će to predstavljati iznos namirenja prvog višeg isplatnog reda u ovom stečajnom postupku jer drugih novčanih sredstava niti druge imovine koja bi činila stečajnu masu nema, zbog čega je temeljem čl.196.Stečajnog zakona odlučeno kao u izreci ovog rješenja.  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ab/>
        <w:t>Točka II. i III. izreke ovog rješenja temelji se na odredbi čl.196.st.2. i st.3.Stečajnog zakona (NN broj 46/96, 29/99, 123/03, 82/06, 116/10, 25/12 i 133/12).</w:t>
      </w:r>
    </w:p>
    <w:p w:rsidRDefault="00B07A09" w:rsidP="00B07A09" w:rsidR="00B07A09">
      <w:pPr>
        <w:ind w:left="1080"/>
        <w:jc w:val="center"/>
        <w:rPr>
          <w:b/>
        </w:rPr>
      </w:pPr>
    </w:p>
    <w:p w:rsidRDefault="00B07A09" w:rsidP="00B07A09" w:rsidR="00B07A0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svibnja 2016. godine</w:t>
      </w:r>
      <w:bookmarkStart w:name="_GoBack" w:id="0"/>
      <w:bookmarkEnd w:id="0"/>
    </w:p>
    <w:p w:rsidRDefault="00B07A09" w:rsidP="00B07A09" w:rsidR="00B07A09">
      <w:pPr>
        <w:ind w:firstLine="720"/>
        <w:jc w:val="both"/>
        <w:rPr>
          <w:rFonts w:hAnsi="Arial" w:ascii="Arial"/>
        </w:rPr>
      </w:pPr>
    </w:p>
    <w:p w:rsidRDefault="00B07A09" w:rsidP="00B07A09" w:rsidR="00B07A0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B07A09" w:rsidP="00B07A09" w:rsidR="00B07A0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07A09" w:rsidP="00B07A09" w:rsidR="00B07A0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</w:p>
    <w:p w:rsidRDefault="00B07A09" w:rsidP="00B07A09" w:rsidR="00B07A0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>Dna:-stečajnom dužniku putem e-oglasne ploče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-stečajnom upravitelju putem e-oglasne ploče    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-predlagatelju po ŽDO u Bjelovaru putem e-oglasne ploče suda 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 e-oglasnu ploču suda</w:t>
      </w:r>
    </w:p>
    <w:p w:rsidRDefault="00B07A09" w:rsidP="00B07A09" w:rsidR="00B07A0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>-nakon pravomoćnosti registru ovog suda radi brisanja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>-nakon pravomoćnosti FINI Bjelovar</w:t>
      </w:r>
    </w:p>
    <w:p w:rsidRDefault="00B07A09" w:rsidP="00B07A09" w:rsidR="00B07A09">
      <w:pPr>
        <w:jc w:val="both"/>
        <w:rPr>
          <w:rFonts w:hAnsi="Arial" w:ascii="Arial"/>
        </w:rPr>
      </w:pPr>
      <w:r>
        <w:rPr>
          <w:rFonts w:hAnsi="Arial" w:ascii="Arial"/>
        </w:rPr>
        <w:t>Bj.16.5.2016.g.</w:t>
      </w:r>
    </w:p>
    <w:p w:rsidRDefault="00B07A09" w:rsidP="00B07A09" w:rsidR="00B07A09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A09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6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St-46/2014-77</izvorni_sadrzaj>
    <derivirana_varijabla naziv="DomainObject.Oznaka_1">St-46/2014-77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St-46/2014-77</izvorni_sadrzaj>
    <derivirana_varijabla naziv="DomainObject.PoslovniBrojDokumenta_1">St-46/2014-77</derivirana_varijabla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36273-14CA-4ECC-9BE2-421C4C0E5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2166</properties:Characters>
  <properties:Lines>68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2016-05-16T13:08:00Z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St-46/2014-77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