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1ead" w14:paraId="e1f1ead" w:rsidRDefault="00A845FF" w:rsidP="007403F2" w:rsidR="007403F2">
      <w:pPr>
        <w15:collapsed w:val="false"/>
      </w:pPr>
      <w:bookmarkStart w:name="_GoBack" w:id="0"/>
      <w:bookmarkEnd w:id="0"/>
      <w:r>
        <w:tab/>
      </w:r>
      <w:r>
        <w:tab/>
      </w:r>
      <w:r>
        <w:tab/>
      </w:r>
      <w:r>
        <w:tab/>
      </w:r>
      <w:r>
        <w:tab/>
      </w:r>
      <w:r>
        <w:tab/>
      </w:r>
      <w:r>
        <w:tab/>
      </w:r>
      <w:r>
        <w:tab/>
      </w:r>
      <w:r>
        <w:tab/>
      </w:r>
      <w:r w:rsidR="004B65E2">
        <w:t>14 St-</w:t>
      </w:r>
      <w:r w:rsidR="000D11DD">
        <w:t>1784</w:t>
      </w:r>
      <w:r w:rsidR="004B65E2">
        <w:t>/1</w:t>
      </w:r>
      <w:r w:rsidR="000D11DD">
        <w:t>6</w:t>
      </w:r>
      <w:r w:rsidR="004B65E2">
        <w:t>-</w:t>
      </w:r>
      <w:r w:rsidR="0002489C">
        <w:t>5</w:t>
      </w:r>
      <w:r w:rsidR="004733A0">
        <w:t>4</w:t>
      </w:r>
      <w:r w:rsidR="007403F2">
        <w:t xml:space="preserve">            </w:t>
      </w:r>
      <w:r w:rsidR="004B65E2">
        <w:t xml:space="preserve">                </w:t>
      </w:r>
      <w:r w:rsidR="004D097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r w:rsidR="007403F2">
        <w:rPr>
          <w:rStyle w:val="Naglaeno"/>
        </w:rPr>
        <w:tab/>
      </w:r>
    </w:p>
    <w:p w:rsidRDefault="007403F2" w:rsidP="007403F2" w:rsidR="007403F2" w:rsidRPr="00D21A2C"/>
    <w:p w:rsidRDefault="007403F2" w:rsidP="007403F2" w:rsidR="007403F2" w:rsidRPr="00B82754">
      <w:pPr>
        <w:ind w:hanging="720" w:left="360"/>
        <w:rPr>
          <w:b/>
        </w:rPr>
      </w:pPr>
      <w:r w:rsidRPr="00B82754">
        <w:rPr>
          <w:b/>
        </w:rPr>
        <w:t xml:space="preserve">     REPUBLIKA HRVATSKA</w:t>
      </w:r>
    </w:p>
    <w:p w:rsidRDefault="007403F2" w:rsidP="00617B7A" w:rsidR="006A0C9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17B7A" w:rsidP="00617B7A" w:rsidR="00617B7A">
      <w:pPr>
        <w:ind w:hanging="720" w:left="360"/>
        <w:rPr>
          <w:sz w:val="22"/>
          <w:szCs w:val="22"/>
        </w:rPr>
      </w:pPr>
    </w:p>
    <w:p w:rsidRDefault="00617B7A" w:rsidP="00617B7A" w:rsidR="00617B7A">
      <w:pPr>
        <w:ind w:hanging="720" w:left="360"/>
      </w:pPr>
    </w:p>
    <w:p w:rsidRDefault="006A0C9C" w:rsidP="006A0C9C" w:rsidR="008275DF">
      <w:pPr>
        <w:jc w:val="center"/>
      </w:pPr>
      <w:r>
        <w:t>U IME REPUBLIKE HRVATSKE</w:t>
      </w:r>
    </w:p>
    <w:p w:rsidRDefault="008275DF" w:rsidP="00DD00EF" w:rsidR="008275DF" w:rsidRPr="006A0C9C">
      <w:pPr>
        <w:pStyle w:val="Naslov2"/>
        <w:rPr>
          <w:b w:val="false"/>
          <w:bCs w:val="false"/>
        </w:rPr>
      </w:pPr>
      <w:r w:rsidRPr="006A0C9C">
        <w:rPr>
          <w:b w:val="false"/>
          <w:bCs w:val="false"/>
        </w:rPr>
        <w:t>R J E Š E N J E</w:t>
      </w:r>
    </w:p>
    <w:p w:rsidRDefault="00083ABF" w:rsidP="006D54D3" w:rsidR="00083ABF">
      <w:pPr>
        <w:rPr>
          <w:b/>
          <w:bCs/>
        </w:rPr>
      </w:pPr>
    </w:p>
    <w:p w:rsidRDefault="007B64E0" w:rsidP="006D54D3" w:rsidR="007B64E0">
      <w:pPr>
        <w:rPr>
          <w:b/>
          <w:bCs/>
        </w:rPr>
      </w:pPr>
    </w:p>
    <w:p w:rsidRDefault="008275DF" w:rsidR="00EE48E9">
      <w:pPr>
        <w:jc w:val="both"/>
      </w:pPr>
      <w:r>
        <w:tab/>
      </w:r>
      <w:r w:rsidR="00EE48E9">
        <w:t xml:space="preserve">Trgovački sud u Osijeku, po sucu mr. sc. Tihomiru Kovačeviću, kao stečajnom sucu, u stečajnom postupku nad </w:t>
      </w:r>
      <w:r w:rsidR="00A03A0F" w:rsidRPr="00A03A0F">
        <w:t xml:space="preserve">dužnikom: </w:t>
      </w:r>
      <w:r w:rsidR="000D11DD" w:rsidRPr="000D11DD">
        <w:rPr>
          <w:bCs/>
        </w:rPr>
        <w:t>KRUBER d.o.o. za proizvodnju, trgovinu i usluge u stečaju, Đakovo, A. Starčevića 29, MBS 030096905, OIB 20700661383</w:t>
      </w:r>
      <w:r w:rsidR="006A0C9C">
        <w:t>,</w:t>
      </w:r>
      <w:r w:rsidR="00C736BC">
        <w:t xml:space="preserve"> </w:t>
      </w:r>
      <w:r w:rsidR="00EE48E9">
        <w:t xml:space="preserve">dana </w:t>
      </w:r>
      <w:r w:rsidR="000D11DD">
        <w:t>15</w:t>
      </w:r>
      <w:r w:rsidR="00555E5B" w:rsidRPr="00555E5B">
        <w:t xml:space="preserve">. </w:t>
      </w:r>
      <w:r w:rsidR="000D11DD">
        <w:t>veljače</w:t>
      </w:r>
      <w:r w:rsidR="00555E5B" w:rsidRPr="00555E5B">
        <w:t xml:space="preserve"> </w:t>
      </w:r>
      <w:r w:rsidR="00EE48E9">
        <w:t>201</w:t>
      </w:r>
      <w:r w:rsidR="004733A0">
        <w:t>8</w:t>
      </w:r>
      <w:r w:rsidR="00EE48E9">
        <w:t xml:space="preserve">. </w:t>
      </w:r>
    </w:p>
    <w:p w:rsidRDefault="00590BC9" w:rsidR="00590BC9">
      <w:pPr>
        <w:jc w:val="both"/>
      </w:pPr>
    </w:p>
    <w:p w:rsidRDefault="008275DF" w:rsidP="00994FE5" w:rsidR="00994FE5" w:rsidRPr="006A0C9C">
      <w:pPr>
        <w:jc w:val="center"/>
      </w:pPr>
      <w:r w:rsidRPr="006A0C9C">
        <w:t>r i j e š i o  j e</w:t>
      </w:r>
    </w:p>
    <w:p w:rsidRDefault="007D10FC" w:rsidP="00206C88" w:rsidR="007D10FC">
      <w:pPr>
        <w:rPr>
          <w:b/>
          <w:bCs/>
        </w:rPr>
      </w:pPr>
    </w:p>
    <w:p w:rsidRDefault="007B64E0" w:rsidP="00206C88" w:rsidR="007B64E0">
      <w:pPr>
        <w:rPr>
          <w:b/>
          <w:bCs/>
        </w:rPr>
      </w:pPr>
    </w:p>
    <w:p w:rsidRDefault="00BA67BA" w:rsidP="000D11DD" w:rsidR="00BA67BA" w:rsidRPr="00994FE5">
      <w:pPr>
        <w:numPr>
          <w:ilvl w:val="0"/>
          <w:numId w:val="1"/>
        </w:numPr>
        <w:jc w:val="both"/>
        <w:rPr>
          <w:bCs/>
        </w:rPr>
      </w:pPr>
      <w:r w:rsidRPr="006A0C9C">
        <w:t>ZAKLJUČUJE SE</w:t>
      </w:r>
      <w:r>
        <w:rPr>
          <w:b/>
          <w:bCs/>
        </w:rPr>
        <w:t xml:space="preserve"> </w:t>
      </w:r>
      <w:r>
        <w:rPr>
          <w:bCs/>
        </w:rPr>
        <w:t xml:space="preserve">stečajni postupak vođen </w:t>
      </w:r>
      <w:r w:rsidRPr="00A03A0F">
        <w:rPr>
          <w:bCs/>
        </w:rPr>
        <w:t>nad dužnikom</w:t>
      </w:r>
      <w:r w:rsidR="00B52637" w:rsidRPr="00B52637">
        <w:t xml:space="preserve"> </w:t>
      </w:r>
      <w:r w:rsidR="000D11DD" w:rsidRPr="000D11DD">
        <w:rPr>
          <w:bCs/>
        </w:rPr>
        <w:t>KRUBER d.o.o. za proizvodnju, trgovinu i usluge u stečaju, Đakovo, A. Starčevića 29, MBS 030096905, OIB 20700661383</w:t>
      </w:r>
      <w:r>
        <w:rPr>
          <w:b/>
          <w:bCs/>
        </w:rPr>
        <w:t>.</w:t>
      </w:r>
    </w:p>
    <w:p w:rsidRDefault="00BA67BA" w:rsidP="00BA67BA" w:rsidR="00BA67BA" w:rsidRPr="00994FE5">
      <w:pPr>
        <w:jc w:val="both"/>
        <w:rPr>
          <w:bCs/>
        </w:rPr>
      </w:pPr>
    </w:p>
    <w:p w:rsidRDefault="00BA67BA" w:rsidP="00701C73" w:rsidR="00BA67BA">
      <w:pPr>
        <w:numPr>
          <w:ilvl w:val="0"/>
          <w:numId w:val="1"/>
        </w:numPr>
        <w:jc w:val="both"/>
        <w:rPr>
          <w:bCs/>
        </w:rPr>
      </w:pPr>
      <w:r>
        <w:rPr>
          <w:bCs/>
        </w:rPr>
        <w:t xml:space="preserve">Ovo rješenje i osnova zaključenja stečajnog postupka objavit će se na </w:t>
      </w:r>
      <w:r w:rsidRPr="00682B6E">
        <w:t>mrežn</w:t>
      </w:r>
      <w:r>
        <w:t>oj stranici e-Oglasna ploča sudova</w:t>
      </w:r>
      <w:r>
        <w:rPr>
          <w:bCs/>
        </w:rPr>
        <w:t>.</w:t>
      </w:r>
    </w:p>
    <w:p w:rsidRDefault="00BA67BA" w:rsidP="00BA67BA" w:rsidR="00BA67BA">
      <w:pPr>
        <w:jc w:val="both"/>
        <w:rPr>
          <w:bCs/>
        </w:rPr>
      </w:pPr>
    </w:p>
    <w:p w:rsidRDefault="00BA67BA" w:rsidP="00701C73" w:rsidR="00BA67BA">
      <w:pPr>
        <w:numPr>
          <w:ilvl w:val="0"/>
          <w:numId w:val="1"/>
        </w:numPr>
        <w:jc w:val="both"/>
        <w:rPr>
          <w:bCs/>
        </w:rPr>
      </w:pPr>
      <w:r>
        <w:rPr>
          <w:bCs/>
        </w:rPr>
        <w:t xml:space="preserve">Poslije pravomoćnosti ovo rješenje dostavit će se </w:t>
      </w:r>
      <w:r w:rsidR="00B52637">
        <w:rPr>
          <w:bCs/>
        </w:rPr>
        <w:t xml:space="preserve">sudskom </w:t>
      </w:r>
      <w:r>
        <w:rPr>
          <w:bCs/>
        </w:rPr>
        <w:t xml:space="preserve">registru radi brisanja dužnika iz </w:t>
      </w:r>
      <w:r w:rsidR="00B52637">
        <w:rPr>
          <w:bCs/>
        </w:rPr>
        <w:t xml:space="preserve">sudskog </w:t>
      </w:r>
      <w:r>
        <w:rPr>
          <w:bCs/>
        </w:rPr>
        <w:t>registra.</w:t>
      </w:r>
    </w:p>
    <w:p w:rsidRDefault="00344231" w:rsidP="00344231" w:rsidR="00344231">
      <w:pPr>
        <w:pStyle w:val="Odlomakpopisa"/>
        <w:rPr>
          <w:bCs/>
        </w:rPr>
      </w:pPr>
    </w:p>
    <w:p w:rsidRDefault="00BA67BA" w:rsidP="00701C73" w:rsidR="00BA67BA">
      <w:pPr>
        <w:numPr>
          <w:ilvl w:val="0"/>
          <w:numId w:val="1"/>
        </w:numPr>
        <w:jc w:val="both"/>
        <w:rPr>
          <w:bCs/>
        </w:rPr>
      </w:pPr>
      <w:r>
        <w:rPr>
          <w:bCs/>
        </w:rPr>
        <w:t>Preostali iznos financijskih sredstava nakon podmirenja svih troškova stečajnog postupka stečajn</w:t>
      </w:r>
      <w:r w:rsidR="00A86B2F">
        <w:rPr>
          <w:bCs/>
        </w:rPr>
        <w:t>i</w:t>
      </w:r>
      <w:r>
        <w:rPr>
          <w:bCs/>
        </w:rPr>
        <w:t xml:space="preserve"> upravitelj je duž</w:t>
      </w:r>
      <w:r w:rsidR="00A86B2F">
        <w:rPr>
          <w:bCs/>
        </w:rPr>
        <w:t>a</w:t>
      </w:r>
      <w:r w:rsidR="00CD4330">
        <w:rPr>
          <w:bCs/>
        </w:rPr>
        <w:t>n</w:t>
      </w:r>
      <w:r>
        <w:rPr>
          <w:bCs/>
        </w:rPr>
        <w:t xml:space="preserve"> uplatiti na žiro-račun </w:t>
      </w:r>
      <w:r>
        <w:t>Trgovačkog suda u Osijeku HR3123900011300000200 s pozivom na broj HR05 272-</w:t>
      </w:r>
      <w:r w:rsidR="000304C7">
        <w:t>1784</w:t>
      </w:r>
      <w:r>
        <w:t>-1</w:t>
      </w:r>
      <w:r w:rsidR="000304C7">
        <w:t>6</w:t>
      </w:r>
      <w:r>
        <w:t xml:space="preserve"> kod Hrvatske poštanske banke</w:t>
      </w:r>
      <w:r>
        <w:rPr>
          <w:bCs/>
        </w:rPr>
        <w:t>.</w:t>
      </w:r>
    </w:p>
    <w:p w:rsidRDefault="007B64E0" w:rsidP="00BA67BA" w:rsidR="007B64E0">
      <w:pPr>
        <w:jc w:val="both"/>
        <w:rPr>
          <w:bCs/>
        </w:rPr>
      </w:pPr>
    </w:p>
    <w:p w:rsidRDefault="00617B7A" w:rsidP="00BA67BA" w:rsidR="00617B7A">
      <w:pPr>
        <w:jc w:val="both"/>
        <w:rPr>
          <w:bCs/>
        </w:rPr>
      </w:pPr>
    </w:p>
    <w:p w:rsidRDefault="00BA67BA" w:rsidP="00BA67BA" w:rsidR="00BA67BA" w:rsidRPr="00103F4A">
      <w:pPr>
        <w:ind w:left="2124"/>
      </w:pPr>
      <w:r>
        <w:rPr>
          <w:bCs/>
        </w:rPr>
        <w:t xml:space="preserve">                        </w:t>
      </w:r>
      <w:r w:rsidRPr="00103F4A">
        <w:t>Obrazloženje</w:t>
      </w:r>
    </w:p>
    <w:p w:rsidRDefault="00BA67BA" w:rsidP="00BA67BA" w:rsidR="00BA67BA">
      <w:pPr>
        <w:jc w:val="center"/>
        <w:rPr>
          <w:b/>
          <w:bCs/>
        </w:rPr>
      </w:pPr>
    </w:p>
    <w:p w:rsidRDefault="007B64E0" w:rsidP="00BA67BA" w:rsidR="007B64E0">
      <w:pPr>
        <w:jc w:val="center"/>
        <w:rPr>
          <w:b/>
          <w:bCs/>
        </w:rPr>
      </w:pPr>
    </w:p>
    <w:p w:rsidRDefault="00BA67BA" w:rsidP="007A557C" w:rsidR="007A557C">
      <w:pPr>
        <w:jc w:val="both"/>
      </w:pPr>
      <w:r>
        <w:tab/>
      </w:r>
      <w:r w:rsidRPr="00FE7253">
        <w:t>Stečajn</w:t>
      </w:r>
      <w:r w:rsidR="00A86B2F">
        <w:t>i</w:t>
      </w:r>
      <w:r w:rsidRPr="00FE7253">
        <w:t xml:space="preserve"> upravitelj je na </w:t>
      </w:r>
      <w:r w:rsidRPr="00FE7253">
        <w:rPr>
          <w:bCs/>
        </w:rPr>
        <w:t xml:space="preserve">završnom ročištu vjerovnika održanom </w:t>
      </w:r>
      <w:r w:rsidR="000304C7">
        <w:rPr>
          <w:bCs/>
        </w:rPr>
        <w:t>1</w:t>
      </w:r>
      <w:r w:rsidR="008C3FDB">
        <w:rPr>
          <w:bCs/>
        </w:rPr>
        <w:t>5</w:t>
      </w:r>
      <w:r w:rsidR="00E95DF4">
        <w:rPr>
          <w:bCs/>
        </w:rPr>
        <w:t>.</w:t>
      </w:r>
      <w:r w:rsidR="000304C7">
        <w:rPr>
          <w:bCs/>
        </w:rPr>
        <w:t>0</w:t>
      </w:r>
      <w:r w:rsidR="008C3FDB">
        <w:rPr>
          <w:bCs/>
        </w:rPr>
        <w:t>2</w:t>
      </w:r>
      <w:r w:rsidRPr="00FE7253">
        <w:rPr>
          <w:bCs/>
        </w:rPr>
        <w:t>.201</w:t>
      </w:r>
      <w:r w:rsidR="000304C7">
        <w:rPr>
          <w:bCs/>
        </w:rPr>
        <w:t>8</w:t>
      </w:r>
      <w:r w:rsidRPr="00FE7253">
        <w:rPr>
          <w:bCs/>
        </w:rPr>
        <w:t xml:space="preserve">. </w:t>
      </w:r>
      <w:r w:rsidRPr="00FE7253">
        <w:t>izloži</w:t>
      </w:r>
      <w:r w:rsidR="00A86B2F">
        <w:t>o</w:t>
      </w:r>
      <w:r w:rsidRPr="00FE7253">
        <w:t xml:space="preserve"> sukladno svom završnom izvješću od </w:t>
      </w:r>
      <w:r w:rsidR="000304C7">
        <w:t>11</w:t>
      </w:r>
      <w:r w:rsidR="00AF4378" w:rsidRPr="00AF4378">
        <w:t>.</w:t>
      </w:r>
      <w:r w:rsidR="008C3FDB">
        <w:t>1</w:t>
      </w:r>
      <w:r w:rsidR="000304C7">
        <w:t>2</w:t>
      </w:r>
      <w:r w:rsidR="00AF4378" w:rsidRPr="00AF4378">
        <w:t>.201</w:t>
      </w:r>
      <w:r w:rsidR="00E95DF4">
        <w:t>7</w:t>
      </w:r>
      <w:r w:rsidR="00AF4378" w:rsidRPr="00AF4378">
        <w:t xml:space="preserve">. koji prileži u spisu na listu </w:t>
      </w:r>
      <w:r w:rsidR="000304C7">
        <w:t>131</w:t>
      </w:r>
      <w:r w:rsidR="008C3FDB" w:rsidRPr="008C3FDB">
        <w:t>-</w:t>
      </w:r>
      <w:r w:rsidR="000304C7">
        <w:t>1</w:t>
      </w:r>
      <w:r w:rsidR="008C3FDB" w:rsidRPr="008C3FDB">
        <w:t>3</w:t>
      </w:r>
      <w:r w:rsidR="000304C7">
        <w:t>2</w:t>
      </w:r>
      <w:r w:rsidR="008C3FDB" w:rsidRPr="008C3FDB">
        <w:t xml:space="preserve"> </w:t>
      </w:r>
      <w:r w:rsidR="0076408D">
        <w:t xml:space="preserve">i koje je bilo objavljeno na mrežnoj stranici </w:t>
      </w:r>
      <w:r w:rsidR="0076408D" w:rsidRPr="00C75F4D">
        <w:t>e-Oglasna ploča sudova</w:t>
      </w:r>
      <w:r w:rsidR="0076408D">
        <w:t xml:space="preserve"> </w:t>
      </w:r>
      <w:r w:rsidR="000304C7">
        <w:t xml:space="preserve">od </w:t>
      </w:r>
      <w:r w:rsidR="008C3FDB">
        <w:t>2</w:t>
      </w:r>
      <w:r w:rsidR="000304C7">
        <w:t>0</w:t>
      </w:r>
      <w:r w:rsidR="0076408D">
        <w:t>.</w:t>
      </w:r>
      <w:r w:rsidR="008C3FDB">
        <w:t>1</w:t>
      </w:r>
      <w:r w:rsidR="000304C7">
        <w:t>2</w:t>
      </w:r>
      <w:r w:rsidR="0076408D">
        <w:t>.</w:t>
      </w:r>
      <w:r w:rsidR="000304C7">
        <w:t xml:space="preserve"> do 28.12.</w:t>
      </w:r>
      <w:r w:rsidR="0076408D">
        <w:t>2017.</w:t>
      </w:r>
      <w:r w:rsidR="000F3D12">
        <w:t>,</w:t>
      </w:r>
      <w:r w:rsidR="006537AB" w:rsidRPr="00FE7253">
        <w:t xml:space="preserve"> </w:t>
      </w:r>
      <w:r w:rsidR="007A557C" w:rsidRPr="006F30C5">
        <w:t>te nav</w:t>
      </w:r>
      <w:r w:rsidR="00094BE2">
        <w:t>eo</w:t>
      </w:r>
      <w:r w:rsidR="007A557C">
        <w:t>:</w:t>
      </w:r>
    </w:p>
    <w:p w:rsidRDefault="007A557C" w:rsidP="007A557C" w:rsidR="007A557C">
      <w:pPr>
        <w:jc w:val="both"/>
      </w:pPr>
    </w:p>
    <w:p w:rsidRDefault="000310DC" w:rsidP="000304C7" w:rsidR="000304C7" w:rsidRPr="00D94BF4">
      <w:pPr>
        <w:jc w:val="both"/>
        <w:rPr>
          <w:color w:val="000000"/>
        </w:rPr>
      </w:pPr>
      <w:r>
        <w:rPr>
          <w:bCs/>
        </w:rPr>
        <w:tab/>
      </w:r>
      <w:r w:rsidR="000304C7" w:rsidRPr="00D94BF4">
        <w:rPr>
          <w:color w:val="000000"/>
        </w:rPr>
        <w:t>Prihodi i rashodi za razdoblje 2.9.2016. do 5.12.2017.godine (temeljene na novčanom tijeku)</w:t>
      </w:r>
    </w:p>
    <w:p w:rsidRDefault="000304C7" w:rsidP="000304C7" w:rsidR="000304C7">
      <w:pPr>
        <w:spacing w:lineRule="auto" w:line="360"/>
        <w:jc w:val="both"/>
        <w:rPr>
          <w:rFonts w:hAnsi="Calibri Light" w:ascii="Calibri Light"/>
          <w:b/>
        </w:rPr>
      </w:pPr>
    </w:p>
    <w:tbl>
      <w:tblPr>
        <w:tblW w:type="dxa" w:w="6880"/>
        <w:jc w:val="center"/>
        <w:tblLook w:val="04A0" w:noVBand="1" w:noHBand="0" w:lastColumn="0" w:firstColumn="1" w:lastRow="0" w:firstRow="1"/>
      </w:tblPr>
      <w:tblGrid>
        <w:gridCol w:w="5400"/>
        <w:gridCol w:w="1480"/>
      </w:tblGrid>
      <w:tr w:rsidTr="00126DDF" w:rsidR="000304C7" w:rsidRPr="00500CAD">
        <w:trPr>
          <w:trHeight w:val="300"/>
          <w:jc w:val="center"/>
        </w:trPr>
        <w:tc>
          <w:tcPr>
            <w:tcW w:type="dxa" w:w="540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0304C7" w:rsidP="00126DDF" w:rsidR="000304C7" w:rsidRPr="00500CAD">
            <w:pPr>
              <w:rPr>
                <w:bCs/>
                <w:color w:val="000000"/>
                <w:sz w:val="20"/>
                <w:szCs w:val="20"/>
              </w:rPr>
            </w:pPr>
            <w:r w:rsidRPr="00500CAD">
              <w:rPr>
                <w:bCs/>
                <w:color w:val="000000"/>
                <w:sz w:val="20"/>
                <w:szCs w:val="20"/>
              </w:rPr>
              <w:lastRenderedPageBreak/>
              <w:t>PRIHOD</w:t>
            </w:r>
          </w:p>
        </w:tc>
        <w:tc>
          <w:tcPr>
            <w:tcW w:type="dxa" w:w="1480"/>
            <w:tcBorders>
              <w:top w:space="0" w:sz="4" w:color="auto" w:val="single"/>
              <w:left w:val="nil"/>
              <w:bottom w:space="0" w:sz="4" w:color="auto" w:val="single"/>
              <w:right w:space="0" w:sz="4" w:color="auto" w:val="single"/>
            </w:tcBorders>
            <w:shd w:fill="auto" w:color="auto" w:val="clear"/>
            <w:noWrap/>
            <w:vAlign w:val="center"/>
            <w:hideMark/>
          </w:tcPr>
          <w:p w:rsidRDefault="000304C7" w:rsidP="00126DDF" w:rsidR="000304C7" w:rsidRPr="00500CAD">
            <w:pPr>
              <w:jc w:val="center"/>
              <w:rPr>
                <w:bCs/>
                <w:color w:val="000000"/>
                <w:sz w:val="20"/>
                <w:szCs w:val="20"/>
              </w:rPr>
            </w:pPr>
            <w:r w:rsidRPr="00500CAD">
              <w:rPr>
                <w:bCs/>
                <w:color w:val="000000"/>
                <w:sz w:val="20"/>
                <w:szCs w:val="20"/>
              </w:rPr>
              <w:t>Iznos (kn)</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Prijenos sredstava s računa Trgovačkog suda u Osijeku</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15.000,00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Prihodi od prodaje pokretnina</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85.920,00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shd w:fill="auto" w:color="auto" w:val="clear"/>
            <w:noWrap/>
            <w:vAlign w:val="center"/>
            <w:hideMark/>
          </w:tcPr>
          <w:p w:rsidRDefault="000304C7" w:rsidP="00126DDF" w:rsidR="000304C7" w:rsidRPr="00500CAD">
            <w:pPr>
              <w:rPr>
                <w:bCs/>
                <w:color w:val="000000"/>
                <w:sz w:val="20"/>
                <w:szCs w:val="20"/>
              </w:rPr>
            </w:pPr>
            <w:r w:rsidRPr="00500CAD">
              <w:rPr>
                <w:bCs/>
                <w:color w:val="000000"/>
                <w:sz w:val="20"/>
                <w:szCs w:val="20"/>
              </w:rPr>
              <w:t>UKUPNO</w:t>
            </w:r>
          </w:p>
        </w:tc>
        <w:tc>
          <w:tcPr>
            <w:tcW w:type="dxa" w:w="1480"/>
            <w:tcBorders>
              <w:top w:val="nil"/>
              <w:left w:val="nil"/>
              <w:bottom w:space="0" w:sz="4" w:color="auto" w:val="single"/>
              <w:right w:space="0" w:sz="4" w:color="auto" w:val="single"/>
            </w:tcBorders>
            <w:shd w:fill="auto" w:color="auto" w:val="clear"/>
            <w:noWrap/>
            <w:vAlign w:val="center"/>
            <w:hideMark/>
          </w:tcPr>
          <w:p w:rsidRDefault="000304C7" w:rsidP="00126DDF" w:rsidR="000304C7" w:rsidRPr="00500CAD">
            <w:pPr>
              <w:jc w:val="right"/>
              <w:rPr>
                <w:bCs/>
                <w:color w:val="000000"/>
                <w:sz w:val="20"/>
                <w:szCs w:val="20"/>
              </w:rPr>
            </w:pPr>
            <w:r w:rsidRPr="00500CAD">
              <w:rPr>
                <w:bCs/>
                <w:color w:val="000000"/>
                <w:sz w:val="20"/>
                <w:szCs w:val="20"/>
              </w:rPr>
              <w:t xml:space="preserve">100.920,00 </w:t>
            </w:r>
          </w:p>
        </w:tc>
      </w:tr>
    </w:tbl>
    <w:p w:rsidRDefault="000304C7" w:rsidP="000304C7" w:rsidR="000304C7" w:rsidRPr="00500CAD">
      <w:pPr>
        <w:spacing w:lineRule="auto" w:line="360"/>
        <w:jc w:val="both"/>
        <w:rPr>
          <w:rFonts w:eastAsia="Calibri"/>
          <w:i/>
          <w:sz w:val="20"/>
          <w:szCs w:val="20"/>
          <w:lang w:eastAsia="en-US"/>
        </w:rPr>
      </w:pPr>
    </w:p>
    <w:tbl>
      <w:tblPr>
        <w:tblW w:type="dxa" w:w="6880"/>
        <w:jc w:val="center"/>
        <w:tblLook w:val="04A0" w:noVBand="1" w:noHBand="0" w:lastColumn="0" w:firstColumn="1" w:lastRow="0" w:firstRow="1"/>
      </w:tblPr>
      <w:tblGrid>
        <w:gridCol w:w="5400"/>
        <w:gridCol w:w="1480"/>
      </w:tblGrid>
      <w:tr w:rsidTr="00126DDF" w:rsidR="000304C7" w:rsidRPr="00500CAD">
        <w:trPr>
          <w:trHeight w:val="300"/>
          <w:jc w:val="center"/>
        </w:trPr>
        <w:tc>
          <w:tcPr>
            <w:tcW w:type="dxa" w:w="540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0304C7" w:rsidP="00126DDF" w:rsidR="000304C7" w:rsidRPr="00500CAD">
            <w:pPr>
              <w:rPr>
                <w:bCs/>
                <w:color w:val="000000"/>
                <w:sz w:val="20"/>
                <w:szCs w:val="20"/>
              </w:rPr>
            </w:pPr>
            <w:r w:rsidRPr="00500CAD">
              <w:rPr>
                <w:bCs/>
                <w:color w:val="000000"/>
                <w:sz w:val="20"/>
                <w:szCs w:val="20"/>
              </w:rPr>
              <w:t>RASHOD</w:t>
            </w:r>
          </w:p>
        </w:tc>
        <w:tc>
          <w:tcPr>
            <w:tcW w:type="dxa" w:w="1480"/>
            <w:tcBorders>
              <w:top w:space="0" w:sz="4" w:color="auto" w:val="single"/>
              <w:left w:val="nil"/>
              <w:bottom w:space="0" w:sz="4" w:color="auto" w:val="single"/>
              <w:right w:space="0" w:sz="4" w:color="auto" w:val="single"/>
            </w:tcBorders>
            <w:shd w:fill="auto" w:color="auto" w:val="clear"/>
            <w:noWrap/>
            <w:vAlign w:val="center"/>
            <w:hideMark/>
          </w:tcPr>
          <w:p w:rsidRDefault="000304C7" w:rsidP="00126DDF" w:rsidR="000304C7" w:rsidRPr="00500CAD">
            <w:pPr>
              <w:jc w:val="center"/>
              <w:rPr>
                <w:bCs/>
                <w:color w:val="000000"/>
                <w:sz w:val="20"/>
                <w:szCs w:val="20"/>
              </w:rPr>
            </w:pPr>
            <w:r w:rsidRPr="00500CAD">
              <w:rPr>
                <w:bCs/>
                <w:color w:val="000000"/>
                <w:sz w:val="20"/>
                <w:szCs w:val="20"/>
              </w:rPr>
              <w:t>Iznos (kn)</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Troškovi procjene pokretnina</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2.500,00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Troškovi naknada bankama</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210,67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Troškovi oglašavanja (FINA upis u očevidnik)</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200,00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Bruto nagrada i trošak stečajnog upravitelja</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16.089,39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rPr>
                <w:color w:val="000000"/>
                <w:sz w:val="20"/>
                <w:szCs w:val="20"/>
              </w:rPr>
            </w:pPr>
            <w:r w:rsidRPr="00500CAD">
              <w:rPr>
                <w:color w:val="000000"/>
                <w:sz w:val="20"/>
                <w:szCs w:val="20"/>
              </w:rPr>
              <w:t>Povrat predujma za pokriće troškova stečajnog postupka</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jc w:val="right"/>
              <w:rPr>
                <w:color w:val="000000"/>
                <w:sz w:val="20"/>
                <w:szCs w:val="20"/>
              </w:rPr>
            </w:pPr>
            <w:r w:rsidRPr="00500CAD">
              <w:rPr>
                <w:color w:val="000000"/>
                <w:sz w:val="20"/>
                <w:szCs w:val="20"/>
              </w:rPr>
              <w:t xml:space="preserve">20.000,00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noWrap/>
            <w:vAlign w:val="center"/>
            <w:hideMark/>
          </w:tcPr>
          <w:p w:rsidRDefault="000304C7" w:rsidP="00126DDF" w:rsidR="000304C7" w:rsidRPr="00500CAD">
            <w:pPr>
              <w:shd w:themeFill="background1" w:fill="FFFFFF" w:color="auto" w:val="clear"/>
              <w:rPr>
                <w:color w:val="000000"/>
                <w:sz w:val="20"/>
                <w:szCs w:val="20"/>
              </w:rPr>
            </w:pPr>
            <w:r w:rsidRPr="00500CAD">
              <w:rPr>
                <w:color w:val="000000"/>
                <w:sz w:val="20"/>
                <w:szCs w:val="20"/>
              </w:rPr>
              <w:t>Isplata razlučnog vjerovnika</w:t>
            </w:r>
          </w:p>
        </w:tc>
        <w:tc>
          <w:tcPr>
            <w:tcW w:type="dxa" w:w="1480"/>
            <w:tcBorders>
              <w:top w:val="nil"/>
              <w:left w:val="nil"/>
              <w:bottom w:space="0" w:sz="4" w:color="auto" w:val="single"/>
              <w:right w:space="0" w:sz="4" w:color="auto" w:val="single"/>
            </w:tcBorders>
            <w:noWrap/>
            <w:vAlign w:val="center"/>
            <w:hideMark/>
          </w:tcPr>
          <w:p w:rsidRDefault="000304C7" w:rsidP="00126DDF" w:rsidR="000304C7" w:rsidRPr="00500CAD">
            <w:pPr>
              <w:shd w:themeFill="background1" w:fill="FFFFFF" w:color="auto" w:val="clear"/>
              <w:jc w:val="right"/>
              <w:rPr>
                <w:color w:val="000000"/>
                <w:sz w:val="20"/>
                <w:szCs w:val="20"/>
              </w:rPr>
            </w:pPr>
            <w:r w:rsidRPr="00500CAD">
              <w:rPr>
                <w:color w:val="000000"/>
                <w:sz w:val="20"/>
                <w:szCs w:val="20"/>
              </w:rPr>
              <w:t xml:space="preserve">61.130,61 </w:t>
            </w:r>
          </w:p>
        </w:tc>
      </w:tr>
      <w:tr w:rsidTr="00126DDF" w:rsidR="000304C7" w:rsidRPr="00500CAD">
        <w:trPr>
          <w:trHeight w:val="300"/>
          <w:jc w:val="center"/>
        </w:trPr>
        <w:tc>
          <w:tcPr>
            <w:tcW w:type="dxa" w:w="5400"/>
            <w:tcBorders>
              <w:top w:val="nil"/>
              <w:left w:space="0" w:sz="4" w:color="auto" w:val="single"/>
              <w:bottom w:space="0" w:sz="4" w:color="auto" w:val="single"/>
              <w:right w:space="0" w:sz="4" w:color="auto" w:val="single"/>
            </w:tcBorders>
            <w:shd w:themeFill="background1" w:fill="FFFFFF" w:color="auto" w:val="clear"/>
            <w:noWrap/>
            <w:vAlign w:val="center"/>
            <w:hideMark/>
          </w:tcPr>
          <w:p w:rsidRDefault="000304C7" w:rsidP="00126DDF" w:rsidR="000304C7" w:rsidRPr="00500CAD">
            <w:pPr>
              <w:shd w:themeFill="background1" w:fill="FFFFFF" w:color="auto" w:val="clear"/>
              <w:rPr>
                <w:bCs/>
                <w:color w:val="000000"/>
                <w:sz w:val="20"/>
                <w:szCs w:val="20"/>
              </w:rPr>
            </w:pPr>
            <w:r w:rsidRPr="00500CAD">
              <w:rPr>
                <w:bCs/>
                <w:color w:val="000000"/>
                <w:sz w:val="20"/>
                <w:szCs w:val="20"/>
              </w:rPr>
              <w:t>UKUPNO</w:t>
            </w:r>
          </w:p>
        </w:tc>
        <w:tc>
          <w:tcPr>
            <w:tcW w:type="dxa" w:w="1480"/>
            <w:tcBorders>
              <w:top w:val="nil"/>
              <w:left w:val="nil"/>
              <w:bottom w:space="0" w:sz="4" w:color="auto" w:val="single"/>
              <w:right w:space="0" w:sz="4" w:color="auto" w:val="single"/>
            </w:tcBorders>
            <w:shd w:themeFill="background1" w:fill="FFFFFF" w:color="auto" w:val="clear"/>
            <w:noWrap/>
            <w:vAlign w:val="center"/>
            <w:hideMark/>
          </w:tcPr>
          <w:p w:rsidRDefault="000304C7" w:rsidP="00126DDF" w:rsidR="000304C7" w:rsidRPr="00500CAD">
            <w:pPr>
              <w:shd w:themeFill="background1" w:fill="FFFFFF" w:color="auto" w:val="clear"/>
              <w:jc w:val="right"/>
              <w:rPr>
                <w:bCs/>
                <w:color w:val="000000"/>
                <w:sz w:val="20"/>
                <w:szCs w:val="20"/>
              </w:rPr>
            </w:pPr>
            <w:r w:rsidRPr="00500CAD">
              <w:rPr>
                <w:bCs/>
                <w:color w:val="000000"/>
                <w:sz w:val="20"/>
                <w:szCs w:val="20"/>
              </w:rPr>
              <w:t xml:space="preserve">100.130,67 </w:t>
            </w:r>
          </w:p>
        </w:tc>
      </w:tr>
    </w:tbl>
    <w:p w:rsidRDefault="000304C7" w:rsidP="000304C7" w:rsidR="000304C7" w:rsidRPr="00500CAD">
      <w:pPr>
        <w:shd w:themeFill="background1" w:fill="FFFFFF" w:color="auto" w:val="clear"/>
        <w:spacing w:lineRule="auto" w:line="360"/>
        <w:jc w:val="both"/>
        <w:rPr>
          <w:rFonts w:eastAsia="Calibri"/>
          <w:sz w:val="20"/>
          <w:szCs w:val="20"/>
          <w:lang w:eastAsia="en-US"/>
        </w:rPr>
      </w:pPr>
    </w:p>
    <w:tbl>
      <w:tblPr>
        <w:tblW w:type="dxa" w:w="6880"/>
        <w:jc w:val="center"/>
        <w:tblLook w:val="04A0" w:noVBand="1" w:noHBand="0" w:lastColumn="0" w:firstColumn="1" w:lastRow="0" w:firstRow="1"/>
      </w:tblPr>
      <w:tblGrid>
        <w:gridCol w:w="5400"/>
        <w:gridCol w:w="1480"/>
      </w:tblGrid>
      <w:tr w:rsidTr="00126DDF" w:rsidR="000304C7" w:rsidRPr="00500CAD">
        <w:trPr>
          <w:trHeight w:val="300"/>
          <w:jc w:val="center"/>
        </w:trPr>
        <w:tc>
          <w:tcPr>
            <w:tcW w:type="dxa" w:w="5400"/>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304C7" w:rsidP="00126DDF" w:rsidR="000304C7" w:rsidRPr="00500CAD">
            <w:pPr>
              <w:shd w:themeFill="background1" w:fill="FFFFFF" w:color="auto" w:val="clear"/>
              <w:rPr>
                <w:bCs/>
                <w:color w:val="000000"/>
                <w:sz w:val="20"/>
                <w:szCs w:val="20"/>
              </w:rPr>
            </w:pPr>
            <w:r w:rsidRPr="00500CAD">
              <w:rPr>
                <w:bCs/>
                <w:color w:val="000000"/>
                <w:sz w:val="20"/>
                <w:szCs w:val="20"/>
              </w:rPr>
              <w:t>OSTATAK STEČAJNE MASE</w:t>
            </w:r>
          </w:p>
        </w:tc>
        <w:tc>
          <w:tcPr>
            <w:tcW w:type="dxa" w:w="1480"/>
            <w:tcBorders>
              <w:top w:space="0" w:sz="4" w:color="auto" w:val="single"/>
              <w:left w:val="nil"/>
              <w:bottom w:space="0" w:sz="4" w:color="auto" w:val="single"/>
              <w:right w:space="0" w:sz="4" w:color="auto" w:val="single"/>
            </w:tcBorders>
            <w:shd w:themeFill="background1" w:fill="FFFFFF" w:color="auto" w:val="clear"/>
            <w:noWrap/>
            <w:vAlign w:val="center"/>
            <w:hideMark/>
          </w:tcPr>
          <w:p w:rsidRDefault="000304C7" w:rsidP="00126DDF" w:rsidR="000304C7" w:rsidRPr="00500CAD">
            <w:pPr>
              <w:shd w:themeFill="background1" w:fill="FFFFFF" w:color="auto" w:val="clear"/>
              <w:jc w:val="right"/>
              <w:rPr>
                <w:bCs/>
                <w:color w:val="000000"/>
                <w:sz w:val="20"/>
                <w:szCs w:val="20"/>
              </w:rPr>
            </w:pPr>
            <w:r w:rsidRPr="00500CAD">
              <w:rPr>
                <w:bCs/>
                <w:color w:val="000000"/>
                <w:sz w:val="20"/>
                <w:szCs w:val="20"/>
              </w:rPr>
              <w:t>789,33</w:t>
            </w:r>
          </w:p>
        </w:tc>
      </w:tr>
    </w:tbl>
    <w:p w:rsidRDefault="000304C7" w:rsidP="000304C7" w:rsidR="000304C7">
      <w:pPr>
        <w:spacing w:lineRule="auto" w:line="360"/>
        <w:jc w:val="both"/>
        <w:rPr>
          <w:rFonts w:eastAsia="Calibri" w:hAnsi="Calibri Light" w:ascii="Calibri Light"/>
          <w:i/>
          <w:lang w:eastAsia="en-US"/>
        </w:rPr>
      </w:pPr>
    </w:p>
    <w:p w:rsidRDefault="000304C7" w:rsidP="000304C7" w:rsidR="000304C7" w:rsidRPr="002927B1">
      <w:pPr>
        <w:spacing w:after="120"/>
        <w:jc w:val="both"/>
      </w:pPr>
      <w:r>
        <w:rPr>
          <w:rFonts w:hAnsi="Calibri Light" w:ascii="Calibri Light"/>
          <w:b/>
        </w:rPr>
        <w:tab/>
      </w:r>
      <w:r w:rsidRPr="00500CAD">
        <w:t>ZAVRŠNA BILANCA</w:t>
      </w:r>
    </w:p>
    <w:tbl>
      <w:tblPr>
        <w:tblW w:type="dxa" w:w="7940"/>
        <w:tblInd w:type="dxa" w:w="113"/>
        <w:tblLook w:val="04A0" w:noVBand="1" w:noHBand="0" w:lastColumn="0" w:firstColumn="1" w:lastRow="0" w:firstRow="1"/>
      </w:tblPr>
      <w:tblGrid>
        <w:gridCol w:w="460"/>
        <w:gridCol w:w="3920"/>
        <w:gridCol w:w="1583"/>
        <w:gridCol w:w="1216"/>
        <w:gridCol w:w="1200"/>
      </w:tblGrid>
      <w:tr w:rsidTr="00126DDF" w:rsidR="000304C7">
        <w:trPr>
          <w:trHeight w:val="450"/>
        </w:trPr>
        <w:tc>
          <w:tcPr>
            <w:tcW w:type="dxa" w:w="460"/>
            <w:tcBorders>
              <w:top w:space="0" w:sz="4" w:color="auto" w:val="single"/>
              <w:left w:space="0" w:sz="4" w:color="auto" w:val="single"/>
              <w:bottom w:space="0" w:sz="4" w:color="auto" w:val="single"/>
              <w:right w:space="0" w:sz="4" w:color="auto" w:val="single"/>
            </w:tcBorders>
            <w:shd w:fill="auto" w:color="auto" w:val="clear"/>
            <w:vAlign w:val="center"/>
            <w:hideMark/>
          </w:tcPr>
          <w:p w:rsidRDefault="000304C7" w:rsidP="00126DDF" w:rsidR="000304C7" w:rsidRPr="002927B1">
            <w:pPr>
              <w:jc w:val="center"/>
              <w:rPr>
                <w:rFonts w:cs="Calibri"/>
                <w:bCs/>
                <w:sz w:val="20"/>
                <w:szCs w:val="20"/>
              </w:rPr>
            </w:pPr>
            <w:r w:rsidRPr="002927B1">
              <w:rPr>
                <w:rFonts w:cs="Calibri"/>
                <w:bCs/>
                <w:sz w:val="20"/>
                <w:szCs w:val="20"/>
              </w:rPr>
              <w:t>R. br.</w:t>
            </w:r>
          </w:p>
        </w:tc>
        <w:tc>
          <w:tcPr>
            <w:tcW w:type="dxa" w:w="3920"/>
            <w:tcBorders>
              <w:top w:space="0" w:sz="4" w:color="auto" w:val="single"/>
              <w:left w:val="nil"/>
              <w:bottom w:space="0" w:sz="4" w:color="auto" w:val="single"/>
              <w:right w:space="0" w:sz="4" w:color="auto" w:val="single"/>
            </w:tcBorders>
            <w:shd w:fill="auto" w:color="auto" w:val="clear"/>
            <w:vAlign w:val="center"/>
            <w:hideMark/>
          </w:tcPr>
          <w:p w:rsidRDefault="000304C7" w:rsidP="00126DDF" w:rsidR="000304C7" w:rsidRPr="002927B1">
            <w:pPr>
              <w:jc w:val="center"/>
              <w:rPr>
                <w:rFonts w:cs="Calibri"/>
                <w:bCs/>
                <w:sz w:val="20"/>
                <w:szCs w:val="20"/>
              </w:rPr>
            </w:pPr>
            <w:r w:rsidRPr="002927B1">
              <w:rPr>
                <w:rFonts w:cs="Calibri"/>
                <w:bCs/>
                <w:sz w:val="20"/>
                <w:szCs w:val="20"/>
              </w:rPr>
              <w:t>Naziv</w:t>
            </w:r>
          </w:p>
        </w:tc>
        <w:tc>
          <w:tcPr>
            <w:tcW w:type="dxa" w:w="1240"/>
            <w:tcBorders>
              <w:top w:space="0" w:sz="4" w:color="auto" w:val="single"/>
              <w:left w:val="nil"/>
              <w:bottom w:space="0" w:sz="4" w:color="auto" w:val="single"/>
              <w:right w:space="0" w:sz="4" w:color="auto" w:val="single"/>
            </w:tcBorders>
            <w:shd w:fill="auto" w:color="auto" w:val="clear"/>
            <w:vAlign w:val="center"/>
            <w:hideMark/>
          </w:tcPr>
          <w:p w:rsidRDefault="000304C7" w:rsidP="00126DDF" w:rsidR="000304C7" w:rsidRPr="002927B1">
            <w:pPr>
              <w:jc w:val="center"/>
              <w:rPr>
                <w:rFonts w:cs="Calibri"/>
                <w:bCs/>
                <w:sz w:val="20"/>
                <w:szCs w:val="20"/>
              </w:rPr>
            </w:pPr>
            <w:r w:rsidRPr="002927B1">
              <w:rPr>
                <w:rFonts w:cs="Calibri"/>
                <w:bCs/>
                <w:sz w:val="20"/>
                <w:szCs w:val="20"/>
              </w:rPr>
              <w:t>Knjigovodstvena vrijednost</w:t>
            </w:r>
          </w:p>
        </w:tc>
        <w:tc>
          <w:tcPr>
            <w:tcW w:type="dxa" w:w="1120"/>
            <w:tcBorders>
              <w:top w:space="0" w:sz="4" w:color="auto" w:val="single"/>
              <w:left w:val="nil"/>
              <w:bottom w:space="0" w:sz="4" w:color="auto" w:val="single"/>
              <w:right w:space="0" w:sz="4" w:color="auto" w:val="single"/>
            </w:tcBorders>
            <w:shd w:fill="auto" w:color="auto" w:val="clear"/>
            <w:vAlign w:val="center"/>
            <w:hideMark/>
          </w:tcPr>
          <w:p w:rsidRDefault="000304C7" w:rsidP="00126DDF" w:rsidR="000304C7" w:rsidRPr="002927B1">
            <w:pPr>
              <w:jc w:val="center"/>
              <w:rPr>
                <w:rFonts w:cs="Calibri"/>
                <w:bCs/>
                <w:sz w:val="20"/>
                <w:szCs w:val="20"/>
              </w:rPr>
            </w:pPr>
            <w:r w:rsidRPr="002927B1">
              <w:rPr>
                <w:rFonts w:cs="Calibri"/>
                <w:bCs/>
                <w:sz w:val="20"/>
                <w:szCs w:val="20"/>
              </w:rPr>
              <w:t>Procijenjena vrijednost</w:t>
            </w:r>
          </w:p>
        </w:tc>
        <w:tc>
          <w:tcPr>
            <w:tcW w:type="dxa" w:w="1200"/>
            <w:tcBorders>
              <w:top w:space="0" w:sz="4" w:color="auto" w:val="single"/>
              <w:left w:val="nil"/>
              <w:bottom w:space="0" w:sz="4" w:color="auto" w:val="single"/>
              <w:right w:space="0" w:sz="4" w:color="auto" w:val="single"/>
            </w:tcBorders>
            <w:shd w:fill="auto" w:color="auto" w:val="clear"/>
            <w:vAlign w:val="center"/>
            <w:hideMark/>
          </w:tcPr>
          <w:p w:rsidRDefault="000304C7" w:rsidP="00126DDF" w:rsidR="000304C7" w:rsidRPr="002927B1">
            <w:pPr>
              <w:jc w:val="center"/>
              <w:rPr>
                <w:rFonts w:cs="Calibri"/>
                <w:bCs/>
                <w:sz w:val="20"/>
                <w:szCs w:val="20"/>
              </w:rPr>
            </w:pPr>
            <w:r w:rsidRPr="002927B1">
              <w:rPr>
                <w:rFonts w:cs="Calibri"/>
                <w:bCs/>
                <w:sz w:val="20"/>
                <w:szCs w:val="20"/>
              </w:rPr>
              <w:t>Unovčena vrijednost</w:t>
            </w:r>
          </w:p>
        </w:tc>
      </w:tr>
      <w:tr w:rsidTr="00126DDF" w:rsidR="000304C7">
        <w:trPr>
          <w:trHeight w:val="900"/>
        </w:trPr>
        <w:tc>
          <w:tcPr>
            <w:tcW w:type="dxa" w:w="460"/>
            <w:tcBorders>
              <w:top w:val="nil"/>
              <w:left w:space="0" w:sz="4" w:color="auto" w:val="single"/>
              <w:bottom w:space="0" w:sz="4" w:color="auto" w:val="single"/>
              <w:right w:space="0" w:sz="4" w:color="auto" w:val="single"/>
            </w:tcBorders>
            <w:noWrap/>
            <w:vAlign w:val="center"/>
            <w:hideMark/>
          </w:tcPr>
          <w:p w:rsidRDefault="000304C7" w:rsidP="00126DDF" w:rsidR="000304C7" w:rsidRPr="002927B1">
            <w:pPr>
              <w:jc w:val="center"/>
              <w:rPr>
                <w:rFonts w:cs="Calibri"/>
                <w:sz w:val="20"/>
                <w:szCs w:val="20"/>
              </w:rPr>
            </w:pPr>
            <w:r w:rsidRPr="002927B1">
              <w:rPr>
                <w:rFonts w:cs="Calibri"/>
                <w:sz w:val="20"/>
                <w:szCs w:val="20"/>
              </w:rPr>
              <w:t>1</w:t>
            </w:r>
          </w:p>
        </w:tc>
        <w:tc>
          <w:tcPr>
            <w:tcW w:type="dxa" w:w="3920"/>
            <w:tcBorders>
              <w:top w:val="nil"/>
              <w:left w:val="nil"/>
              <w:bottom w:space="0" w:sz="4" w:color="auto" w:val="single"/>
              <w:right w:space="0" w:sz="4" w:color="auto" w:val="single"/>
            </w:tcBorders>
            <w:vAlign w:val="center"/>
            <w:hideMark/>
          </w:tcPr>
          <w:p w:rsidRDefault="000304C7" w:rsidP="00126DDF" w:rsidR="000304C7" w:rsidRPr="002927B1">
            <w:pPr>
              <w:rPr>
                <w:rFonts w:cs="Calibri"/>
                <w:color w:val="000000"/>
                <w:sz w:val="20"/>
                <w:szCs w:val="20"/>
              </w:rPr>
            </w:pPr>
            <w:r w:rsidRPr="002927B1">
              <w:rPr>
                <w:rFonts w:cs="Calibri"/>
                <w:color w:val="000000"/>
                <w:sz w:val="20"/>
                <w:szCs w:val="20"/>
              </w:rPr>
              <w:t>Plastenik 1, Plastenik 2, Upravljačka kućica, Plinska instalacija, Sustav za obradu vode, Sustav za plinsko grijanje, Dozator - spremnik, Pogonska oprema za plastenike</w:t>
            </w:r>
          </w:p>
        </w:tc>
        <w:tc>
          <w:tcPr>
            <w:tcW w:type="dxa" w:w="1240"/>
            <w:tcBorders>
              <w:top w:val="nil"/>
              <w:left w:val="nil"/>
              <w:bottom w:space="0" w:sz="4" w:color="auto" w:val="single"/>
              <w:right w:space="0" w:sz="4" w:color="auto" w:val="single"/>
            </w:tcBorders>
            <w:noWrap/>
            <w:vAlign w:val="center"/>
            <w:hideMark/>
          </w:tcPr>
          <w:p w:rsidRDefault="000304C7" w:rsidP="00126DDF" w:rsidR="000304C7" w:rsidRPr="002927B1">
            <w:pPr>
              <w:jc w:val="right"/>
              <w:rPr>
                <w:rFonts w:cs="Calibri"/>
                <w:sz w:val="20"/>
                <w:szCs w:val="20"/>
              </w:rPr>
            </w:pPr>
            <w:r w:rsidRPr="002927B1">
              <w:rPr>
                <w:rFonts w:cs="Calibri"/>
                <w:sz w:val="20"/>
                <w:szCs w:val="20"/>
              </w:rPr>
              <w:t>0,00</w:t>
            </w:r>
          </w:p>
        </w:tc>
        <w:tc>
          <w:tcPr>
            <w:tcW w:type="dxa" w:w="1120"/>
            <w:tcBorders>
              <w:top w:val="nil"/>
              <w:left w:val="nil"/>
              <w:bottom w:space="0" w:sz="4" w:color="auto" w:val="single"/>
              <w:right w:space="0" w:sz="4" w:color="auto" w:val="single"/>
            </w:tcBorders>
            <w:noWrap/>
            <w:vAlign w:val="center"/>
            <w:hideMark/>
          </w:tcPr>
          <w:p w:rsidRDefault="000304C7" w:rsidP="00126DDF" w:rsidR="000304C7" w:rsidRPr="002927B1">
            <w:pPr>
              <w:jc w:val="right"/>
              <w:rPr>
                <w:rFonts w:cs="Calibri"/>
                <w:color w:val="000000"/>
                <w:sz w:val="20"/>
                <w:szCs w:val="20"/>
              </w:rPr>
            </w:pPr>
            <w:r w:rsidRPr="002927B1">
              <w:rPr>
                <w:rFonts w:cs="Calibri"/>
                <w:color w:val="000000"/>
                <w:sz w:val="20"/>
                <w:szCs w:val="20"/>
              </w:rPr>
              <w:t>179.000,00</w:t>
            </w:r>
          </w:p>
        </w:tc>
        <w:tc>
          <w:tcPr>
            <w:tcW w:type="dxa" w:w="1200"/>
            <w:tcBorders>
              <w:top w:val="nil"/>
              <w:left w:val="nil"/>
              <w:bottom w:space="0" w:sz="4" w:color="auto" w:val="single"/>
              <w:right w:space="0" w:sz="4" w:color="auto" w:val="single"/>
            </w:tcBorders>
            <w:noWrap/>
            <w:vAlign w:val="center"/>
            <w:hideMark/>
          </w:tcPr>
          <w:p w:rsidRDefault="000304C7" w:rsidP="00126DDF" w:rsidR="000304C7" w:rsidRPr="002927B1">
            <w:pPr>
              <w:jc w:val="right"/>
              <w:rPr>
                <w:rFonts w:cs="Calibri"/>
                <w:color w:val="000000"/>
                <w:sz w:val="20"/>
                <w:szCs w:val="20"/>
              </w:rPr>
            </w:pPr>
            <w:r w:rsidRPr="002927B1">
              <w:rPr>
                <w:rFonts w:cs="Calibri"/>
                <w:color w:val="000000"/>
                <w:sz w:val="20"/>
                <w:szCs w:val="20"/>
              </w:rPr>
              <w:t>85.920,00</w:t>
            </w:r>
          </w:p>
        </w:tc>
      </w:tr>
      <w:tr w:rsidTr="00126DDF" w:rsidR="000304C7">
        <w:trPr>
          <w:trHeight w:val="300"/>
        </w:trPr>
        <w:tc>
          <w:tcPr>
            <w:tcW w:type="dxa" w:w="4380"/>
            <w:gridSpan w:val="2"/>
            <w:tcBorders>
              <w:top w:space="0" w:sz="4" w:color="auto" w:val="single"/>
              <w:left w:space="0" w:sz="4" w:color="auto" w:val="single"/>
              <w:bottom w:space="0" w:sz="4" w:color="auto" w:val="single"/>
              <w:right w:space="0" w:sz="4" w:color="000000" w:val="single"/>
            </w:tcBorders>
            <w:shd w:fill="auto" w:color="auto" w:val="clear"/>
            <w:noWrap/>
            <w:vAlign w:val="center"/>
            <w:hideMark/>
          </w:tcPr>
          <w:p w:rsidRDefault="000304C7" w:rsidP="00126DDF" w:rsidR="000304C7" w:rsidRPr="002927B1">
            <w:pPr>
              <w:rPr>
                <w:rFonts w:cs="Calibri"/>
                <w:bCs/>
                <w:color w:val="000000"/>
                <w:sz w:val="20"/>
                <w:szCs w:val="20"/>
              </w:rPr>
            </w:pPr>
            <w:r w:rsidRPr="002927B1">
              <w:rPr>
                <w:rFonts w:cs="Calibri"/>
                <w:bCs/>
                <w:color w:val="000000"/>
                <w:sz w:val="20"/>
                <w:szCs w:val="20"/>
              </w:rPr>
              <w:t>UKUPNO</w:t>
            </w:r>
          </w:p>
        </w:tc>
        <w:tc>
          <w:tcPr>
            <w:tcW w:type="dxa" w:w="1240"/>
            <w:tcBorders>
              <w:top w:val="nil"/>
              <w:left w:val="nil"/>
              <w:bottom w:space="0" w:sz="4" w:color="auto" w:val="single"/>
              <w:right w:space="0" w:sz="4" w:color="auto" w:val="single"/>
            </w:tcBorders>
            <w:shd w:fill="auto" w:color="auto" w:val="clear"/>
            <w:noWrap/>
            <w:vAlign w:val="center"/>
            <w:hideMark/>
          </w:tcPr>
          <w:p w:rsidRDefault="000304C7" w:rsidP="00126DDF" w:rsidR="000304C7" w:rsidRPr="002927B1">
            <w:pPr>
              <w:jc w:val="right"/>
              <w:rPr>
                <w:rFonts w:cs="Calibri"/>
                <w:bCs/>
                <w:color w:val="000000"/>
                <w:sz w:val="20"/>
                <w:szCs w:val="20"/>
              </w:rPr>
            </w:pPr>
            <w:r w:rsidRPr="002927B1">
              <w:rPr>
                <w:rFonts w:cs="Calibri"/>
                <w:bCs/>
                <w:color w:val="000000"/>
                <w:sz w:val="20"/>
                <w:szCs w:val="20"/>
              </w:rPr>
              <w:t>0,00</w:t>
            </w:r>
          </w:p>
        </w:tc>
        <w:tc>
          <w:tcPr>
            <w:tcW w:type="dxa" w:w="1120"/>
            <w:tcBorders>
              <w:top w:val="nil"/>
              <w:left w:val="nil"/>
              <w:bottom w:space="0" w:sz="4" w:color="auto" w:val="single"/>
              <w:right w:space="0" w:sz="4" w:color="auto" w:val="single"/>
            </w:tcBorders>
            <w:shd w:fill="auto" w:color="auto" w:val="clear"/>
            <w:noWrap/>
            <w:vAlign w:val="center"/>
            <w:hideMark/>
          </w:tcPr>
          <w:p w:rsidRDefault="000304C7" w:rsidP="00126DDF" w:rsidR="000304C7" w:rsidRPr="002927B1">
            <w:pPr>
              <w:jc w:val="right"/>
              <w:rPr>
                <w:rFonts w:cs="Calibri"/>
                <w:bCs/>
                <w:color w:val="000000"/>
                <w:sz w:val="20"/>
                <w:szCs w:val="20"/>
              </w:rPr>
            </w:pPr>
            <w:r w:rsidRPr="002927B1">
              <w:rPr>
                <w:rFonts w:cs="Calibri"/>
                <w:bCs/>
                <w:color w:val="000000"/>
                <w:sz w:val="20"/>
                <w:szCs w:val="20"/>
              </w:rPr>
              <w:t>179.000,00</w:t>
            </w:r>
          </w:p>
        </w:tc>
        <w:tc>
          <w:tcPr>
            <w:tcW w:type="dxa" w:w="1200"/>
            <w:tcBorders>
              <w:top w:val="nil"/>
              <w:left w:val="nil"/>
              <w:bottom w:space="0" w:sz="4" w:color="auto" w:val="single"/>
              <w:right w:space="0" w:sz="4" w:color="auto" w:val="single"/>
            </w:tcBorders>
            <w:shd w:fill="auto" w:color="auto" w:val="clear"/>
            <w:noWrap/>
            <w:vAlign w:val="center"/>
            <w:hideMark/>
          </w:tcPr>
          <w:p w:rsidRDefault="000304C7" w:rsidP="00126DDF" w:rsidR="000304C7" w:rsidRPr="002927B1">
            <w:pPr>
              <w:jc w:val="right"/>
              <w:rPr>
                <w:rFonts w:cs="Calibri"/>
                <w:bCs/>
                <w:color w:val="000000"/>
                <w:sz w:val="20"/>
                <w:szCs w:val="20"/>
              </w:rPr>
            </w:pPr>
            <w:r w:rsidRPr="002927B1">
              <w:rPr>
                <w:rFonts w:cs="Calibri"/>
                <w:bCs/>
                <w:color w:val="000000"/>
                <w:sz w:val="20"/>
                <w:szCs w:val="20"/>
              </w:rPr>
              <w:t>85.920,00</w:t>
            </w:r>
          </w:p>
        </w:tc>
      </w:tr>
    </w:tbl>
    <w:p w:rsidRDefault="000304C7" w:rsidP="000304C7" w:rsidR="000304C7">
      <w:pPr>
        <w:jc w:val="both"/>
        <w:rPr>
          <w:rFonts w:cs="Calibri Light" w:hAnsi="Calibri Light" w:ascii="Calibri Light"/>
          <w:b/>
        </w:rPr>
      </w:pPr>
    </w:p>
    <w:p w:rsidRDefault="000304C7" w:rsidP="000304C7" w:rsidR="000304C7" w:rsidRPr="00B939EE">
      <w:pPr>
        <w:jc w:val="both"/>
      </w:pPr>
      <w:r>
        <w:tab/>
      </w:r>
      <w:r w:rsidRPr="00B939EE">
        <w:t xml:space="preserve">Rješenjem Trgovačkog suda u Osijeku, poslovni broj 14 </w:t>
      </w:r>
      <w:r w:rsidRPr="00B939EE">
        <w:rPr>
          <w:bCs/>
        </w:rPr>
        <w:t>St-1784/16-14</w:t>
      </w:r>
      <w:r w:rsidRPr="00B939EE">
        <w:t xml:space="preserve"> od 2. rujna 2016. godine pokrenut je prethodni postupak radi utvrđivanja pretpostavki za otvaranje stečajnoga postupka, nakon čega je sačinjeno Izvješće privremenog stečajnog upravitelja i održano ročište radi očitovanja o prijedlogu za otvaranje stečajnog postupka i rasprave o pretpostavkama za otvaranje stečajnog postupka dana 6. listopada 2016. godine. </w:t>
      </w:r>
    </w:p>
    <w:p w:rsidRDefault="000304C7" w:rsidP="000304C7" w:rsidR="000304C7" w:rsidRPr="00B939EE">
      <w:pPr>
        <w:jc w:val="both"/>
      </w:pPr>
    </w:p>
    <w:p w:rsidRDefault="000304C7" w:rsidP="000304C7" w:rsidR="000304C7" w:rsidRPr="00B939EE">
      <w:pPr>
        <w:jc w:val="both"/>
        <w:rPr>
          <w:b/>
        </w:rPr>
      </w:pPr>
      <w:r>
        <w:tab/>
      </w:r>
      <w:r w:rsidRPr="00B939EE">
        <w:t xml:space="preserve">Rješenjem Trgovačkog suda u Osijeku, poslovni broj 14 </w:t>
      </w:r>
      <w:r w:rsidRPr="00B939EE">
        <w:rPr>
          <w:bCs/>
        </w:rPr>
        <w:t xml:space="preserve">St-1784/16-20 od 6. listopada 2016. godine pozvane su osobe koje imaju pravni interes uplatiti predujam za pokriće troškova kako prethodnog, tako i stečajnog postupka. </w:t>
      </w:r>
    </w:p>
    <w:p w:rsidRDefault="000304C7" w:rsidP="000304C7" w:rsidR="000304C7" w:rsidRPr="00B939EE">
      <w:pPr>
        <w:jc w:val="both"/>
        <w:rPr>
          <w:b/>
        </w:rPr>
      </w:pPr>
    </w:p>
    <w:p w:rsidRDefault="000304C7" w:rsidP="000304C7" w:rsidR="000304C7" w:rsidRPr="00B939EE">
      <w:pPr>
        <w:jc w:val="both"/>
      </w:pPr>
      <w:r>
        <w:tab/>
      </w:r>
      <w:r w:rsidRPr="00B939EE">
        <w:t xml:space="preserve">Vjerovnik EXPORTDRVO </w:t>
      </w:r>
      <w:r>
        <w:t>d.d</w:t>
      </w:r>
      <w:r w:rsidRPr="00B939EE">
        <w:t xml:space="preserve">. Zagreb uplatio je u ostavljenom roku predujam za pokriće troškova stečajnog postupka u iznosu od 20.000,00 kn na račun stečajnog dužnika, nakon čega je Rješenjem Trgovačkog suda u Osijeku, poslovni broj 14 </w:t>
      </w:r>
      <w:r w:rsidRPr="00B939EE">
        <w:rPr>
          <w:bCs/>
        </w:rPr>
        <w:t>St-1784/16-26</w:t>
      </w:r>
      <w:r w:rsidRPr="00B939EE">
        <w:t xml:space="preserve"> od 28. listopada 2016. godine otvoren stečajni postupak nad stečajnim dužnikom. Kako je predujam trošak stečajnoga postupka na čiju naknadu vjerovnik koji je uplatio predujam ima pravo (čl. 114. st. 7. SZ-a) te kako je stečajna masa dužnika (koju su činile pokretnine - Plastenik 1, Plastenik 2, Upravljačka kućica, Plinska instalacija, Sustav za obradu vode, Sustav za plinsko grijanje, Dozator) u cijelosti unovčena, vjerovniku EXPORTDRVO izvršen je povrat predujma.</w:t>
      </w:r>
    </w:p>
    <w:p w:rsidRDefault="000304C7" w:rsidP="000304C7" w:rsidR="000304C7" w:rsidRPr="00B939EE">
      <w:pPr>
        <w:jc w:val="both"/>
      </w:pPr>
    </w:p>
    <w:p w:rsidRDefault="000304C7" w:rsidP="000304C7" w:rsidR="000304C7" w:rsidRPr="00B939EE">
      <w:pPr>
        <w:jc w:val="both"/>
      </w:pPr>
      <w:r>
        <w:lastRenderedPageBreak/>
        <w:tab/>
      </w:r>
      <w:r w:rsidRPr="00B939EE">
        <w:t>Jedinu imovinu stečajnog dužnika činile su pokretnine: Plastenik 1, Plastenik 2, Upravljačka kućica, Plinska instalacija, Sustav za obradu vode, Sustav za plinsko grijanje, Dozator čija je vrijednost prema Procjeni broj od 6.12.2016. godine, sačinjenoj po sudskom vještaku i procjenitelju za promet i strojarstvo, iznosila 179.000,00 kn, u koji iznos je uračunat i pripadajući porez na dodanu vrijednost.</w:t>
      </w:r>
    </w:p>
    <w:p w:rsidRDefault="000304C7" w:rsidP="000304C7" w:rsidR="000304C7" w:rsidRPr="00B939EE">
      <w:pPr>
        <w:jc w:val="both"/>
      </w:pPr>
    </w:p>
    <w:p w:rsidRDefault="000304C7" w:rsidP="000304C7" w:rsidR="000304C7" w:rsidRPr="00B939EE">
      <w:pPr>
        <w:jc w:val="both"/>
      </w:pPr>
      <w:r>
        <w:tab/>
      </w:r>
      <w:r w:rsidRPr="00B939EE">
        <w:t>Na izvještajnom ročištu donesena je odluka kako će se imovina dužnika prodavat</w:t>
      </w:r>
      <w:r>
        <w:t>i</w:t>
      </w:r>
      <w:r w:rsidRPr="00B939EE">
        <w:t xml:space="preserve"> kao jedinstvena cjelina prema početnoj cijeni od 179.000,00 kn uz odgovarajuću primjenu odredbi čl. 249., čl. 250. i čl. 251. Stečajnog zakona.</w:t>
      </w:r>
    </w:p>
    <w:p w:rsidRDefault="000304C7" w:rsidP="000304C7" w:rsidR="000304C7" w:rsidRPr="00B939EE">
      <w:pPr>
        <w:jc w:val="both"/>
      </w:pPr>
    </w:p>
    <w:p w:rsidRDefault="000304C7" w:rsidP="000304C7" w:rsidR="000304C7" w:rsidRPr="00B939EE">
      <w:pPr>
        <w:jc w:val="both"/>
      </w:pPr>
      <w:r>
        <w:tab/>
      </w:r>
      <w:r w:rsidRPr="00B939EE">
        <w:t xml:space="preserve">Pokretnine su se prodavale kao cjelina prikupljanjem pisanih ponuda, a oglas o prodaju bio je objavljen na Očevidniku nekretnina i pokretnina Financijske Agencije i internetskom portalu Njuškalo.hr. Pokretnine su prodane na četvrtoj prodaji po cijeni od 85.920,00 kn koji je u cijelosti platio kupoprodajnu cijenu na račun stečajnog dužnika. </w:t>
      </w:r>
    </w:p>
    <w:p w:rsidRDefault="000304C7" w:rsidP="000304C7" w:rsidR="000304C7" w:rsidRPr="00B939EE">
      <w:pPr>
        <w:jc w:val="both"/>
      </w:pPr>
    </w:p>
    <w:p w:rsidRDefault="000304C7" w:rsidP="000304C7" w:rsidR="000304C7" w:rsidRPr="00B939EE">
      <w:pPr>
        <w:jc w:val="both"/>
      </w:pPr>
      <w:r>
        <w:tab/>
      </w:r>
      <w:r w:rsidRPr="00B939EE">
        <w:t>Kako je unovčen ukupan iznos stečajne mase od 85.920,00 kn, sukladno Uredbi o kriterijima i načinu obračuna i plaćanja nagrade stečajnim upraviteljima (</w:t>
      </w:r>
      <w:r>
        <w:t>NN</w:t>
      </w:r>
      <w:r w:rsidRPr="00B939EE">
        <w:t xml:space="preserve"> 105/15) stečajnom upravitelju priprada Iznos nagrade bruto 13.747,20 kn uvećan za doprinos za zdravstveno osiguranje od 7,5%. Slijedom toga, stečajni upravitelj predložio je sudu donošenje rješenje o nagradi sukladno Uredbi o kriterijima i načinu obračuna i plaćanja nagrade stečajnim upraviteljima (</w:t>
      </w:r>
      <w:r>
        <w:t>NN</w:t>
      </w:r>
      <w:r w:rsidRPr="00B939EE">
        <w:t xml:space="preserve"> 105/15), a koje rješenje je doneseno dana 13.7.2017. godine i postalo pravomoćno.</w:t>
      </w:r>
    </w:p>
    <w:p w:rsidRDefault="000304C7" w:rsidP="000304C7" w:rsidR="000304C7" w:rsidRPr="00B939EE">
      <w:pPr>
        <w:jc w:val="both"/>
      </w:pPr>
    </w:p>
    <w:p w:rsidRDefault="000304C7" w:rsidP="000304C7" w:rsidR="000304C7" w:rsidRPr="00B939EE">
      <w:pPr>
        <w:jc w:val="both"/>
      </w:pPr>
      <w:r>
        <w:tab/>
      </w:r>
      <w:r w:rsidRPr="00B939EE">
        <w:t xml:space="preserve">S obzirom na to da su pokretnine opterećene razlučnim pravom RH, Ministarstvo financija, Porezna uprava, temeljem Rješenja o ovrsi, njihovom prodajom namiren je razlučni vjerovnik u iznosu od </w:t>
      </w:r>
      <w:r w:rsidRPr="00B939EE">
        <w:rPr>
          <w:iCs/>
        </w:rPr>
        <w:t>61.130,61 kn.</w:t>
      </w:r>
      <w:r w:rsidRPr="00B939EE">
        <w:rPr>
          <w:i/>
          <w:iCs/>
        </w:rPr>
        <w:t xml:space="preserve"> </w:t>
      </w:r>
    </w:p>
    <w:p w:rsidRDefault="000304C7" w:rsidP="000304C7" w:rsidR="000304C7" w:rsidRPr="00B939EE">
      <w:pPr>
        <w:jc w:val="both"/>
      </w:pPr>
    </w:p>
    <w:p w:rsidRDefault="000304C7" w:rsidP="000304C7" w:rsidR="000304C7" w:rsidRPr="00B939EE">
      <w:pPr>
        <w:jc w:val="both"/>
      </w:pPr>
      <w:r>
        <w:tab/>
      </w:r>
      <w:r w:rsidRPr="00B939EE">
        <w:t>Glede sređivanja arhivske građe, u spis je dostavljen Zapisnik o primopredaji arhivskog gradiva stečajnog dužnika novom imatelju Krunoslavu Andriću iz Budrovaca, a sukladno odredbama čl. 4. st. 2. Zakona o arhivskom gradivu i arhivama (</w:t>
      </w:r>
      <w:r>
        <w:t>NN</w:t>
      </w:r>
      <w:r w:rsidRPr="00B939EE">
        <w:t xml:space="preserve"> 105/97), zajedno s popisom arhivskog gradiva.</w:t>
      </w:r>
    </w:p>
    <w:p w:rsidRDefault="000304C7" w:rsidP="000304C7" w:rsidR="000304C7" w:rsidRPr="00B939EE">
      <w:pPr>
        <w:jc w:val="both"/>
      </w:pPr>
    </w:p>
    <w:p w:rsidRDefault="000304C7" w:rsidP="000304C7" w:rsidR="000304C7" w:rsidRPr="00B939EE">
      <w:pPr>
        <w:jc w:val="both"/>
        <w:rPr>
          <w:lang w:val="pl-PL"/>
        </w:rPr>
      </w:pPr>
      <w:r>
        <w:rPr>
          <w:lang w:val="pl-PL"/>
        </w:rPr>
        <w:tab/>
      </w:r>
      <w:r w:rsidRPr="00B939EE">
        <w:rPr>
          <w:lang w:val="pl-PL"/>
        </w:rPr>
        <w:t xml:space="preserve">U predmetnom stečajnom postupku nema sredstava za diobu vjerovnika budući da je prodajnom imovine namiren razlučni vjerovnik, a u tablici dostavlja se prikaz prijavljenih tražbina vjerovnika. </w:t>
      </w:r>
    </w:p>
    <w:p w:rsidRDefault="000304C7" w:rsidP="000304C7" w:rsidR="000304C7" w:rsidRPr="00B939EE">
      <w:pPr>
        <w:jc w:val="both"/>
        <w:rPr>
          <w:lang w:val="pl-PL"/>
        </w:rPr>
      </w:pPr>
    </w:p>
    <w:p w:rsidRDefault="000304C7" w:rsidP="000304C7" w:rsidR="000304C7" w:rsidRPr="00454851">
      <w:pPr>
        <w:rPr>
          <w:rFonts w:cs="Calibri" w:hAnsi="Calibri" w:ascii="Calibri"/>
          <w:bCs/>
          <w:color w:val="000000"/>
          <w:sz w:val="22"/>
          <w:szCs w:val="22"/>
        </w:rPr>
      </w:pPr>
      <w:r>
        <w:rPr>
          <w:rFonts w:cs="Calibri"/>
          <w:b/>
          <w:bCs/>
          <w:color w:val="000000"/>
        </w:rPr>
        <w:tab/>
      </w:r>
      <w:r w:rsidRPr="00454851">
        <w:rPr>
          <w:rFonts w:cs="Calibri"/>
          <w:bCs/>
          <w:color w:val="000000"/>
        </w:rPr>
        <w:t>Vjerovnici I. višeg isplatnog reda - prijavljene tražbine</w:t>
      </w:r>
    </w:p>
    <w:p w:rsidRDefault="000304C7" w:rsidP="000304C7" w:rsidR="000304C7">
      <w:pPr>
        <w:rPr>
          <w:rFonts w:eastAsia="Calibri"/>
          <w:lang w:eastAsia="en-US"/>
        </w:rPr>
      </w:pPr>
    </w:p>
    <w:tbl>
      <w:tblPr>
        <w:tblW w:type="pct" w:w="3781"/>
        <w:tblLook w:val="04A0" w:noVBand="1" w:noHBand="0" w:lastColumn="0" w:firstColumn="1" w:lastRow="0" w:firstRow="1"/>
      </w:tblPr>
      <w:tblGrid>
        <w:gridCol w:w="706"/>
        <w:gridCol w:w="4910"/>
        <w:gridCol w:w="1406"/>
      </w:tblGrid>
      <w:tr w:rsidTr="00126DDF" w:rsidR="000304C7">
        <w:trPr>
          <w:trHeight w:val="653"/>
        </w:trPr>
        <w:tc>
          <w:tcPr>
            <w:tcW w:type="pct" w:w="503"/>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304C7" w:rsidP="00126DDF" w:rsidR="000304C7" w:rsidRPr="00454851">
            <w:pPr>
              <w:rPr>
                <w:rFonts w:cs="Calibri"/>
                <w:bCs/>
                <w:color w:val="000000"/>
                <w:sz w:val="20"/>
                <w:szCs w:val="20"/>
              </w:rPr>
            </w:pPr>
            <w:r w:rsidRPr="00454851">
              <w:rPr>
                <w:rFonts w:cs="Calibri"/>
                <w:bCs/>
                <w:color w:val="000000"/>
                <w:sz w:val="20"/>
                <w:szCs w:val="20"/>
              </w:rPr>
              <w:t>R. br.</w:t>
            </w:r>
          </w:p>
        </w:tc>
        <w:tc>
          <w:tcPr>
            <w:tcW w:type="pct" w:w="3496"/>
            <w:tcBorders>
              <w:top w:space="0" w:sz="4" w:color="auto" w:val="single"/>
              <w:left w:val="nil"/>
              <w:bottom w:space="0" w:sz="4" w:color="auto" w:val="single"/>
              <w:right w:space="0" w:sz="4" w:color="auto" w:val="single"/>
            </w:tcBorders>
            <w:shd w:themeFill="background1" w:fill="FFFFFF" w:color="auto" w:val="clear"/>
            <w:noWrap/>
            <w:vAlign w:val="center"/>
            <w:hideMark/>
          </w:tcPr>
          <w:p w:rsidRDefault="000304C7" w:rsidP="00126DDF" w:rsidR="000304C7" w:rsidRPr="00454851">
            <w:pPr>
              <w:rPr>
                <w:rFonts w:cs="Calibri"/>
                <w:bCs/>
                <w:color w:val="000000"/>
                <w:sz w:val="20"/>
                <w:szCs w:val="20"/>
              </w:rPr>
            </w:pPr>
            <w:r w:rsidRPr="00454851">
              <w:rPr>
                <w:rFonts w:cs="Calibri"/>
                <w:bCs/>
                <w:color w:val="000000"/>
                <w:sz w:val="20"/>
                <w:szCs w:val="20"/>
              </w:rPr>
              <w:t>Vjerovnik</w:t>
            </w:r>
          </w:p>
        </w:tc>
        <w:tc>
          <w:tcPr>
            <w:tcW w:type="pct" w:w="1001"/>
            <w:tcBorders>
              <w:top w:space="0" w:sz="4" w:color="auto" w:val="single"/>
              <w:left w:val="nil"/>
              <w:bottom w:space="0" w:sz="4" w:color="auto" w:val="single"/>
              <w:right w:space="0" w:sz="4" w:color="auto" w:val="single"/>
            </w:tcBorders>
            <w:shd w:themeFill="background1" w:fill="FFFFFF" w:color="auto" w:val="clear"/>
            <w:noWrap/>
            <w:vAlign w:val="center"/>
            <w:hideMark/>
          </w:tcPr>
          <w:p w:rsidRDefault="000304C7" w:rsidP="00126DDF" w:rsidR="000304C7" w:rsidRPr="00454851">
            <w:pPr>
              <w:rPr>
                <w:rFonts w:cs="Calibri"/>
                <w:bCs/>
                <w:color w:val="000000"/>
                <w:sz w:val="20"/>
                <w:szCs w:val="20"/>
              </w:rPr>
            </w:pPr>
            <w:r w:rsidRPr="00454851">
              <w:rPr>
                <w:rFonts w:cs="Calibri"/>
                <w:bCs/>
                <w:color w:val="000000"/>
                <w:sz w:val="20"/>
                <w:szCs w:val="20"/>
              </w:rPr>
              <w:t>Iznos</w:t>
            </w:r>
          </w:p>
        </w:tc>
      </w:tr>
      <w:tr w:rsidTr="00126DDF" w:rsidR="000304C7">
        <w:trPr>
          <w:trHeight w:val="494"/>
        </w:trPr>
        <w:tc>
          <w:tcPr>
            <w:tcW w:type="pct" w:w="503"/>
            <w:tcBorders>
              <w:top w:val="nil"/>
              <w:left w:space="0" w:sz="4" w:color="auto" w:val="single"/>
              <w:bottom w:space="0" w:sz="4" w:color="auto" w:val="single"/>
              <w:right w:space="0" w:sz="4" w:color="auto" w:val="single"/>
            </w:tcBorders>
            <w:noWrap/>
            <w:vAlign w:val="center"/>
            <w:hideMark/>
          </w:tcPr>
          <w:p w:rsidRDefault="000304C7" w:rsidP="00126DDF" w:rsidR="000304C7" w:rsidRPr="00454851">
            <w:pPr>
              <w:rPr>
                <w:rFonts w:cs="Calibri"/>
                <w:color w:val="000000"/>
                <w:sz w:val="20"/>
                <w:szCs w:val="20"/>
              </w:rPr>
            </w:pPr>
            <w:r w:rsidRPr="00454851">
              <w:rPr>
                <w:rFonts w:cs="Calibri"/>
                <w:color w:val="000000"/>
                <w:sz w:val="20"/>
                <w:szCs w:val="20"/>
              </w:rPr>
              <w:t>1</w:t>
            </w:r>
          </w:p>
        </w:tc>
        <w:tc>
          <w:tcPr>
            <w:tcW w:type="pct" w:w="3496"/>
            <w:tcBorders>
              <w:top w:space="0" w:sz="4" w:color="auto" w:val="single"/>
              <w:left w:val="nil"/>
              <w:bottom w:space="0" w:sz="4" w:color="auto" w:val="single"/>
              <w:right w:space="0" w:sz="4" w:color="000000" w:val="single"/>
            </w:tcBorders>
            <w:vAlign w:val="center"/>
            <w:hideMark/>
          </w:tcPr>
          <w:p w:rsidRDefault="000304C7" w:rsidP="00126DDF" w:rsidR="000304C7" w:rsidRPr="00454851">
            <w:pPr>
              <w:rPr>
                <w:rFonts w:cs="Calibri"/>
                <w:color w:val="000000"/>
                <w:sz w:val="20"/>
                <w:szCs w:val="20"/>
              </w:rPr>
            </w:pPr>
            <w:r w:rsidRPr="00454851">
              <w:rPr>
                <w:rFonts w:cs="Calibri"/>
                <w:color w:val="000000"/>
                <w:sz w:val="20"/>
                <w:szCs w:val="20"/>
              </w:rPr>
              <w:t>RH, MF, POREZNA UPRAVA, PODRUČNI URED SLAVONIJA I BARANJA, OIB:18683136487, KATANČIĆEVA 5/A  10000 ZAGREB</w:t>
            </w:r>
          </w:p>
        </w:tc>
        <w:tc>
          <w:tcPr>
            <w:tcW w:type="pct" w:w="1001"/>
            <w:tcBorders>
              <w:top w:val="nil"/>
              <w:left w:val="nil"/>
              <w:bottom w:space="0" w:sz="4" w:color="auto" w:val="single"/>
              <w:right w:space="0" w:sz="4" w:color="auto" w:val="single"/>
            </w:tcBorders>
            <w:noWrap/>
            <w:vAlign w:val="center"/>
            <w:hideMark/>
          </w:tcPr>
          <w:p w:rsidRDefault="000304C7" w:rsidP="00126DDF" w:rsidR="000304C7" w:rsidRPr="00454851">
            <w:pPr>
              <w:rPr>
                <w:rFonts w:cs="Calibri"/>
                <w:color w:val="000000"/>
                <w:sz w:val="20"/>
                <w:szCs w:val="20"/>
              </w:rPr>
            </w:pPr>
            <w:r w:rsidRPr="00454851">
              <w:rPr>
                <w:rFonts w:cs="Calibri"/>
                <w:color w:val="000000"/>
                <w:sz w:val="20"/>
                <w:szCs w:val="20"/>
              </w:rPr>
              <w:t>3.266.761,75</w:t>
            </w:r>
          </w:p>
        </w:tc>
      </w:tr>
    </w:tbl>
    <w:p w:rsidRDefault="000304C7" w:rsidP="000304C7" w:rsidR="000304C7">
      <w:pPr>
        <w:rPr>
          <w:rFonts w:eastAsia="Calibri" w:hAnsi="Calibri" w:ascii="Calibri"/>
          <w:sz w:val="22"/>
          <w:szCs w:val="22"/>
          <w:lang w:eastAsia="en-US"/>
        </w:rPr>
      </w:pPr>
    </w:p>
    <w:p w:rsidRDefault="000304C7" w:rsidP="000304C7" w:rsidR="000304C7">
      <w:pPr>
        <w:rPr>
          <w:rFonts w:cs="Calibri"/>
          <w:bCs/>
          <w:color w:val="000000"/>
        </w:rPr>
      </w:pPr>
      <w:r>
        <w:rPr>
          <w:rFonts w:cs="Calibri"/>
          <w:b/>
          <w:bCs/>
          <w:color w:val="000000"/>
        </w:rPr>
        <w:tab/>
      </w:r>
      <w:r w:rsidRPr="00454851">
        <w:rPr>
          <w:rFonts w:cs="Calibri"/>
          <w:bCs/>
          <w:color w:val="000000"/>
        </w:rPr>
        <w:t>Vjerovnici II. višeg isplatnog reda - prijavljene tražbine</w:t>
      </w:r>
    </w:p>
    <w:p w:rsidRDefault="0049367B" w:rsidP="000304C7" w:rsidR="0049367B">
      <w:pPr>
        <w:rPr>
          <w:rFonts w:cs="Calibri"/>
          <w:bCs/>
          <w:color w:val="000000"/>
        </w:rPr>
      </w:pPr>
    </w:p>
    <w:p w:rsidRDefault="0049367B" w:rsidP="000304C7" w:rsidR="0049367B" w:rsidRPr="00454851">
      <w:pPr>
        <w:rPr>
          <w:rFonts w:cs="Calibri"/>
          <w:bCs/>
          <w:color w:val="000000"/>
        </w:rPr>
      </w:pPr>
    </w:p>
    <w:p w:rsidRDefault="000304C7" w:rsidP="000304C7" w:rsidR="000304C7">
      <w:pPr>
        <w:rPr>
          <w:rFonts w:eastAsia="Calibri"/>
          <w:lang w:eastAsia="en-US"/>
        </w:rPr>
      </w:pPr>
    </w:p>
    <w:tbl>
      <w:tblPr>
        <w:tblW w:type="pct" w:w="5000"/>
        <w:tblLayout w:type="fixed"/>
        <w:tblLook w:val="04A0" w:noVBand="1" w:noHBand="0" w:lastColumn="0" w:firstColumn="1" w:lastRow="0" w:firstRow="1"/>
      </w:tblPr>
      <w:tblGrid>
        <w:gridCol w:w="604"/>
        <w:gridCol w:w="6929"/>
        <w:gridCol w:w="1753"/>
      </w:tblGrid>
      <w:tr w:rsidTr="00126DDF" w:rsidR="000304C7">
        <w:trPr>
          <w:trHeight w:val="551"/>
        </w:trPr>
        <w:tc>
          <w:tcPr>
            <w:tcW w:type="pct" w:w="325"/>
            <w:tcBorders>
              <w:top w:space="0" w:sz="4" w:color="auto" w:val="single"/>
              <w:left w:space="0" w:sz="4" w:color="auto" w:val="single"/>
              <w:bottom w:space="0" w:sz="4" w:color="auto" w:val="single"/>
              <w:right w:space="0" w:sz="4" w:color="auto" w:val="single"/>
            </w:tcBorders>
            <w:shd w:themeFill="background1" w:fill="FFFFFF" w:color="auto" w:val="clear"/>
            <w:noWrap/>
            <w:vAlign w:val="center"/>
            <w:hideMark/>
          </w:tcPr>
          <w:p w:rsidRDefault="000304C7" w:rsidP="00126DDF" w:rsidR="000304C7" w:rsidRPr="002A1970">
            <w:pPr>
              <w:rPr>
                <w:rFonts w:cs="Calibri"/>
                <w:bCs/>
                <w:color w:val="000000"/>
                <w:sz w:val="20"/>
                <w:szCs w:val="20"/>
              </w:rPr>
            </w:pPr>
            <w:r w:rsidRPr="002A1970">
              <w:rPr>
                <w:rFonts w:cs="Calibri"/>
                <w:bCs/>
                <w:color w:val="000000"/>
                <w:sz w:val="20"/>
                <w:szCs w:val="20"/>
              </w:rPr>
              <w:lastRenderedPageBreak/>
              <w:t>R. br.</w:t>
            </w:r>
          </w:p>
        </w:tc>
        <w:tc>
          <w:tcPr>
            <w:tcW w:type="pct" w:w="3731"/>
            <w:tcBorders>
              <w:top w:space="0" w:sz="4" w:color="auto" w:val="single"/>
              <w:left w:val="nil"/>
              <w:bottom w:space="0" w:sz="4" w:color="auto" w:val="single"/>
              <w:right w:space="0" w:sz="4" w:color="auto" w:val="single"/>
            </w:tcBorders>
            <w:shd w:themeFill="background1" w:fill="FFFFFF" w:color="auto" w:val="clear"/>
            <w:noWrap/>
            <w:vAlign w:val="center"/>
            <w:hideMark/>
          </w:tcPr>
          <w:p w:rsidRDefault="000304C7" w:rsidP="00126DDF" w:rsidR="000304C7" w:rsidRPr="002A1970">
            <w:pPr>
              <w:rPr>
                <w:rFonts w:cs="Calibri"/>
                <w:bCs/>
                <w:color w:val="000000"/>
                <w:sz w:val="20"/>
                <w:szCs w:val="20"/>
              </w:rPr>
            </w:pPr>
            <w:r w:rsidRPr="002A1970">
              <w:rPr>
                <w:rFonts w:cs="Calibri"/>
                <w:bCs/>
                <w:color w:val="000000"/>
                <w:sz w:val="20"/>
                <w:szCs w:val="20"/>
              </w:rPr>
              <w:t>Vjerovnik</w:t>
            </w:r>
          </w:p>
        </w:tc>
        <w:tc>
          <w:tcPr>
            <w:tcW w:type="pct" w:w="944"/>
            <w:tcBorders>
              <w:top w:space="0" w:sz="4" w:color="auto" w:val="single"/>
              <w:left w:val="nil"/>
              <w:bottom w:space="0" w:sz="4" w:color="auto" w:val="single"/>
              <w:right w:space="0" w:sz="4" w:color="auto" w:val="single"/>
            </w:tcBorders>
            <w:shd w:themeFill="background1" w:fill="FFFFFF" w:color="auto" w:val="clear"/>
            <w:noWrap/>
            <w:vAlign w:val="center"/>
            <w:hideMark/>
          </w:tcPr>
          <w:p w:rsidRDefault="000304C7" w:rsidP="00126DDF" w:rsidR="000304C7" w:rsidRPr="002A1970">
            <w:pPr>
              <w:rPr>
                <w:rFonts w:cs="Calibri"/>
                <w:bCs/>
                <w:color w:val="000000"/>
                <w:sz w:val="20"/>
                <w:szCs w:val="20"/>
              </w:rPr>
            </w:pPr>
            <w:r w:rsidRPr="002A1970">
              <w:rPr>
                <w:rFonts w:cs="Calibri"/>
                <w:bCs/>
                <w:color w:val="000000"/>
                <w:sz w:val="20"/>
                <w:szCs w:val="20"/>
              </w:rPr>
              <w:t>Iznos</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2</w:t>
            </w:r>
          </w:p>
        </w:tc>
        <w:tc>
          <w:tcPr>
            <w:tcW w:type="pct" w:w="3731"/>
            <w:tcBorders>
              <w:top w:space="0" w:sz="4" w:color="auto" w:val="single"/>
              <w:left w:val="nil"/>
              <w:bottom w:space="0" w:sz="4" w:color="auto" w:val="single"/>
              <w:right w:space="0" w:sz="4" w:color="000000" w:val="single"/>
            </w:tcBorders>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EXPORTDRVO DD, OIB:89462181048, MARULIĆEV TRG 18, 10000 ZAGREB</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2.409.325,98</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3</w:t>
            </w:r>
          </w:p>
        </w:tc>
        <w:tc>
          <w:tcPr>
            <w:tcW w:type="pct" w:w="3731"/>
            <w:tcBorders>
              <w:top w:space="0" w:sz="4" w:color="auto" w:val="single"/>
              <w:left w:val="nil"/>
              <w:bottom w:space="0" w:sz="4" w:color="auto" w:val="single"/>
              <w:right w:space="0" w:sz="4" w:color="000000" w:val="single"/>
            </w:tcBorders>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FINANCIJSKA AGENCIJA, OIB:85821130368, ULICA GRADA VUKOVARA 70  100000 ZAGREB</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1.782,31</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4</w:t>
            </w:r>
          </w:p>
        </w:tc>
        <w:tc>
          <w:tcPr>
            <w:tcW w:type="pct" w:w="3731"/>
            <w:tcBorders>
              <w:top w:space="0" w:sz="4" w:color="auto" w:val="single"/>
              <w:left w:val="nil"/>
              <w:bottom w:space="0" w:sz="4" w:color="auto" w:val="single"/>
              <w:right w:space="0" w:sz="4" w:color="000000" w:val="single"/>
            </w:tcBorders>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VIPNET D.O.O., OIB:29524210204, VRTNI PUT 1  100000 ZAGREB</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83.295,53</w:t>
            </w:r>
          </w:p>
        </w:tc>
      </w:tr>
      <w:tr w:rsidTr="00126DDF" w:rsidR="000304C7" w:rsidRPr="002A1970">
        <w:trPr>
          <w:trHeight w:val="430"/>
        </w:trPr>
        <w:tc>
          <w:tcPr>
            <w:tcW w:type="pct" w:w="325"/>
            <w:tcBorders>
              <w:top w:space="0" w:sz="4" w:color="auto" w:val="single"/>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5</w:t>
            </w:r>
          </w:p>
        </w:tc>
        <w:tc>
          <w:tcPr>
            <w:tcW w:type="pct" w:w="3731"/>
            <w:tcBorders>
              <w:top w:space="0" w:sz="4" w:color="auto" w:val="single"/>
              <w:left w:val="nil"/>
              <w:bottom w:space="0" w:sz="4" w:color="auto" w:val="single"/>
              <w:right w:space="0" w:sz="4" w:color="000000"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CROATIA OSIGURANJE DD ZAGREB, OIB:26187994862, VATROSLAVA JAGIĆA 33,  10000 ZAGREB</w:t>
            </w:r>
          </w:p>
        </w:tc>
        <w:tc>
          <w:tcPr>
            <w:tcW w:type="pct" w:w="944"/>
            <w:tcBorders>
              <w:top w:space="0" w:sz="4" w:color="auto" w:val="single"/>
              <w:left w:val="nil"/>
              <w:bottom w:space="0" w:sz="4" w:color="auto" w:val="single"/>
              <w:right w:space="0" w:sz="4" w:color="auto" w:val="single"/>
            </w:tcBorders>
            <w:shd w:fill="FFFFFF" w:color="auto" w:val="clear"/>
            <w:vAlign w:val="center"/>
            <w:hideMark/>
          </w:tcPr>
          <w:p w:rsidRDefault="000304C7" w:rsidP="00126DDF" w:rsidR="000304C7" w:rsidRPr="002A1970">
            <w:pPr>
              <w:rPr>
                <w:rFonts w:cs="Calibri"/>
                <w:sz w:val="20"/>
                <w:szCs w:val="20"/>
              </w:rPr>
            </w:pPr>
            <w:r w:rsidRPr="002A1970">
              <w:rPr>
                <w:rFonts w:cs="Calibri"/>
                <w:sz w:val="20"/>
                <w:szCs w:val="20"/>
              </w:rPr>
              <w:t>4.277,35</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6</w:t>
            </w:r>
          </w:p>
        </w:tc>
        <w:tc>
          <w:tcPr>
            <w:tcW w:type="pct" w:w="3731"/>
            <w:tcBorders>
              <w:top w:space="0" w:sz="4" w:color="auto" w:val="single"/>
              <w:left w:val="nil"/>
              <w:bottom w:space="0" w:sz="4" w:color="auto" w:val="single"/>
              <w:right w:space="0" w:sz="4" w:color="000000" w:val="single"/>
            </w:tcBorders>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HRVATSKE ŠUME D.O.O., OIB:69693144506, LJ.F.VUKOTINOVIĆA 2  10000 ZAGREB</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3.627.553,85</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7</w:t>
            </w:r>
          </w:p>
        </w:tc>
        <w:tc>
          <w:tcPr>
            <w:tcW w:type="pct" w:w="3731"/>
            <w:tcBorders>
              <w:top w:space="0" w:sz="4" w:color="auto" w:val="single"/>
              <w:left w:val="nil"/>
              <w:bottom w:space="0" w:sz="4" w:color="auto" w:val="single"/>
              <w:right w:space="0" w:sz="4" w:color="000000"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RAIFFEISENBANK AUSTRIA DD, OIB:53056966535, MAGAZINSKA CESTA 69  10000 ZAGREB</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97.545,17</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8</w:t>
            </w:r>
          </w:p>
        </w:tc>
        <w:tc>
          <w:tcPr>
            <w:tcW w:type="pct" w:w="3731"/>
            <w:tcBorders>
              <w:top w:space="0" w:sz="4" w:color="auto" w:val="single"/>
              <w:left w:val="nil"/>
              <w:bottom w:space="0" w:sz="4" w:color="auto" w:val="single"/>
              <w:right w:space="0" w:sz="4" w:color="000000"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SLATINSKA BANKA DD, OIB:42252496579, V. NAZORA 2,  33520 SLATINA</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1.674,25</w:t>
            </w:r>
          </w:p>
        </w:tc>
      </w:tr>
      <w:tr w:rsidTr="00126DDF" w:rsidR="000304C7">
        <w:trPr>
          <w:trHeight w:val="430"/>
        </w:trPr>
        <w:tc>
          <w:tcPr>
            <w:tcW w:type="pct" w:w="325"/>
            <w:tcBorders>
              <w:top w:val="nil"/>
              <w:left w:space="0" w:sz="4" w:color="auto" w:val="single"/>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9</w:t>
            </w:r>
          </w:p>
        </w:tc>
        <w:tc>
          <w:tcPr>
            <w:tcW w:type="pct" w:w="3731"/>
            <w:tcBorders>
              <w:top w:space="0" w:sz="4" w:color="auto" w:val="single"/>
              <w:left w:val="nil"/>
              <w:bottom w:space="0" w:sz="4" w:color="auto" w:val="single"/>
              <w:right w:space="0" w:sz="4" w:color="000000" w:val="single"/>
            </w:tcBorders>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RH, MF, POREZNA UPRAVA, PODRUČNI URED SLAVONIJA I BARANJA, OIB:18683136487, KATANČIĆEVA 5/A  10000 ZAGREB</w:t>
            </w:r>
          </w:p>
        </w:tc>
        <w:tc>
          <w:tcPr>
            <w:tcW w:type="pct" w:w="944"/>
            <w:tcBorders>
              <w:top w:val="nil"/>
              <w:left w:val="nil"/>
              <w:bottom w:space="0" w:sz="4" w:color="auto" w:val="single"/>
              <w:right w:space="0" w:sz="4" w:color="auto" w:val="single"/>
            </w:tcBorders>
            <w:noWrap/>
            <w:vAlign w:val="center"/>
            <w:hideMark/>
          </w:tcPr>
          <w:p w:rsidRDefault="000304C7" w:rsidP="00126DDF" w:rsidR="000304C7" w:rsidRPr="002A1970">
            <w:pPr>
              <w:rPr>
                <w:rFonts w:cs="Calibri"/>
                <w:color w:val="000000"/>
                <w:sz w:val="20"/>
                <w:szCs w:val="20"/>
              </w:rPr>
            </w:pPr>
            <w:r w:rsidRPr="002A1970">
              <w:rPr>
                <w:rFonts w:cs="Calibri"/>
                <w:color w:val="000000"/>
                <w:sz w:val="20"/>
                <w:szCs w:val="20"/>
              </w:rPr>
              <w:t>1.942.569,16</w:t>
            </w:r>
          </w:p>
        </w:tc>
      </w:tr>
    </w:tbl>
    <w:p w:rsidRDefault="000304C7" w:rsidP="000304C7" w:rsidR="000304C7">
      <w:pPr>
        <w:rPr>
          <w:rFonts w:eastAsia="Calibri" w:hAnsi="Calibri" w:ascii="Calibri"/>
          <w:sz w:val="22"/>
          <w:szCs w:val="22"/>
          <w:lang w:eastAsia="en-US"/>
        </w:rPr>
      </w:pPr>
    </w:p>
    <w:p w:rsidRDefault="000304C7" w:rsidP="000304C7" w:rsidR="000304C7" w:rsidRPr="002A1970">
      <w:pPr>
        <w:jc w:val="both"/>
        <w:rPr>
          <w:lang w:val="pl-PL"/>
        </w:rPr>
      </w:pPr>
      <w:r>
        <w:rPr>
          <w:rFonts w:hAnsi="Calibri Light" w:ascii="Calibri Light"/>
          <w:lang w:val="pl-PL"/>
        </w:rPr>
        <w:tab/>
      </w:r>
      <w:r w:rsidRPr="002A1970">
        <w:rPr>
          <w:lang w:val="pl-PL"/>
        </w:rPr>
        <w:t xml:space="preserve">Razlučni vjerovnik vjerovnik </w:t>
      </w:r>
      <w:r w:rsidRPr="002A1970">
        <w:t>RH, Ministarstvo financija, Porezna uprava</w:t>
      </w:r>
      <w:r w:rsidRPr="002A1970">
        <w:rPr>
          <w:lang w:val="pl-PL"/>
        </w:rPr>
        <w:t xml:space="preserve"> namiren je u iznosu od  61.130,61 kn.</w:t>
      </w:r>
    </w:p>
    <w:p w:rsidRDefault="000304C7" w:rsidP="000304C7" w:rsidR="000304C7" w:rsidRPr="002A1970">
      <w:pPr>
        <w:jc w:val="both"/>
        <w:rPr>
          <w:lang w:val="pl-PL"/>
        </w:rPr>
      </w:pPr>
    </w:p>
    <w:p w:rsidRDefault="000304C7" w:rsidP="00617B7A" w:rsidR="00617B7A" w:rsidRPr="000304C7">
      <w:pPr>
        <w:jc w:val="both"/>
      </w:pPr>
      <w:r w:rsidRPr="002A1970">
        <w:tab/>
        <w:t>Preostali iznos na žiro računu predviđen je kao trošak zatvaranja žiro računa dužnika po zaključenju ovog stečajnog postupka. Ukoliko nakon zatvaranju žiro računa stečajnog dužnika ostanu novčana sredstva, ista će biti doznačena na račun Trgovačkog suda u Osijeku radi uplate u Fond za pokriće troškova stečajnih postupaka iz čl. 39.a. Stečajnog zakona.</w:t>
      </w:r>
    </w:p>
    <w:p w:rsidRDefault="00617B7A" w:rsidP="00617B7A" w:rsidR="00617B7A">
      <w:pPr>
        <w:jc w:val="both"/>
        <w:rPr>
          <w:bCs/>
        </w:rPr>
      </w:pPr>
    </w:p>
    <w:p w:rsidRDefault="00BA67BA" w:rsidP="00831A8C" w:rsidR="00BA67BA">
      <w:pPr>
        <w:jc w:val="both"/>
        <w:rPr>
          <w:bCs/>
        </w:rPr>
      </w:pPr>
      <w:r>
        <w:rPr>
          <w:bCs/>
        </w:rPr>
        <w:tab/>
        <w:t xml:space="preserve">Slijedom navedenoga, kako su svi poslovi u ovom stečajnom postupku dovršeni, sud je temeljem čl. 196. </w:t>
      </w:r>
      <w:r w:rsidRPr="000029DD">
        <w:t>Stečajnog zakona (NN 44/96, 29/99, 129/00, 123/03, 82/06, 116/10, 25/12 i 133/12), a u vezi s čl. 441. Stečajnog zakona (NN 71/15)</w:t>
      </w:r>
      <w:r>
        <w:t xml:space="preserve"> </w:t>
      </w:r>
      <w:r>
        <w:rPr>
          <w:bCs/>
        </w:rPr>
        <w:t>odlučio kao u izreci.</w:t>
      </w:r>
      <w:r>
        <w:rPr>
          <w:bCs/>
        </w:rPr>
        <w:tab/>
      </w:r>
    </w:p>
    <w:p w:rsidRDefault="00BA67BA" w:rsidP="00BA67BA" w:rsidR="00BA67BA">
      <w:pPr>
        <w:jc w:val="both"/>
        <w:rPr>
          <w:bCs/>
        </w:rPr>
      </w:pPr>
    </w:p>
    <w:p w:rsidRDefault="00617B7A" w:rsidP="00BA67BA" w:rsidR="00617B7A" w:rsidRPr="00EC66E7">
      <w:pPr>
        <w:jc w:val="both"/>
        <w:rPr>
          <w:bCs/>
        </w:rPr>
      </w:pPr>
    </w:p>
    <w:p w:rsidRDefault="00BA67BA" w:rsidP="00BA67BA" w:rsidR="00BA67BA">
      <w:pPr>
        <w:pStyle w:val="Tijeloteksta"/>
        <w:jc w:val="center"/>
      </w:pPr>
      <w:r w:rsidRPr="00103F4A">
        <w:t xml:space="preserve">U Osijeku </w:t>
      </w:r>
      <w:r w:rsidR="0049367B">
        <w:t>15</w:t>
      </w:r>
      <w:r w:rsidR="004733A0" w:rsidRPr="004733A0">
        <w:t xml:space="preserve">. </w:t>
      </w:r>
      <w:r w:rsidR="0049367B">
        <w:t>veljače</w:t>
      </w:r>
      <w:r w:rsidR="004733A0" w:rsidRPr="004733A0">
        <w:t xml:space="preserve"> 2018</w:t>
      </w:r>
      <w:r w:rsidRPr="00103F4A">
        <w:t xml:space="preserve">. </w:t>
      </w:r>
    </w:p>
    <w:p w:rsidRDefault="00BA67BA" w:rsidP="00BA67BA" w:rsidR="00BA67BA" w:rsidRPr="00103F4A">
      <w:pPr>
        <w:pStyle w:val="Tijeloteksta"/>
      </w:pPr>
    </w:p>
    <w:p w:rsidRDefault="00BA67BA" w:rsidP="00BA67BA" w:rsidR="00BA67BA" w:rsidRPr="00103F4A">
      <w:pPr>
        <w:pStyle w:val="Tijeloteksta"/>
      </w:pPr>
      <w:r w:rsidRPr="00103F4A">
        <w:t>Zapisničar:</w:t>
      </w:r>
      <w:r w:rsidRPr="00103F4A">
        <w:tab/>
      </w:r>
      <w:r w:rsidRPr="00103F4A">
        <w:tab/>
      </w:r>
      <w:r w:rsidRPr="00103F4A">
        <w:tab/>
      </w:r>
      <w:r w:rsidRPr="00103F4A">
        <w:tab/>
      </w:r>
      <w:r w:rsidRPr="00103F4A">
        <w:tab/>
      </w:r>
      <w:r w:rsidRPr="00103F4A">
        <w:tab/>
      </w:r>
      <w:r w:rsidRPr="00103F4A">
        <w:tab/>
      </w:r>
      <w:r w:rsidRPr="00103F4A">
        <w:tab/>
        <w:t>STEČAJNI SUDAC:</w:t>
      </w:r>
    </w:p>
    <w:p w:rsidRDefault="004733A0" w:rsidP="00BA67BA" w:rsidR="00BA67BA" w:rsidRPr="00103F4A">
      <w:pPr>
        <w:pStyle w:val="Tijeloteksta"/>
      </w:pPr>
      <w:r>
        <w:t>Elizabeta Đeke</w:t>
      </w:r>
      <w:r w:rsidR="002F3CC4">
        <w:tab/>
      </w:r>
      <w:r>
        <w:tab/>
      </w:r>
      <w:r>
        <w:tab/>
      </w:r>
      <w:r>
        <w:tab/>
      </w:r>
      <w:r>
        <w:tab/>
      </w:r>
      <w:r>
        <w:tab/>
        <w:t xml:space="preserve">       </w:t>
      </w:r>
      <w:r w:rsidR="00BA67BA" w:rsidRPr="00103F4A">
        <w:t>mr. sc. Tihomir Kovačević</w:t>
      </w:r>
    </w:p>
    <w:p w:rsidRDefault="00BA67BA" w:rsidP="00BA67BA" w:rsidR="00BA67BA">
      <w:pPr>
        <w:pStyle w:val="Tijeloteksta"/>
        <w:rPr>
          <w:b/>
          <w:bCs/>
        </w:rPr>
      </w:pPr>
    </w:p>
    <w:p w:rsidRDefault="00831A8C" w:rsidP="00BA67BA" w:rsidR="00831A8C">
      <w:pPr>
        <w:pStyle w:val="Tijeloteksta"/>
        <w:rPr>
          <w:b/>
          <w:bCs/>
        </w:rPr>
      </w:pPr>
    </w:p>
    <w:p w:rsidRDefault="00BA67BA" w:rsidP="00BA67BA" w:rsidR="00BA67BA" w:rsidRPr="003E14CC">
      <w:pPr>
        <w:pStyle w:val="Tijeloteksta"/>
        <w:rPr>
          <w:bCs/>
        </w:rPr>
      </w:pPr>
      <w:r>
        <w:rPr>
          <w:bCs/>
        </w:rPr>
        <w:t>POUKA</w:t>
      </w:r>
      <w:r w:rsidRPr="003E14CC">
        <w:rPr>
          <w:bCs/>
        </w:rPr>
        <w:t xml:space="preserve"> O PRAVNOM LIJEKU:</w:t>
      </w:r>
    </w:p>
    <w:p w:rsidRDefault="00BA67BA" w:rsidP="00BA67BA" w:rsidR="00BA67B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31A8C" w:rsidP="00BA67BA" w:rsidR="00831A8C">
      <w:pPr>
        <w:pStyle w:val="Tijeloteksta"/>
        <w:rPr>
          <w:b/>
          <w:bCs/>
        </w:rPr>
      </w:pPr>
    </w:p>
    <w:p w:rsidRDefault="00BA67BA" w:rsidP="00BA67BA" w:rsidR="00BA67BA" w:rsidRPr="00103F4A">
      <w:pPr>
        <w:pStyle w:val="Tijeloteksta"/>
      </w:pPr>
      <w:r w:rsidRPr="00103F4A">
        <w:t>D N A :</w:t>
      </w:r>
    </w:p>
    <w:p w:rsidRDefault="00BA67BA" w:rsidP="00701C73" w:rsidR="00BA67BA">
      <w:pPr>
        <w:pStyle w:val="Tijeloteksta"/>
        <w:numPr>
          <w:ilvl w:val="0"/>
          <w:numId w:val="2"/>
        </w:numPr>
        <w:rPr>
          <w:bCs/>
        </w:rPr>
      </w:pPr>
      <w:r>
        <w:rPr>
          <w:bCs/>
        </w:rPr>
        <w:t>Stečajn</w:t>
      </w:r>
      <w:r w:rsidR="00AF4378">
        <w:rPr>
          <w:bCs/>
        </w:rPr>
        <w:t>i</w:t>
      </w:r>
      <w:r>
        <w:rPr>
          <w:bCs/>
        </w:rPr>
        <w:t xml:space="preserve"> upravitelj</w:t>
      </w:r>
      <w:r w:rsidR="006275BA">
        <w:rPr>
          <w:bCs/>
        </w:rPr>
        <w:t xml:space="preserve"> </w:t>
      </w:r>
      <w:r w:rsidR="0049367B">
        <w:rPr>
          <w:bCs/>
        </w:rPr>
        <w:t>Tihomir Zec</w:t>
      </w:r>
    </w:p>
    <w:p w:rsidRDefault="00BA67BA" w:rsidP="00701C73" w:rsidR="00BA67BA">
      <w:pPr>
        <w:pStyle w:val="Tijeloteksta"/>
        <w:numPr>
          <w:ilvl w:val="0"/>
          <w:numId w:val="2"/>
        </w:numPr>
        <w:rPr>
          <w:bCs/>
        </w:rPr>
      </w:pPr>
      <w:r>
        <w:rPr>
          <w:bCs/>
        </w:rPr>
        <w:t xml:space="preserve">ŽDO GUO </w:t>
      </w:r>
      <w:r w:rsidR="00617B7A">
        <w:rPr>
          <w:bCs/>
        </w:rPr>
        <w:t>Osijek</w:t>
      </w:r>
    </w:p>
    <w:p w:rsidRDefault="00BA67BA" w:rsidP="00701C73" w:rsidR="00BA67BA">
      <w:pPr>
        <w:pStyle w:val="Tijeloteksta"/>
        <w:numPr>
          <w:ilvl w:val="0"/>
          <w:numId w:val="2"/>
        </w:numPr>
        <w:rPr>
          <w:bCs/>
        </w:rPr>
      </w:pPr>
      <w:r>
        <w:rPr>
          <w:bCs/>
        </w:rPr>
        <w:t xml:space="preserve">FINA </w:t>
      </w:r>
      <w:r w:rsidR="00617B7A">
        <w:rPr>
          <w:bCs/>
        </w:rPr>
        <w:t>Osijek</w:t>
      </w:r>
    </w:p>
    <w:p w:rsidRDefault="00BA67BA" w:rsidP="00701C73" w:rsidR="00BA67BA">
      <w:pPr>
        <w:pStyle w:val="Tijeloteksta"/>
        <w:numPr>
          <w:ilvl w:val="0"/>
          <w:numId w:val="2"/>
        </w:numPr>
        <w:rPr>
          <w:bCs/>
        </w:rPr>
      </w:pPr>
      <w:r>
        <w:rPr>
          <w:bCs/>
        </w:rPr>
        <w:t xml:space="preserve">Porezna uprava </w:t>
      </w:r>
      <w:r w:rsidR="00617B7A">
        <w:rPr>
          <w:bCs/>
        </w:rPr>
        <w:t>Osijek</w:t>
      </w:r>
    </w:p>
    <w:p w:rsidRDefault="00EF5512" w:rsidP="00701C73" w:rsidR="00BA67BA">
      <w:pPr>
        <w:pStyle w:val="Tijeloteksta"/>
        <w:numPr>
          <w:ilvl w:val="0"/>
          <w:numId w:val="2"/>
        </w:numPr>
        <w:rPr>
          <w:bCs/>
        </w:rPr>
      </w:pPr>
      <w:r>
        <w:rPr>
          <w:bCs/>
        </w:rPr>
        <w:t>Sudski r</w:t>
      </w:r>
      <w:r w:rsidR="00BA67BA">
        <w:rPr>
          <w:bCs/>
        </w:rPr>
        <w:t>egistar</w:t>
      </w:r>
      <w:r w:rsidR="001C3545">
        <w:rPr>
          <w:bCs/>
        </w:rPr>
        <w:t xml:space="preserve"> </w:t>
      </w:r>
      <w:r w:rsidR="00BA67BA">
        <w:rPr>
          <w:bCs/>
        </w:rPr>
        <w:t>– nakon pravomoćnosti</w:t>
      </w:r>
    </w:p>
    <w:p w:rsidRDefault="00A654AA" w:rsidP="00701C73" w:rsidR="00A654AA">
      <w:pPr>
        <w:pStyle w:val="Tijeloteksta"/>
        <w:numPr>
          <w:ilvl w:val="0"/>
          <w:numId w:val="2"/>
        </w:numPr>
        <w:rPr>
          <w:bCs/>
        </w:rPr>
      </w:pPr>
      <w:r>
        <w:rPr>
          <w:bCs/>
        </w:rPr>
        <w:t>Ministarstvo pravosuđa elektroničkom poštom nakon pravomoćnosti</w:t>
      </w:r>
    </w:p>
    <w:p w:rsidRDefault="00BA67BA" w:rsidP="00701C73" w:rsidR="00BA67BA">
      <w:pPr>
        <w:pStyle w:val="Tijeloteksta"/>
        <w:numPr>
          <w:ilvl w:val="0"/>
          <w:numId w:val="2"/>
        </w:numPr>
        <w:rPr>
          <w:bCs/>
        </w:rPr>
      </w:pPr>
      <w:r w:rsidRPr="00682B6E">
        <w:t>mrežna stranica e-Oglasna ploča sudova</w:t>
      </w:r>
      <w:r>
        <w:rPr>
          <w:bCs/>
        </w:rPr>
        <w:t xml:space="preserve"> </w:t>
      </w:r>
    </w:p>
    <w:p w:rsidRDefault="001B20D2" w:rsidP="00701C73" w:rsidR="00DE1B64" w:rsidRPr="00C12A11">
      <w:pPr>
        <w:pStyle w:val="Tijeloteksta"/>
        <w:numPr>
          <w:ilvl w:val="0"/>
          <w:numId w:val="2"/>
        </w:numPr>
        <w:rPr>
          <w:bCs/>
        </w:rPr>
      </w:pPr>
      <w:r>
        <w:rPr>
          <w:bCs/>
        </w:rPr>
        <w:t>Rj. zaključenjem</w:t>
      </w:r>
    </w:p>
    <w:sectPr w:rsidR="00DE1B64" w:rsidRPr="00C12A11">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5358" w:rsidR="00A75358">
      <w:r>
        <w:separator/>
      </w:r>
    </w:p>
  </w:endnote>
  <w:endnote w:id="0" w:type="continuationSeparator">
    <w:p w:rsidRDefault="00A75358" w:rsidR="00A753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5358" w:rsidR="00A75358">
      <w:r>
        <w:separator/>
      </w:r>
    </w:p>
  </w:footnote>
  <w:footnote w:id="0" w:type="continuationSeparator">
    <w:p w:rsidRDefault="00A75358" w:rsidR="00A753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6C88" w:rsidR="00206C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036C">
      <w:rPr>
        <w:rStyle w:val="Brojstranice"/>
        <w:noProof/>
      </w:rPr>
      <w:t>4</w:t>
    </w:r>
    <w:r>
      <w:rPr>
        <w:rStyle w:val="Brojstranice"/>
      </w:rPr>
      <w:fldChar w:fldCharType="end"/>
    </w:r>
  </w:p>
  <w:p w:rsidRDefault="00206C88" w:rsidR="00206C88">
    <w:pPr>
      <w:pStyle w:val="Zaglavlje"/>
    </w:pPr>
  </w:p>
  <w:p w:rsidRDefault="00206C88" w:rsidR="00206C88">
    <w:pPr>
      <w:pStyle w:val="Zaglavlje"/>
    </w:pPr>
  </w:p>
  <w:p w:rsidRDefault="00A856E7" w:rsidP="00DE1B64" w:rsidR="00A856E7">
    <w:pPr>
      <w:ind w:firstLine="708" w:left="5664"/>
    </w:pPr>
    <w:r>
      <w:tab/>
    </w:r>
    <w:r w:rsidR="00A70F77" w:rsidRPr="00A70F77">
      <w:t>14 St-</w:t>
    </w:r>
    <w:r w:rsidR="000D11DD" w:rsidRPr="000D11DD">
      <w:t>1784/16-</w:t>
    </w:r>
    <w:r w:rsidR="0002489C">
      <w:t>5</w:t>
    </w:r>
    <w:r w:rsidR="000D11DD" w:rsidRPr="000D11DD">
      <w:t>4</w:t>
    </w:r>
  </w:p>
  <w:p w:rsidRDefault="00206C88" w:rsidR="00206C88">
    <w:pPr>
      <w:pStyle w:val="Zaglavlje"/>
    </w:pP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C88" w:rsidR="00206C88">
    <w:pPr>
      <w:pStyle w:val="Zaglavlje"/>
    </w:pPr>
  </w:p>
  <w:p w:rsidRDefault="00206C88" w:rsidP="00A845FF" w:rsidR="00206C8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pos="0" w:val="num"/>
        </w:tabs>
        <w:ind w:hanging="360" w:left="720"/>
      </w:pPr>
    </w:lvl>
  </w:abstractNum>
  <w:abstractNum w:abstractNumId="1">
    <w:nsid w:val="0EFE485B"/>
    <w:multiLevelType w:val="hybridMultilevel"/>
    <w:tmpl w:val="FD6E2698"/>
    <w:lvl w:tplc="041A0017" w:ilvl="0">
      <w:start w:val="1"/>
      <w:numFmt w:val="lowerLetter"/>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8D46D0D"/>
    <w:multiLevelType w:val="hybridMultilevel"/>
    <w:tmpl w:val="D54E8D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19576C0"/>
    <w:multiLevelType w:val="hybridMultilevel"/>
    <w:tmpl w:val="0E064934"/>
    <w:lvl w:tplc="041A000F" w:ilvl="0">
      <w:start w:val="1"/>
      <w:numFmt w:val="decimal"/>
      <w:lvlText w:val="%1."/>
      <w:lvlJc w:val="left"/>
      <w:pPr>
        <w:tabs>
          <w:tab w:pos="2130" w:val="num"/>
        </w:tabs>
        <w:ind w:hanging="360" w:left="2130"/>
      </w:pPr>
    </w:lvl>
    <w:lvl w:tplc="E53479E2" w:ilvl="1">
      <w:start w:val="1"/>
      <w:numFmt w:val="bullet"/>
      <w:lvlText w:val=""/>
      <w:lvlJc w:val="left"/>
      <w:pPr>
        <w:tabs>
          <w:tab w:pos="2850" w:val="num"/>
        </w:tabs>
        <w:ind w:hanging="360" w:left="2850"/>
      </w:pPr>
      <w:rPr>
        <w:rFonts w:hAnsi="Symbol" w:ascii="Symbol" w:hint="default"/>
      </w:rPr>
    </w:lvl>
    <w:lvl w:tentative="true" w:tplc="041A001B" w:ilvl="2">
      <w:start w:val="1"/>
      <w:numFmt w:val="lowerRoman"/>
      <w:lvlText w:val="%3."/>
      <w:lvlJc w:val="right"/>
      <w:pPr>
        <w:tabs>
          <w:tab w:pos="3570" w:val="num"/>
        </w:tabs>
        <w:ind w:hanging="180" w:left="3570"/>
      </w:pPr>
    </w:lvl>
    <w:lvl w:tentative="true" w:tplc="041A000F" w:ilvl="3">
      <w:start w:val="1"/>
      <w:numFmt w:val="decimal"/>
      <w:lvlText w:val="%4."/>
      <w:lvlJc w:val="left"/>
      <w:pPr>
        <w:tabs>
          <w:tab w:pos="4290" w:val="num"/>
        </w:tabs>
        <w:ind w:hanging="360" w:left="4290"/>
      </w:pPr>
    </w:lvl>
    <w:lvl w:tentative="true" w:tplc="041A0019" w:ilvl="4">
      <w:start w:val="1"/>
      <w:numFmt w:val="lowerLetter"/>
      <w:lvlText w:val="%5."/>
      <w:lvlJc w:val="left"/>
      <w:pPr>
        <w:tabs>
          <w:tab w:pos="5010" w:val="num"/>
        </w:tabs>
        <w:ind w:hanging="360" w:left="5010"/>
      </w:pPr>
    </w:lvl>
    <w:lvl w:tentative="true" w:tplc="041A001B" w:ilvl="5">
      <w:start w:val="1"/>
      <w:numFmt w:val="lowerRoman"/>
      <w:lvlText w:val="%6."/>
      <w:lvlJc w:val="right"/>
      <w:pPr>
        <w:tabs>
          <w:tab w:pos="5730" w:val="num"/>
        </w:tabs>
        <w:ind w:hanging="180" w:left="5730"/>
      </w:pPr>
    </w:lvl>
    <w:lvl w:tentative="true" w:tplc="041A000F" w:ilvl="6">
      <w:start w:val="1"/>
      <w:numFmt w:val="decimal"/>
      <w:lvlText w:val="%7."/>
      <w:lvlJc w:val="left"/>
      <w:pPr>
        <w:tabs>
          <w:tab w:pos="6450" w:val="num"/>
        </w:tabs>
        <w:ind w:hanging="360" w:left="6450"/>
      </w:pPr>
    </w:lvl>
    <w:lvl w:tentative="true" w:tplc="041A0019" w:ilvl="7">
      <w:start w:val="1"/>
      <w:numFmt w:val="lowerLetter"/>
      <w:lvlText w:val="%8."/>
      <w:lvlJc w:val="left"/>
      <w:pPr>
        <w:tabs>
          <w:tab w:pos="7170" w:val="num"/>
        </w:tabs>
        <w:ind w:hanging="360" w:left="7170"/>
      </w:pPr>
    </w:lvl>
    <w:lvl w:tentative="true" w:tplc="041A001B" w:ilvl="8">
      <w:start w:val="1"/>
      <w:numFmt w:val="lowerRoman"/>
      <w:lvlText w:val="%9."/>
      <w:lvlJc w:val="right"/>
      <w:pPr>
        <w:tabs>
          <w:tab w:pos="7890" w:val="num"/>
        </w:tabs>
        <w:ind w:hanging="180" w:left="7890"/>
      </w:pPr>
    </w:lvl>
  </w:abstractNum>
  <w:abstractNum w:abstractNumId="4">
    <w:nsid w:val="5C270E1F"/>
    <w:multiLevelType w:val="hybridMultilevel"/>
    <w:tmpl w:val="CCEACB7E"/>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00D75C1"/>
    <w:multiLevelType w:val="hybridMultilevel"/>
    <w:tmpl w:val="D5D4BA0C"/>
    <w:lvl w:tplc="B4F471A2" w:ilvl="0">
      <w:start w:val="13"/>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1A14"/>
    <w:rsid w:val="0002036C"/>
    <w:rsid w:val="0002489C"/>
    <w:rsid w:val="000304C7"/>
    <w:rsid w:val="000310DC"/>
    <w:rsid w:val="0003783B"/>
    <w:rsid w:val="00040E20"/>
    <w:rsid w:val="00044659"/>
    <w:rsid w:val="00054F22"/>
    <w:rsid w:val="00075F57"/>
    <w:rsid w:val="00081248"/>
    <w:rsid w:val="00083ABF"/>
    <w:rsid w:val="00094BE2"/>
    <w:rsid w:val="00094C57"/>
    <w:rsid w:val="00095810"/>
    <w:rsid w:val="000958BE"/>
    <w:rsid w:val="000A039F"/>
    <w:rsid w:val="000D11DD"/>
    <w:rsid w:val="000F3D12"/>
    <w:rsid w:val="00100543"/>
    <w:rsid w:val="00103F4A"/>
    <w:rsid w:val="0011403A"/>
    <w:rsid w:val="00135655"/>
    <w:rsid w:val="001373E8"/>
    <w:rsid w:val="00137DB8"/>
    <w:rsid w:val="001515D3"/>
    <w:rsid w:val="00167A86"/>
    <w:rsid w:val="001750BB"/>
    <w:rsid w:val="00181003"/>
    <w:rsid w:val="001811C8"/>
    <w:rsid w:val="001A5F92"/>
    <w:rsid w:val="001B20D2"/>
    <w:rsid w:val="001B54E4"/>
    <w:rsid w:val="001C3545"/>
    <w:rsid w:val="001C5BD5"/>
    <w:rsid w:val="001D26E6"/>
    <w:rsid w:val="001D381D"/>
    <w:rsid w:val="001D4A41"/>
    <w:rsid w:val="001E09BA"/>
    <w:rsid w:val="001E3438"/>
    <w:rsid w:val="001F06F4"/>
    <w:rsid w:val="00206C88"/>
    <w:rsid w:val="00223D03"/>
    <w:rsid w:val="00226EAF"/>
    <w:rsid w:val="002349C2"/>
    <w:rsid w:val="00241592"/>
    <w:rsid w:val="002458D0"/>
    <w:rsid w:val="00246B80"/>
    <w:rsid w:val="002565B7"/>
    <w:rsid w:val="002715E2"/>
    <w:rsid w:val="00296C78"/>
    <w:rsid w:val="002A594D"/>
    <w:rsid w:val="002B2202"/>
    <w:rsid w:val="002B371C"/>
    <w:rsid w:val="002C1650"/>
    <w:rsid w:val="002E350A"/>
    <w:rsid w:val="002E599A"/>
    <w:rsid w:val="002E60AD"/>
    <w:rsid w:val="002F3CC4"/>
    <w:rsid w:val="002F6EA6"/>
    <w:rsid w:val="00320A2E"/>
    <w:rsid w:val="00327B93"/>
    <w:rsid w:val="00344231"/>
    <w:rsid w:val="003550FD"/>
    <w:rsid w:val="00357645"/>
    <w:rsid w:val="00384815"/>
    <w:rsid w:val="00390157"/>
    <w:rsid w:val="003C0F50"/>
    <w:rsid w:val="003D5428"/>
    <w:rsid w:val="003D7EAA"/>
    <w:rsid w:val="0040253E"/>
    <w:rsid w:val="00403C9C"/>
    <w:rsid w:val="00407D1F"/>
    <w:rsid w:val="0042313C"/>
    <w:rsid w:val="00441686"/>
    <w:rsid w:val="0045408F"/>
    <w:rsid w:val="004541A6"/>
    <w:rsid w:val="004545C2"/>
    <w:rsid w:val="004663C6"/>
    <w:rsid w:val="004733A0"/>
    <w:rsid w:val="00491A8A"/>
    <w:rsid w:val="00492E80"/>
    <w:rsid w:val="0049367B"/>
    <w:rsid w:val="004B65E2"/>
    <w:rsid w:val="004C7E58"/>
    <w:rsid w:val="004D097A"/>
    <w:rsid w:val="004D2F6A"/>
    <w:rsid w:val="004E1227"/>
    <w:rsid w:val="004E25E7"/>
    <w:rsid w:val="00505956"/>
    <w:rsid w:val="00507725"/>
    <w:rsid w:val="00520023"/>
    <w:rsid w:val="00520C2A"/>
    <w:rsid w:val="00532969"/>
    <w:rsid w:val="00534F57"/>
    <w:rsid w:val="00543AF2"/>
    <w:rsid w:val="00553818"/>
    <w:rsid w:val="00555E5B"/>
    <w:rsid w:val="005871D0"/>
    <w:rsid w:val="00590BC9"/>
    <w:rsid w:val="005A1A97"/>
    <w:rsid w:val="005A5B6D"/>
    <w:rsid w:val="005B4322"/>
    <w:rsid w:val="005C209B"/>
    <w:rsid w:val="005F5DF5"/>
    <w:rsid w:val="00605F2A"/>
    <w:rsid w:val="00617B7A"/>
    <w:rsid w:val="006275BA"/>
    <w:rsid w:val="0063233F"/>
    <w:rsid w:val="006432FC"/>
    <w:rsid w:val="006537AB"/>
    <w:rsid w:val="00691B18"/>
    <w:rsid w:val="006A0C9C"/>
    <w:rsid w:val="006B7CF2"/>
    <w:rsid w:val="006D54D3"/>
    <w:rsid w:val="006F3FA2"/>
    <w:rsid w:val="00701C73"/>
    <w:rsid w:val="0071469E"/>
    <w:rsid w:val="007207E2"/>
    <w:rsid w:val="007403F2"/>
    <w:rsid w:val="007513F3"/>
    <w:rsid w:val="00757187"/>
    <w:rsid w:val="007579D4"/>
    <w:rsid w:val="0076080D"/>
    <w:rsid w:val="0076408D"/>
    <w:rsid w:val="00776A20"/>
    <w:rsid w:val="007813CA"/>
    <w:rsid w:val="00784904"/>
    <w:rsid w:val="0079436C"/>
    <w:rsid w:val="007A557C"/>
    <w:rsid w:val="007B64E0"/>
    <w:rsid w:val="007D10FC"/>
    <w:rsid w:val="007F13D0"/>
    <w:rsid w:val="0081112D"/>
    <w:rsid w:val="00826E5B"/>
    <w:rsid w:val="008275DF"/>
    <w:rsid w:val="00830F2B"/>
    <w:rsid w:val="00831A8C"/>
    <w:rsid w:val="00853749"/>
    <w:rsid w:val="008724D5"/>
    <w:rsid w:val="00896D36"/>
    <w:rsid w:val="008B32D9"/>
    <w:rsid w:val="008C3FDB"/>
    <w:rsid w:val="008D6BAE"/>
    <w:rsid w:val="008F46EA"/>
    <w:rsid w:val="00911B09"/>
    <w:rsid w:val="00913D6C"/>
    <w:rsid w:val="009143D3"/>
    <w:rsid w:val="0091726A"/>
    <w:rsid w:val="0092431A"/>
    <w:rsid w:val="00951A74"/>
    <w:rsid w:val="00961AF6"/>
    <w:rsid w:val="00962B3D"/>
    <w:rsid w:val="00971006"/>
    <w:rsid w:val="00987580"/>
    <w:rsid w:val="009932CA"/>
    <w:rsid w:val="00994FE5"/>
    <w:rsid w:val="00995B3F"/>
    <w:rsid w:val="009A7703"/>
    <w:rsid w:val="009B2B16"/>
    <w:rsid w:val="009D43FF"/>
    <w:rsid w:val="009F06AC"/>
    <w:rsid w:val="00A03A0F"/>
    <w:rsid w:val="00A132AE"/>
    <w:rsid w:val="00A1502A"/>
    <w:rsid w:val="00A22002"/>
    <w:rsid w:val="00A274CA"/>
    <w:rsid w:val="00A42907"/>
    <w:rsid w:val="00A433F8"/>
    <w:rsid w:val="00A43992"/>
    <w:rsid w:val="00A448F7"/>
    <w:rsid w:val="00A455DF"/>
    <w:rsid w:val="00A5057E"/>
    <w:rsid w:val="00A5773E"/>
    <w:rsid w:val="00A6376B"/>
    <w:rsid w:val="00A654AA"/>
    <w:rsid w:val="00A65A25"/>
    <w:rsid w:val="00A6709D"/>
    <w:rsid w:val="00A70F77"/>
    <w:rsid w:val="00A75358"/>
    <w:rsid w:val="00A845FF"/>
    <w:rsid w:val="00A856E7"/>
    <w:rsid w:val="00A85985"/>
    <w:rsid w:val="00A86B2F"/>
    <w:rsid w:val="00AE017A"/>
    <w:rsid w:val="00AF4378"/>
    <w:rsid w:val="00B0163A"/>
    <w:rsid w:val="00B32F53"/>
    <w:rsid w:val="00B34350"/>
    <w:rsid w:val="00B52637"/>
    <w:rsid w:val="00B706CC"/>
    <w:rsid w:val="00B711C6"/>
    <w:rsid w:val="00B77AA2"/>
    <w:rsid w:val="00B8773C"/>
    <w:rsid w:val="00BA1705"/>
    <w:rsid w:val="00BA67BA"/>
    <w:rsid w:val="00BB3F54"/>
    <w:rsid w:val="00BC4A15"/>
    <w:rsid w:val="00BC7F63"/>
    <w:rsid w:val="00BD1C08"/>
    <w:rsid w:val="00BD2995"/>
    <w:rsid w:val="00BD7895"/>
    <w:rsid w:val="00BF211A"/>
    <w:rsid w:val="00BF51D1"/>
    <w:rsid w:val="00C05486"/>
    <w:rsid w:val="00C12A11"/>
    <w:rsid w:val="00C43B4C"/>
    <w:rsid w:val="00C53ABA"/>
    <w:rsid w:val="00C643EA"/>
    <w:rsid w:val="00C6679A"/>
    <w:rsid w:val="00C671B0"/>
    <w:rsid w:val="00C7002A"/>
    <w:rsid w:val="00C736BC"/>
    <w:rsid w:val="00C73DCA"/>
    <w:rsid w:val="00C85B66"/>
    <w:rsid w:val="00C86A1E"/>
    <w:rsid w:val="00CA0DC0"/>
    <w:rsid w:val="00CB02FA"/>
    <w:rsid w:val="00CC6614"/>
    <w:rsid w:val="00CD0E43"/>
    <w:rsid w:val="00CD2C3D"/>
    <w:rsid w:val="00CD416B"/>
    <w:rsid w:val="00CD4330"/>
    <w:rsid w:val="00CF70BC"/>
    <w:rsid w:val="00D0243B"/>
    <w:rsid w:val="00D074ED"/>
    <w:rsid w:val="00D57904"/>
    <w:rsid w:val="00D72A2D"/>
    <w:rsid w:val="00D7559D"/>
    <w:rsid w:val="00DB59B7"/>
    <w:rsid w:val="00DB5E73"/>
    <w:rsid w:val="00DC1E4B"/>
    <w:rsid w:val="00DC4536"/>
    <w:rsid w:val="00DD00EF"/>
    <w:rsid w:val="00DE1833"/>
    <w:rsid w:val="00DE1B64"/>
    <w:rsid w:val="00DE2F1E"/>
    <w:rsid w:val="00E12715"/>
    <w:rsid w:val="00E2041E"/>
    <w:rsid w:val="00E40046"/>
    <w:rsid w:val="00E46AAA"/>
    <w:rsid w:val="00E51A14"/>
    <w:rsid w:val="00E55D95"/>
    <w:rsid w:val="00E60EAC"/>
    <w:rsid w:val="00E63F52"/>
    <w:rsid w:val="00E77478"/>
    <w:rsid w:val="00E868D9"/>
    <w:rsid w:val="00E95DF4"/>
    <w:rsid w:val="00EB34D0"/>
    <w:rsid w:val="00EC66E7"/>
    <w:rsid w:val="00EC773B"/>
    <w:rsid w:val="00EE26B6"/>
    <w:rsid w:val="00EE48E9"/>
    <w:rsid w:val="00EF5512"/>
    <w:rsid w:val="00F020D0"/>
    <w:rsid w:val="00F05B2F"/>
    <w:rsid w:val="00FA0CC6"/>
    <w:rsid w:val="00FD2E36"/>
    <w:rsid w:val="00FD4848"/>
    <w:rsid w:val="00FE0239"/>
    <w:rsid w:val="00FE72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cs="Tahoma" w:hAnsi="Tahoma" w:ascii="Tahoma"/>
      <w:sz w:val="16"/>
      <w:szCs w:val="16"/>
    </w:rPr>
  </w:style>
  <w:style w:styleId="Odlomakpopisa" w:type="paragraph">
    <w:name w:val="List Paragraph"/>
    <w:basedOn w:val="Normal"/>
    <w:link w:val="OdlomakpopisaChar"/>
    <w:uiPriority w:val="34"/>
    <w:qFormat/>
    <w:rsid w:val="00A845FF"/>
    <w:pPr>
      <w:ind w:left="708"/>
    </w:pPr>
  </w:style>
  <w:style w:customStyle="true" w:styleId="ZaglavljeChar" w:type="character">
    <w:name w:val="Zaglavlje Char"/>
    <w:link w:val="Zaglavlje"/>
    <w:uiPriority w:val="99"/>
    <w:rsid w:val="00DE1833"/>
    <w:rPr>
      <w:sz w:val="24"/>
      <w:szCs w:val="24"/>
    </w:rPr>
  </w:style>
  <w:style w:customStyle="true"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true"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eastAsia="Calibri" w:hAnsi="Calibri" w:asci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link w:val="Tijeloteksta"/>
    <w:rsid w:val="002E350A"/>
    <w:rPr>
      <w:sz w:val="24"/>
      <w:szCs w:val="24"/>
    </w:rPr>
  </w:style>
  <w:style w:customStyle="true" w:styleId="BezproredaChar" w:type="character">
    <w:name w:val="Bez proreda Char"/>
    <w:link w:val="Bezproreda"/>
    <w:uiPriority w:val="1"/>
    <w:locked/>
    <w:rsid w:val="006537AB"/>
    <w:rPr>
      <w:rFonts w:eastAsia="Calibri" w:hAnsi="Calibri" w:ascii="Calibri"/>
      <w:sz w:val="22"/>
      <w:szCs w:val="22"/>
      <w:lang w:eastAsia="en-US"/>
    </w:rPr>
  </w:style>
  <w:style w:customStyle="true" w:styleId="Naslov3Char" w:type="character">
    <w:name w:val="Naslov 3 Char"/>
    <w:basedOn w:val="Zadanifontodlomka"/>
    <w:link w:val="Naslov3"/>
    <w:rsid w:val="00A85985"/>
    <w:rPr>
      <w:rFonts w:cstheme="majorBidi" w:eastAsiaTheme="majorEastAsia" w:hAnsiTheme="majorHAnsi" w:asciiTheme="majorHAnsi"/>
      <w:b/>
      <w:bCs/>
      <w:color w:themeColor="accent1" w:val="4F81BD"/>
      <w:sz w:val="24"/>
      <w:szCs w:val="24"/>
    </w:rPr>
  </w:style>
  <w:style w:customStyle="true" w:styleId="OdlomakpopisaChar" w:type="character">
    <w:name w:val="Odlomak popisa Char"/>
    <w:link w:val="Odlomakpopisa"/>
    <w:uiPriority w:val="34"/>
    <w:rsid w:val="0042313C"/>
    <w:rPr>
      <w:sz w:val="24"/>
      <w:szCs w:val="24"/>
    </w:rPr>
  </w:style>
  <w:style w:styleId="Tekstrezerviranogmjesta" w:type="character">
    <w:name w:val="Placeholder Text"/>
    <w:basedOn w:val="Zadanifontodlomka"/>
    <w:uiPriority w:val="99"/>
    <w:semiHidden/>
    <w:rsid w:val="001E09BA"/>
    <w:rPr>
      <w:color w:val="808080"/>
      <w:bdr w:space="0" w:sz="0" w:color="auto" w:val="none"/>
      <w:shd w:fill="auto" w:color="auto" w:val="clear"/>
    </w:rPr>
  </w:style>
  <w:style w:customStyle="true" w:styleId="eSPISCCParagraphDefaultFont" w:type="character">
    <w:name w:val="eSPIS_CC_Paragraph Default Font"/>
    <w:basedOn w:val="Zadanifontodlomka"/>
    <w:rsid w:val="001E09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09BA"/>
    <w:rPr>
      <w:bdr w:space="0" w:sz="0" w:color="auto" w:val="none"/>
      <w:shd w:fill="FFFFCC" w:color="auto" w:val="clear"/>
      <w:lang w:val="hr-HR"/>
    </w:rPr>
  </w:style>
  <w:style w:customStyle="true" w:styleId="PozadinaSvijetloCrvena" w:type="character">
    <w:name w:val="Pozadina_SvijetloCrvena"/>
    <w:basedOn w:val="eSPISCCParagraphDefaultFont"/>
    <w:rsid w:val="001E09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09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A85985"/>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C7002A"/>
    <w:rPr>
      <w:rFonts w:ascii="Tahoma" w:cs="Tahoma" w:hAnsi="Tahoma"/>
      <w:sz w:val="16"/>
      <w:szCs w:val="16"/>
    </w:rPr>
  </w:style>
  <w:style w:styleId="Odlomakpopisa" w:type="paragraph">
    <w:name w:val="List Paragraph"/>
    <w:basedOn w:val="Normal"/>
    <w:link w:val="OdlomakpopisaChar"/>
    <w:uiPriority w:val="34"/>
    <w:qFormat/>
    <w:rsid w:val="00A845FF"/>
    <w:pPr>
      <w:ind w:left="708"/>
    </w:pPr>
  </w:style>
  <w:style w:customStyle="1" w:styleId="ZaglavljeChar" w:type="character">
    <w:name w:val="Zaglavlje Char"/>
    <w:link w:val="Zaglavlje"/>
    <w:uiPriority w:val="99"/>
    <w:rsid w:val="00DE1833"/>
    <w:rPr>
      <w:sz w:val="24"/>
      <w:szCs w:val="24"/>
    </w:rPr>
  </w:style>
  <w:style w:customStyle="1" w:styleId="PodnojeChar" w:type="character">
    <w:name w:val="Podnožje Char"/>
    <w:link w:val="Podnoje"/>
    <w:uiPriority w:val="99"/>
    <w:rsid w:val="00DE1833"/>
    <w:rPr>
      <w:sz w:val="24"/>
      <w:szCs w:val="24"/>
    </w:rPr>
  </w:style>
  <w:style w:styleId="Uvuenotijeloteksta" w:type="paragraph">
    <w:name w:val="Body Text Indent"/>
    <w:basedOn w:val="Normal"/>
    <w:link w:val="UvuenotijelotekstaChar"/>
    <w:rsid w:val="00A03A0F"/>
    <w:pPr>
      <w:spacing w:after="120"/>
      <w:ind w:left="283"/>
    </w:pPr>
  </w:style>
  <w:style w:customStyle="1" w:styleId="UvuenotijelotekstaChar" w:type="character">
    <w:name w:val="Uvučeno tijelo teksta Char"/>
    <w:link w:val="Uvuenotijeloteksta"/>
    <w:rsid w:val="00A03A0F"/>
    <w:rPr>
      <w:sz w:val="24"/>
      <w:szCs w:val="24"/>
    </w:rPr>
  </w:style>
  <w:style w:styleId="Bezproreda" w:type="paragraph">
    <w:name w:val="No Spacing"/>
    <w:link w:val="BezproredaChar"/>
    <w:uiPriority w:val="1"/>
    <w:qFormat/>
    <w:rsid w:val="00A6376B"/>
    <w:rPr>
      <w:rFonts w:ascii="Calibri" w:eastAsia="Calibri" w:hAnsi="Calibri"/>
      <w:sz w:val="22"/>
      <w:szCs w:val="22"/>
      <w:lang w:eastAsia="en-US"/>
    </w:rPr>
  </w:style>
  <w:style w:styleId="Naglaeno" w:type="character">
    <w:name w:val="Strong"/>
    <w:qFormat/>
    <w:rsid w:val="007403F2"/>
    <w:rPr>
      <w:b/>
      <w:bCs/>
    </w:rPr>
  </w:style>
  <w:style w:styleId="Reetkatablice" w:type="table">
    <w:name w:val="Table Grid"/>
    <w:basedOn w:val="Obinatablica"/>
    <w:uiPriority w:val="59"/>
    <w:rsid w:val="002E60AD"/>
    <w:rPr>
      <w:rFonts w:eastAsia="SimSu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link w:val="Tijeloteksta"/>
    <w:rsid w:val="002E350A"/>
    <w:rPr>
      <w:sz w:val="24"/>
      <w:szCs w:val="24"/>
    </w:rPr>
  </w:style>
  <w:style w:customStyle="1" w:styleId="BezproredaChar" w:type="character">
    <w:name w:val="Bez proreda Char"/>
    <w:link w:val="Bezproreda"/>
    <w:uiPriority w:val="1"/>
    <w:locked/>
    <w:rsid w:val="006537AB"/>
    <w:rPr>
      <w:rFonts w:ascii="Calibri" w:eastAsia="Calibri" w:hAnsi="Calibri"/>
      <w:sz w:val="22"/>
      <w:szCs w:val="22"/>
      <w:lang w:eastAsia="en-US"/>
    </w:rPr>
  </w:style>
  <w:style w:customStyle="1" w:styleId="Naslov3Char" w:type="character">
    <w:name w:val="Naslov 3 Char"/>
    <w:basedOn w:val="Zadanifontodlomka"/>
    <w:link w:val="Naslov3"/>
    <w:rsid w:val="00A85985"/>
    <w:rPr>
      <w:rFonts w:asciiTheme="majorHAnsi" w:cstheme="majorBidi" w:eastAsiaTheme="majorEastAsia" w:hAnsiTheme="majorHAnsi"/>
      <w:b/>
      <w:bCs/>
      <w:color w:themeColor="accent1" w:val="4F81BD"/>
      <w:sz w:val="24"/>
      <w:szCs w:val="24"/>
    </w:rPr>
  </w:style>
  <w:style w:customStyle="1" w:styleId="OdlomakpopisaChar" w:type="character">
    <w:name w:val="Odlomak popisa Char"/>
    <w:link w:val="Odlomakpopisa"/>
    <w:uiPriority w:val="34"/>
    <w:rsid w:val="0042313C"/>
    <w:rPr>
      <w:sz w:val="24"/>
      <w:szCs w:val="24"/>
    </w:rPr>
  </w:style>
  <w:style w:styleId="Tekstrezerviranogmjesta" w:type="character">
    <w:name w:val="Placeholder Text"/>
    <w:basedOn w:val="Zadanifontodlomka"/>
    <w:uiPriority w:val="99"/>
    <w:semiHidden/>
    <w:rsid w:val="001E09BA"/>
    <w:rPr>
      <w:color w:val="808080"/>
      <w:bdr w:color="auto" w:space="0" w:sz="0" w:val="none"/>
      <w:shd w:color="auto" w:fill="auto" w:val="clear"/>
    </w:rPr>
  </w:style>
  <w:style w:customStyle="1" w:styleId="eSPISCCParagraphDefaultFont" w:type="character">
    <w:name w:val="eSPIS_CC_Paragraph Default Font"/>
    <w:basedOn w:val="Zadanifontodlomka"/>
    <w:rsid w:val="001E09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09BA"/>
    <w:rPr>
      <w:bdr w:color="auto" w:space="0" w:sz="0" w:val="none"/>
      <w:shd w:color="auto" w:fill="FFFFCC" w:val="clear"/>
      <w:lang w:val="hr-HR"/>
    </w:rPr>
  </w:style>
  <w:style w:customStyle="1" w:styleId="PozadinaSvijetloCrvena" w:type="character">
    <w:name w:val="Pozadina_SvijetloCrvena"/>
    <w:basedOn w:val="eSPISCCParagraphDefaultFont"/>
    <w:rsid w:val="001E09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09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St-1784/2016-54</izvorni_sadrzaj>
    <derivirana_varijabla naziv="DomainObject.Oznaka_1">St-1784/2016-54</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St-1784/2016</izvorni_sadrzaj>
    <derivirana_varijabla naziv="DomainObject.Predmet.OznakaBroj_1">St-1784/2016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KRUBER d.o.o. za proizvodnju, trgovinu i usluge</izvorni_sadrzaj>
    <derivirana_varijabla naziv="DomainObject.Predmet.ProtustrankaFormated_1">  KRUBER d.o.o. za proizvodnju, trgovinu i usluge</derivirana_varijabla>
  </DomainObject.Predmet.ProtustrankaFormated>
  <DomainObject.Predmet.ProtustrankaFormatedOIB>
    <izvorni_sadrzaj>  KRUBER d.o.o. za proizvodnju, trgovinu i usluge, OIB 20700661383</izvorni_sadrzaj>
    <derivirana_varijabla naziv="DomainObject.Predmet.ProtustrankaFormatedOIB_1">  KRUBER d.o.o. za proizvodnju, trgovinu i usluge, OIB 20700661383</derivirana_varijabla>
  </DomainObject.Predmet.ProtustrankaFormatedOIB>
  <DomainObject.Predmet.ProtustrankaFormatedWithAdress>
    <izvorni_sadrzaj> KRUBER d.o.o. za proizvodnju, trgovinu i usluge, Ante Starčevića 29, 31400 Đakovo</izvorni_sadrzaj>
    <derivirana_varijabla naziv="DomainObject.Predmet.ProtustrankaFormatedWithAdress_1"> KRUBER d.o.o. za proizvodnju, trgovinu i usluge, Ante Starčevića 29, 31400 Đakovo</derivirana_varijabla>
  </DomainObject.Predmet.ProtustrankaFormatedWithAdress>
  <DomainObject.Predmet.ProtustrankaFormatedWithAdressOIB>
    <izvorni_sadrzaj> KRUBER d.o.o. za proizvodnju, trgovinu i usluge, OIB 20700661383, Ante Starčevića 29, 31400 Đakovo</izvorni_sadrzaj>
    <derivirana_varijabla naziv="DomainObject.Predmet.ProtustrankaFormatedWithAdressOIB_1"> KRUBER d.o.o. za proizvodnju, trgovinu i usluge, OIB 20700661383, Ante Starčevića 29, 31400 Đakovo</derivirana_varijabla>
  </DomainObject.Predmet.ProtustrankaFormatedWithAdressOIB>
  <DomainObject.Predmet.ProtustrankaWithAdress>
    <izvorni_sadrzaj>KRUBER d.o.o. za proizvodnju, trgovinu i usluge Ante Starčevića 29, 31400 Đakovo</izvorni_sadrzaj>
    <derivirana_varijabla naziv="DomainObject.Predmet.ProtustrankaWithAdress_1">KRUBER d.o.o. za proizvodnju, trgovinu i usluge Ante Starčevića 29, 31400 Đakovo</derivirana_varijabla>
  </DomainObject.Predmet.ProtustrankaWithAdress>
  <DomainObject.Predmet.ProtustrankaWithAdressOIB>
    <izvorni_sadrzaj>KRUBER d.o.o. za proizvodnju, trgovinu i usluge, OIB 20700661383, Ante Starčevića 29, 31400 Đakovo</izvorni_sadrzaj>
    <derivirana_varijabla naziv="DomainObject.Predmet.ProtustrankaWithAdressOIB_1">KRUBER d.o.o. za proizvodnju, trgovinu i usluge, OIB 20700661383, Ante Starčevića 29, 31400 Đakovo</derivirana_varijabla>
  </DomainObject.Predmet.ProtustrankaWithAdressOIB>
  <DomainObject.Predmet.ProtustrankaNazivFormated>
    <izvorni_sadrzaj>KRUBER d.o.o. za proizvodnju, trgovinu i usluge</izvorni_sadrzaj>
    <derivirana_varijabla naziv="DomainObject.Predmet.ProtustrankaNazivFormated_1">KRUBER d.o.o. za proizvodnju, trgovinu i usluge</derivirana_varijabla>
  </DomainObject.Predmet.ProtustrankaNazivFormated>
  <DomainObject.Predmet.ProtustrankaNazivFormatedOIB>
    <izvorni_sadrzaj>KRUBER d.o.o. za proizvodnju, trgovinu i usluge, OIB 20700661383</izvorni_sadrzaj>
    <derivirana_varijabla naziv="DomainObject.Predmet.ProtustrankaNazivFormatedOIB_1">KRUBER d.o.o. za proizvodnju, trgovinu i usluge, OIB 20700661383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KRUBER d.o.o. za proizvodnju, trgovinu i usluge</item>
    </izvorni_sadrzaj>
    <derivirana_varijabla naziv="DomainObject.Predmet.ProtuStrankaListFormated_1">
      <item>KRUBER d.o.o. za proizvodnju, trgovinu i usluge</item>
    </derivirana_varijabla>
  </DomainObject.Predmet.ProtuStrankaListFormated>
  <DomainObject.Predmet.ProtuStrankaListFormatedOIB>
    <izvorni_sadrzaj>
      <item>KRUBER d.o.o. za proizvodnju, trgovinu i usluge, OIB 20700661383</item>
    </izvorni_sadrzaj>
    <derivirana_varijabla naziv="DomainObject.Predmet.ProtuStrankaListFormatedOIB_1">
      <item>KRUBER d.o.o. za proizvodnju, trgovinu i usluge, OIB 20700661383</item>
    </derivirana_varijabla>
  </DomainObject.Predmet.ProtuStrankaListFormatedOIB>
  <DomainObject.Predmet.ProtuStrankaListFormatedWithAdress>
    <izvorni_sadrzaj>
      <item>KRUBER d.o.o. za proizvodnju, trgovinu i usluge, Ante Starčevića 29, 31400 Đakovo</item>
    </izvorni_sadrzaj>
    <derivirana_varijabla naziv="DomainObject.Predmet.ProtuStrankaListFormatedWithAdress_1">
      <item>KRUBER d.o.o. za proizvodnju, trgovinu i usluge, Ante Starčevića 29, 31400 Đakovo</item>
    </derivirana_varijabla>
  </DomainObject.Predmet.ProtuStrankaListFormatedWithAdress>
  <DomainObject.Predmet.ProtuStrankaListFormatedWithAdressOIB>
    <izvorni_sadrzaj>
      <item>KRUBER d.o.o. za proizvodnju, trgovinu i usluge, OIB 20700661383, Ante Starčevića 29, 31400 Đakovo</item>
    </izvorni_sadrzaj>
    <derivirana_varijabla naziv="DomainObject.Predmet.ProtuStrankaListFormatedWithAdressOIB_1">
      <item>KRUBER d.o.o. za proizvodnju, trgovinu i usluge, OIB 20700661383, Ante Starčevića 29, 31400 Đakovo</item>
    </derivirana_varijabla>
  </DomainObject.Predmet.ProtuStrankaListFormatedWithAdressOIB>
  <DomainObject.Predmet.ProtuStrankaListNazivFormated>
    <izvorni_sadrzaj>
      <item>KRUBER d.o.o. za proizvodnju, trgovinu i usluge</item>
    </izvorni_sadrzaj>
    <derivirana_varijabla naziv="DomainObject.Predmet.ProtuStrankaListNazivFormated_1">
      <item>KRUBER d.o.o. za proizvodnju, trgovinu i usluge</item>
    </derivirana_varijabla>
  </DomainObject.Predmet.ProtuStrankaListNazivFormated>
  <DomainObject.Predmet.ProtuStrankaListNazivFormatedOIB>
    <izvorni_sadrzaj>
      <item>KRUBER d.o.o. za proizvodnju, trgovinu i usluge, OIB 20700661383</item>
    </izvorni_sadrzaj>
    <derivirana_varijabla naziv="DomainObject.Predmet.ProtuStrankaListNazivFormatedOIB_1">
      <item>KRUBER d.o.o. za proizvodnju, trgovinu i usluge, OIB 20700661383</item>
    </derivirana_varijabla>
  </DomainObject.Predmet.ProtuStrankaListNazivFormatedOIB>
  <DomainObject.Predmet.OstaliListFormated>
    <izvorni_sadrzaj>
      <item>ŽDO GUO Osijek</item>
      <item>Tihomir Zec</item>
      <item>Krunoslav Andrić</item>
    </izvorni_sadrzaj>
    <derivirana_varijabla naziv="DomainObject.Predmet.OstaliListFormated_1">
      <item>ŽDO GUO Osijek</item>
      <item>Tihomir Zec</item>
      <item>Krunoslav Andrić</item>
    </derivirana_varijabla>
  </DomainObject.Predmet.OstaliListFormated>
  <DomainObject.Predmet.OstaliListFormatedOIB>
    <izvorni_sadrzaj>
      <item>ŽDO GUO Osijek</item>
      <item>Tihomir Zec, OIB 80723087237</item>
      <item>Krunoslav Andrić, OIB 92184760759</item>
    </izvorni_sadrzaj>
    <derivirana_varijabla naziv="DomainObject.Predmet.OstaliListFormatedOIB_1">
      <item>ŽDO GUO Osijek</item>
      <item>Tihomir Zec, OIB 80723087237</item>
      <item>Krunoslav Andrić, OIB 92184760759</item>
    </derivirana_varijabla>
  </DomainObject.Predmet.OstaliListFormatedOIB>
  <DomainObject.Predmet.OstaliListFormatedWithAdress>
    <izvorni_sadrzaj>
      <item>ŽDO GUO Osijek</item>
      <item>Tihomir Zec, K. A. Stepinca 4, 31000 Osijek</item>
      <item>Krunoslav Andrić, P. Miškine 28, 31400 Budrovci</item>
    </izvorni_sadrzaj>
    <derivirana_varijabla naziv="DomainObject.Predmet.OstaliListFormatedWithAdress_1">
      <item>ŽDO GUO Osijek</item>
      <item>Tihomir Zec, K. A. Stepinca 4, 31000 Osijek</item>
      <item>Krunoslav Andrić, P. Miškine 28, 31400 Budrovci</item>
    </derivirana_varijabla>
  </DomainObject.Predmet.OstaliListFormatedWithAdress>
  <DomainObject.Predmet.OstaliListFormatedWithAdressOIB>
    <izvorni_sadrzaj>
      <item>ŽDO GUO Osijek</item>
      <item>Tihomir Zec, OIB 80723087237, K. A. Stepinca 4, 31000 Osijek</item>
      <item>Krunoslav Andrić, OIB 92184760759, P. Miškine 28, 31400 Budrovci</item>
    </izvorni_sadrzaj>
    <derivirana_varijabla naziv="DomainObject.Predmet.OstaliListFormatedWithAdressOIB_1">
      <item>ŽDO GUO Osijek</item>
      <item>Tihomir Zec, OIB 80723087237, K. A. Stepinca 4, 31000 Osijek</item>
      <item>Krunoslav Andrić, OIB 92184760759, P. Miškine 28, 31400 Budrovci</item>
    </derivirana_varijabla>
  </DomainObject.Predmet.OstaliListFormatedWithAdressOIB>
  <DomainObject.Predmet.OstaliListNazivFormated>
    <izvorni_sadrzaj>
      <item>ŽDO GUO Osijek</item>
      <item>Tihomir Zec</item>
      <item>Krunoslav Andrić</item>
    </izvorni_sadrzaj>
    <derivirana_varijabla naziv="DomainObject.Predmet.OstaliListNazivFormated_1">
      <item>ŽDO GUO Osijek</item>
      <item>Tihomir Zec</item>
      <item>Krunoslav Andrić</item>
    </derivirana_varijabla>
  </DomainObject.Predmet.OstaliListNazivFormated>
  <DomainObject.Predmet.OstaliListNazivFormatedOIB>
    <izvorni_sadrzaj>
      <item>ŽDO GUO Osijek</item>
      <item>Tihomir Zec, OIB 80723087237</item>
      <item>Krunoslav Andrić, OIB 92184760759</item>
    </izvorni_sadrzaj>
    <derivirana_varijabla naziv="DomainObject.Predmet.OstaliListNazivFormatedOIB_1">
      <item>ŽDO GUO Osijek</item>
      <item>Tihomir Zec, OIB 80723087237</item>
      <item>Krunoslav Andrić, OIB 92184760759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St-1784/2016-54</izvorni_sadrzaj>
    <derivirana_varijabla naziv="DomainObject.PoslovniBrojDokumenta_1">St-1784/2016-54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KRUBER d.o.o. za proizvodnju, trgovinu i usluge</izvorni_sadrzaj>
    <derivirana_varijabla naziv="DomainObject.Predmet.ProtustrankaIDrugi_1">KRUBER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KRUBER d.o.o. za proizvodnju, trgovinu i usluge, OIB 20700661383, Ante Starčevića 29, 31400 Đakovo</izvorni_sadrzaj>
    <derivirana_varijabla naziv="DomainObject.Predmet.ProtustrankaIDrugiAdressOIB_1">KRUBER d.o.o. za proizvodnju, trgovinu i usluge, OIB 20700661383, Ante Starčevića 29,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KRUBER d.o.o. za proizvodnju, trgovinu i usluge</item>
      <item>ŽDO GUO Osijek</item>
      <item>Tihomir Zec</item>
      <item>Krunoslav Andrić</item>
    </izvorni_sadrzaj>
    <derivirana_varijabla naziv="DomainObject.Predmet.SudioniciListNaziv_1">
      <item>FINA RC OSIJEK</item>
      <item>KRUBER d.o.o. za proizvodnju, trgovinu i usluge</item>
      <item>ŽDO GUO Osijek</item>
      <item>Tihomir Zec</item>
      <item>Krunoslav Andrić</item>
    </derivirana_varijabla>
  </DomainObject.Predmet.SudioniciListNaziv>
  <DomainObject.Predmet.SudioniciListAdressOIB>
    <izvorni_sadrzaj>
      <item>FINA RC OSIJEK, OIB 85821130368</item>
      <item>KRUBER d.o.o. za proizvodnju, trgovinu i usluge, OIB 20700661383, Ante Starčevića 29,31400 Đakovo</item>
      <item>ŽDO GUO Osijek</item>
      <item>Tihomir Zec, OIB 80723087237, K. A. Stepinca 4,31000 Osijek</item>
      <item>Krunoslav Andrić, OIB 92184760759, P. Miškine 28,31400 Budrovci</item>
    </izvorni_sadrzaj>
    <derivirana_varijabla naziv="DomainObject.Predmet.SudioniciListAdressOIB_1">
      <item>FINA RC OSIJEK, OIB 85821130368</item>
      <item>KRUBER d.o.o. za proizvodnju, trgovinu i usluge, OIB 20700661383, Ante Starčevića 29,31400 Đakovo</item>
      <item>ŽDO GUO Osijek</item>
      <item>Tihomir Zec, OIB 80723087237, K. A. Stepinca 4,31000 Osijek</item>
      <item>Krunoslav Andrić, OIB 92184760759, P. Miškine 28,31400 Budrovci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20700661383</item>
      <item>, OIB null</item>
      <item>, OIB 80723087237</item>
      <item>, OIB 92184760759</item>
    </izvorni_sadrzaj>
    <derivirana_varijabla naziv="DomainObject.Predmet.SudioniciListNazivOIB_1">
      <item>, OIB 85821130368</item>
      <item>, OIB 20700661383</item>
      <item>, OIB null</item>
      <item>, OIB 80723087237</item>
      <item>, OIB 92184760759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1149</properties:Words>
  <properties:Characters>6894</properties:Characters>
  <properties:Lines>236</properties:Lines>
  <properties:Paragraphs>117</properties:Paragraphs>
  <properties:TotalTime>169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2016-06-09T12:35:00Z</dcterms:created>
  <dc:creator>banka</dc:creator>
  <cp:lastModifiedBy>Elizabeta Đeke</cp:lastModifiedBy>
  <cp:lastPrinted>2018-02-15T10:38:00Z</cp:lastPrinted>
  <dcterms:modified xmlns:xsi="http://www.w3.org/2001/XMLSchema-instance" xsi:type="dcterms:W3CDTF">2018-02-15T10:57:00Z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St-1784/2016-54 / Odluka - Rješenje - zaključen stečajni postupk (čl. 196 SZ-a)</vt:lpwstr>
  </prop:property>
  <prop:property name="CC_coloring" pid="4" fmtid="{D5CDD505-2E9C-101B-9397-08002B2CF9AE}">
    <vt:bool>false</vt:bool>
  </prop:property>
  <prop:property name="BrojStranica" pid="5" fmtid="{D5CDD505-2E9C-101B-9397-08002B2CF9AE}">
    <vt:i4>4</vt:i4>
  </prop:property>
</prop:Properties>
</file>