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e07b" w14:paraId="5a2e07b" w:rsidRDefault="00AB4602" w:rsidP="001B412E" w:rsidR="001B412E" w:rsidRPr="001B412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B412E" w:rsidRPr="001B412E">
        <w:rPr>
          <w:rFonts w:cs="Times New Roman"/>
        </w:rPr>
        <w:t xml:space="preserve">     REPUBLIKA HRVATSKA</w:t>
      </w:r>
    </w:p>
    <w:p w:rsidRDefault="001B412E" w:rsidP="001B412E" w:rsidR="001B412E" w:rsidRPr="001B412E">
      <w:pPr>
        <w:spacing w:after="0"/>
        <w:rPr>
          <w:rFonts w:cs="Times New Roman" w:eastAsia="Times New Roman"/>
          <w:lang w:eastAsia="hr-HR"/>
        </w:rPr>
      </w:pPr>
      <w:r w:rsidRPr="001B412E">
        <w:rPr>
          <w:rFonts w:cs="Times New Roman" w:eastAsia="Times New Roman"/>
          <w:lang w:eastAsia="hr-HR"/>
        </w:rPr>
        <w:t>TRGOVAČKI SUD U ZAGREBU</w:t>
      </w:r>
    </w:p>
    <w:p w:rsidRDefault="001B412E" w:rsidP="001B412E" w:rsidR="001B412E" w:rsidRPr="001B412E">
      <w:pPr>
        <w:spacing w:after="0"/>
        <w:rPr>
          <w:rFonts w:cs="Times New Roman" w:eastAsia="Times New Roman"/>
          <w:lang w:eastAsia="hr-HR"/>
        </w:rPr>
      </w:pPr>
      <w:r w:rsidRPr="001B412E">
        <w:rPr>
          <w:rFonts w:cs="Times New Roman" w:eastAsia="Times New Roman"/>
          <w:lang w:eastAsia="hr-HR"/>
        </w:rPr>
        <w:t xml:space="preserve">         Stalna služba u Karlovcu </w:t>
      </w:r>
    </w:p>
    <w:p w:rsidRDefault="001B412E" w:rsidP="001B412E" w:rsidR="001B412E" w:rsidRPr="001B412E">
      <w:pPr>
        <w:spacing w:after="0"/>
        <w:rPr>
          <w:rFonts w:cs="Times New Roman" w:eastAsia="Times New Roman"/>
          <w:lang w:eastAsia="hr-HR"/>
        </w:rPr>
      </w:pPr>
      <w:r w:rsidRPr="001B412E">
        <w:rPr>
          <w:rFonts w:cs="Times New Roman" w:eastAsia="Times New Roman"/>
          <w:lang w:eastAsia="hr-HR"/>
        </w:rPr>
        <w:t>Karlovac, Trg hrvatskih branitelja 1/II</w:t>
      </w:r>
    </w:p>
    <w:p w:rsidRDefault="001B412E" w:rsidP="001B412E" w:rsidR="001B412E" w:rsidRPr="001B412E">
      <w:pPr>
        <w:spacing w:after="0"/>
        <w:rPr>
          <w:rFonts w:cs="Times New Roman" w:eastAsia="Times New Roman"/>
          <w:lang w:eastAsia="hr-HR"/>
        </w:rPr>
      </w:pPr>
    </w:p>
    <w:p w:rsidRDefault="001B412E" w:rsidP="001B412E" w:rsidR="001B412E" w:rsidRPr="001B412E">
      <w:pPr>
        <w:spacing w:after="0"/>
        <w:jc w:val="center"/>
        <w:rPr>
          <w:rFonts w:cs="Times New Roman" w:eastAsia="Times New Roman"/>
          <w:lang w:eastAsia="hr-HR"/>
        </w:rPr>
      </w:pPr>
      <w:r w:rsidRPr="001B412E">
        <w:rPr>
          <w:rFonts w:cs="Times New Roman" w:eastAsia="Times New Roman"/>
          <w:lang w:eastAsia="hr-HR"/>
        </w:rPr>
        <w:t>R E P U B  L I K A   H R V A T S K A</w:t>
      </w:r>
    </w:p>
    <w:p w:rsidRDefault="001B412E" w:rsidP="001B412E" w:rsidR="001B412E" w:rsidRPr="001B412E">
      <w:pPr>
        <w:spacing w:after="0"/>
        <w:rPr>
          <w:rFonts w:cs="Times New Roman" w:eastAsia="Times New Roman"/>
          <w:lang w:eastAsia="hr-HR"/>
        </w:rPr>
      </w:pPr>
    </w:p>
    <w:p w:rsidRDefault="001B412E" w:rsidP="001B412E" w:rsidR="001B412E" w:rsidRPr="001B412E">
      <w:pPr>
        <w:tabs>
          <w:tab w:pos="4050" w:val="left"/>
        </w:tabs>
        <w:spacing w:after="0"/>
        <w:rPr>
          <w:rFonts w:cs="Times New Roman" w:eastAsia="Times New Roman"/>
          <w:lang w:eastAsia="hr-HR"/>
        </w:rPr>
      </w:pPr>
      <w:r w:rsidRPr="001B412E">
        <w:rPr>
          <w:rFonts w:cs="Times New Roman" w:eastAsia="Times New Roman"/>
          <w:lang w:eastAsia="hr-HR"/>
        </w:rPr>
        <w:tab/>
        <w:t>R J E Š E N J E</w:t>
      </w:r>
    </w:p>
    <w:p w:rsidRDefault="001B412E" w:rsidP="001B412E" w:rsidR="001B412E" w:rsidRPr="001B412E">
      <w:pPr>
        <w:spacing w:after="0"/>
        <w:rPr>
          <w:rFonts w:cs="Times New Roman" w:eastAsia="Times New Roman"/>
          <w:lang w:eastAsia="hr-HR"/>
        </w:rPr>
      </w:pPr>
    </w:p>
    <w:p w:rsidRDefault="001B412E" w:rsidP="001B412E" w:rsidR="001B412E" w:rsidRPr="001B412E">
      <w:pPr>
        <w:spacing w:after="0"/>
        <w:jc w:val="both"/>
        <w:rPr>
          <w:rFonts w:cs="Times New Roman" w:eastAsia="Times New Roman"/>
          <w:lang w:eastAsia="hr-HR"/>
        </w:rPr>
      </w:pPr>
      <w:r w:rsidRPr="001B412E">
        <w:rPr>
          <w:rFonts w:cs="Times New Roman" w:eastAsia="Times New Roman"/>
          <w:lang w:eastAsia="hr-HR"/>
        </w:rPr>
        <w:tab/>
        <w:t>TRGOVAČKI SUD U ZAGREBU, Stalna služba u Karlovcu, po sucu Jadranki Mađeruh, kao stečajnom sucu, u stečajnom postupku nad stečajnim SG SJEVER 1978 d.o.o. u stečaju, Zagreb, Ilica 109, OIB: 78737820823, 24. listopada 2018.</w:t>
      </w:r>
    </w:p>
    <w:p w:rsidRDefault="001B412E" w:rsidP="001B412E" w:rsidR="001B412E" w:rsidRPr="001B412E">
      <w:pPr>
        <w:spacing w:after="0"/>
        <w:rPr>
          <w:rFonts w:cs="Times New Roman" w:eastAsia="Times New Roman"/>
          <w:lang w:eastAsia="hr-HR"/>
        </w:rPr>
      </w:pPr>
    </w:p>
    <w:p w:rsidRDefault="001B412E" w:rsidP="001B412E" w:rsidR="001B412E" w:rsidRPr="001B412E">
      <w:pPr>
        <w:spacing w:after="0"/>
        <w:jc w:val="center"/>
        <w:rPr>
          <w:rFonts w:cs="Times New Roman" w:eastAsia="Times New Roman"/>
          <w:lang w:eastAsia="hr-HR"/>
        </w:rPr>
      </w:pPr>
      <w:r w:rsidRPr="001B412E">
        <w:rPr>
          <w:rFonts w:cs="Times New Roman" w:eastAsia="Times New Roman"/>
          <w:lang w:eastAsia="hr-HR"/>
        </w:rPr>
        <w:t>r i j e š i o   j e</w:t>
      </w:r>
    </w:p>
    <w:p w:rsidRDefault="001B412E" w:rsidP="001B412E" w:rsidR="001B412E" w:rsidRPr="001B412E">
      <w:pPr>
        <w:spacing w:after="0"/>
        <w:jc w:val="center"/>
        <w:rPr>
          <w:rFonts w:cs="Times New Roman" w:eastAsia="Times New Roman"/>
          <w:lang w:eastAsia="hr-HR"/>
        </w:rPr>
      </w:pPr>
    </w:p>
    <w:p w:rsidRDefault="001B412E" w:rsidP="001B412E" w:rsidR="001B412E" w:rsidRPr="001B412E">
      <w:pPr>
        <w:numPr>
          <w:ilvl w:val="0"/>
          <w:numId w:val="47"/>
        </w:numPr>
        <w:spacing w:after="0"/>
        <w:jc w:val="both"/>
        <w:rPr>
          <w:rFonts w:cs="Times New Roman" w:eastAsia="Times New Roman"/>
          <w:lang w:eastAsia="hr-HR"/>
        </w:rPr>
      </w:pPr>
      <w:r w:rsidRPr="001B412E">
        <w:rPr>
          <w:rFonts w:cs="Times New Roman" w:eastAsia="Times New Roman"/>
          <w:lang w:eastAsia="hr-HR"/>
        </w:rPr>
        <w:t>U stečajnom postupku nad stečajnim dužnikom SG SJEVER 1978 d.o.o. u stečaju, Zagreb, Ilica 109, OIB: 78737820823, određuje se prodaja imovine stečajnog dužnika i to nekretnina upisanih u zemljišnu knjigu Zemljišnoknjižnog odjela Zagreb Općinskog građanskog suda u Zagrebu:</w:t>
      </w:r>
    </w:p>
    <w:p w:rsidRDefault="001B412E" w:rsidP="001B412E" w:rsidR="001B412E" w:rsidRPr="001B412E">
      <w:pPr>
        <w:spacing w:after="0"/>
        <w:ind w:left="1425"/>
        <w:jc w:val="both"/>
        <w:rPr>
          <w:rFonts w:cs="Times New Roman" w:eastAsia="Times New Roman"/>
          <w:lang w:eastAsia="hr-HR"/>
        </w:rPr>
      </w:pPr>
    </w:p>
    <w:p w:rsidRDefault="001B412E" w:rsidP="001B412E" w:rsidR="001B412E" w:rsidRPr="001B412E">
      <w:pPr>
        <w:spacing w:after="0"/>
        <w:ind w:left="1425"/>
        <w:jc w:val="both"/>
        <w:rPr>
          <w:rFonts w:cs="Times New Roman" w:eastAsia="Times New Roman"/>
          <w:lang w:eastAsia="hr-HR"/>
        </w:rPr>
      </w:pPr>
      <w:r w:rsidRPr="001B412E">
        <w:rPr>
          <w:rFonts w:cs="Times New Roman" w:eastAsia="Times New Roman"/>
          <w:b/>
          <w:lang w:eastAsia="hr-HR"/>
        </w:rPr>
        <w:t>1)</w:t>
      </w:r>
      <w:r w:rsidRPr="001B412E">
        <w:rPr>
          <w:rFonts w:cs="Times New Roman" w:eastAsia="Times New Roman"/>
          <w:lang w:eastAsia="hr-HR"/>
        </w:rPr>
        <w:t xml:space="preserve"> z.k.ul. 15705 k.o. Grad Zagreb i to stambena zgrada broj 131 Sveti Duh (površine 260 m2) i dvorište (površine 525 m2) sagrađene na k.č.br. 8915/17 i to:</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 suvlasnički dio: 1106/10000 etažno vlasništvo (E-1), trosobni stan oznake S1 u podrumu, površine zatvorenog prostora 59,69 m2 sastavljen od ulaznog prostora, dvije sobe, kupaonice, dnevnog boravka sa blagavaonom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2. suvlasnički dio: 1025/10000 etažno vlasništvo (E-2), trosobni stan oznake S2 u podrumu, površine zatvorenog prostora 59,09 m2 sastavljen od ulaznog prostora, dvije sobe, kupaonice, dnevnog boravka sa blagavaonom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4. suvlasnički dio: 869/10000 etažno vlasništvo (E-4), dvoipolsobni stan oznake S4 na I. (prvom) katu, površine zatvorenog prostora 53,83 m2, sastavljen od ulaznog prostora, dvije sobe, kupaonice, dnevnog boravka sa blagavaonicom i kuhinje, te dvije loggie površine 8,67 m2,  spremište u prizemlju oznake SP3 površine 5,62 m2, ukupne površine 68,12 m2 u nacrtu posebnih dijelova označeno ljubičastom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lastRenderedPageBreak/>
        <w:t>5. suvlasnički dio: 600/10000 etažno vlasništvo (E-5), jednoipolsobni stan oznake S5 na I. (prvom) katu, površine zatvorenog prostora 37,12 m2, sastavljen od ulaznog prostora, sobe, kupaonice, dnevnog boravka sa blagavaonicom i kuhinje, te loggie površine 5,02 m2, spremište u prizemlju oznake SP4 površine 5,58 m2, ukupne površine 68,08 m2 u nacrtu posebnih dijelova označeno 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7. suvlasnički dio: 1006/10000 etažno vlasništvo (E-7), dvoipolsobni stan oznake S7 na II. (drugom) katu, površine zatvorenog prostora 65,46 m2, sastavljen od ulaznog prostora, dvije sobe, kupaonice, dnevnog boravka, blagavaone, izbe i kuhinje, te dvije loggie površine 7,33 m2,  spremište u prizemlju oznake SP7 površine 4,42 m2, ukupne površine 77,21 m2. u nacrtu posebnih dijelova označeno narančastom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9. suvlasnički dio: 907/10000 etažno vlasništvo (E-9), dvoipolsobni stan oznake S9 u potkrovlju, površine zatvorenog prostora 56,57 m2, sastavljen od ulaznog prostora, dvije sobe, kupaonice, dnevnog boravka, blagavaone, kuhinje i izbe, te dvije loggie površine 8,01 m2,  spremište u prizemlju oznake SP9 površine 6,46 m2, ukupne površine 71,22 m2, u nacrtu posebnih dijelova označeno sivom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11. suvlasnički dio: 109/10000 etažno vlasništvo (E-11), garaža oznake G2 u nivou I.(prvog) kata, površine 13,27 m2 u nacrtu posebnih dijelova označeno tamnozelenom bojom.</w:t>
      </w:r>
    </w:p>
    <w:p w:rsidRDefault="001B412E" w:rsidP="001B412E" w:rsidR="001B412E" w:rsidRPr="001B412E">
      <w:pPr>
        <w:spacing w:after="0"/>
        <w:ind w:left="1968"/>
        <w:jc w:val="both"/>
        <w:rPr>
          <w:rFonts w:cs="Times New Roman" w:eastAsia="Times New Roman"/>
          <w:lang w:eastAsia="hr-HR"/>
        </w:rPr>
      </w:pPr>
    </w:p>
    <w:p w:rsidRDefault="001B412E" w:rsidP="001B412E" w:rsidR="001B412E" w:rsidRPr="001B412E">
      <w:pPr>
        <w:spacing w:after="0"/>
        <w:ind w:left="1418"/>
        <w:jc w:val="both"/>
        <w:rPr>
          <w:rFonts w:cs="Times New Roman" w:eastAsia="Times New Roman"/>
          <w:lang w:eastAsia="hr-HR"/>
        </w:rPr>
      </w:pPr>
      <w:r w:rsidRPr="001B412E">
        <w:rPr>
          <w:rFonts w:cs="Times New Roman" w:eastAsia="Times New Roman"/>
          <w:b/>
          <w:lang w:eastAsia="hr-HR"/>
        </w:rPr>
        <w:t>2)</w:t>
      </w:r>
      <w:r w:rsidRPr="001B412E">
        <w:rPr>
          <w:rFonts w:cs="Times New Roman" w:eastAsia="Times New Roman"/>
          <w:lang w:eastAsia="hr-HR"/>
        </w:rPr>
        <w:t xml:space="preserve"> z.k.ul. 109234 k.o. Grad Zagreb i to stambena zgrada broj 131A, Sveti Duh (površine 258 m2) i dvorište (površine 512 m2) sagrađeno na k.č.br. 8915/16 i to:</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 suvlasnički dio: 1053/10000 etažno vlasništvo (E-1), trosobni stan oznake S1 u podrumu, površine zatvorenog prostora 60,38 m2, sastavljen od ulaznog prostora, dvije sobe, kupaonice, dnevnog boravka sa blagavaonom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2. suvlasnički dio: 1040/10000 etažno vlasništvo (E-2), trosobni stan oznake S2 u podrumu, površine zatvorenog prostora 59,07 m2, sastavljen od ulaznog prostora, dvije sobe, kupaonice, dnevnog boravka sa blagavaonom i kuhinje, te natkrivene terase površine 8,78 m2, nenatkrivene terase površine 15,70 m2,  i prohodnog vrta površine 22,5 m2, spremište u prizemlju oznake SP2 površine 5,76 m2, ukupno površine 111,81 m2, u nacrtu posebnih dijelova označeno svijetlopravom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 xml:space="preserve">3. suvlasnički dio: 1764/10000 etažno vlasništvo (E-3), peterosobni stan oznake S3 u prizemlju, površine zatvorenog prostora 102,57 m2, sastavljen od ulaznog prostora, tri sobe, dvije kupaonice, dnevnog boravka, blagavaonice, kuhinje, izbe te natkrivene terase površine 5,58 m2, dvije loggie površine 6,62 m2, balkona površine 9,40 m2, </w:t>
      </w:r>
      <w:r w:rsidRPr="001B412E">
        <w:rPr>
          <w:rFonts w:cs="Times New Roman" w:eastAsia="Times New Roman"/>
          <w:lang w:eastAsia="hr-HR"/>
        </w:rPr>
        <w:lastRenderedPageBreak/>
        <w:t>nenatkrivene terase površine 16,32 m2, prohodnog vrta površine 19,80 m2 i neprohodnog vrta površine 15,40 m2,  spremište u prizemlju oznake SP10 površine 9,39 m2, ukupno površine 185,08 m2, u nacrtu posebnih dijelova označeno crvenom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4. suvlasnički dio: 854/10000 etažno vlasništvo (E-4), dvoipolsobni stan oznake S4 na I. katu, površine zatvorenog prostora 52,70 m2, sastavljen od ulaznog prostora, dvije sobe, kupaonice, dnevnog boravka sa blagavaonom i kuhinje, te dvije loggie površine 9,04 m2, spremište u prizemlju oznake SP3 površine 5,72 m2, ukupno površine 67,46 m2, u nacrtu posebnih dijelova označeno 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5. suvlasnički dio: 607/10000 etažno vlasništvo (E-5), jednoipolsobni stan oznake S5 na I. katu, površine zatvorenog prostora 52,70 m2 sastavljen od ulaznog prostora, sobe, kupaonice, dnevnog boravka sa blagavaonom i kuhinje, te loggie površine 6,43 m2, spremište u prizemlju oznake SP4 površine 5,72 m2, ukupno površine 67,46 m2, u nacrtu posebnih dijelova označeno ljubičastom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6. suvlasnički dio: 1257/10000 etažno vlasništvo (E-6), trosobni stan oznake S6 na II. katu, površine zatvorenog prostora 81,43 m2, sastavljen od ulaznog prostora, dvije sobe, kupaonice, dnevnog boravka, blagavaone, Wca, izbe, predsoblja i kuhinje, te dvije loggie površine 10,82 m2,  spremište u prizemlju oznake SP6 površine 4,32 m2, ukupno površine 96,57 m2, u nacrtu posebnih dijelova označeno narančastom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7. suvlasnički dio: 997/10000 etažno vlasništvo (E-7), dvoipolsobni stan oznake S7 na II. katu, površine zatvorenog prostora 81,43 m2, sastavljen od ulaznog prostora, dvije sobe, kupaonice, dnevnog boravka,  blagavaone, izbe i kuhinje, te dvije loggie površine 6,98 m2,  spremište u prizemlju oznake SP7 površine 4,36 m2, ukupno površine 76,65 m2, u nacrtu posebnih dijelova označeno roza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8. suvlasnički dio: 998/10000 etažno vlasništvo (E-8), dvoipolsobni stan oznake S8 u potkrovlju, površine zatvorenog prostora 69,35 m2, sastavljen od ulaznog prostora, dvije sobe, kupaonice, dnevnog boravka, blagavaone, kuhinje i tavanskog prostora visine manje od 1 m, te dvije loggie površine 13,22 m2, spremište u prizemlju oznake SP8 površine 4,36 m2, ukupno površine 86,93 m2, u nacrtu posebnih dijelova označeno sivom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9. suvlasnički dio: 934/10000 etažno vlasništvo (E-9), dvoipolsobni stan oznake S9 u potkrovlju, površine zatvorenog prostora 59,11 m2, sastavljen od ulaznog prostora, dvije sobe, kupaonice, dnevnog boravka, blagavaone, kuhinje i izbe, te dvije loggie površine 8,16 m2,  spremište u prizemlju oznake SP9 površine 5,86 m2, ukupno površine 73,13 m2, u nacrtu posebnih dijelova označeno smeđom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10. suvlasnički dio: 125/10000 etažno vlasništvo (E-10), garaža oznake G1 u nivou I.katu, površine 15,21 m2, u nacrtu posebnih dijelova označeno svijetlosmeđom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lastRenderedPageBreak/>
        <w:t xml:space="preserve"> 11. suvlasnički dio: 121/10000 etažno vlasništvo (E-11), garaža oznake G2 u nivou I.kata, površine 14,68 m2, u nacrtu posebnih dijelova označeno tamnoplavom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12. suvlasnički dio: 124/10000 etažno vlasništvo (E-12), garaža oznake G3 u nivou I.kata, površine 15,03 m2, u nacrtu posebnih dijelova označeno tamnozelenom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13. suvlasnički dio: 126/10000 etažno vlasništvo (E-13), garaža oznake G4 u nivou I.kata, površine 15,29 m2, u nacrtu posebnih dijelova označeno tamnosivom bojom,</w:t>
      </w:r>
    </w:p>
    <w:p w:rsidRDefault="001B412E" w:rsidP="001B412E" w:rsidR="001B412E" w:rsidRPr="001B412E">
      <w:pPr>
        <w:spacing w:after="0"/>
        <w:ind w:left="1968"/>
        <w:jc w:val="both"/>
        <w:rPr>
          <w:rFonts w:cs="Times New Roman" w:eastAsia="Times New Roman"/>
          <w:lang w:eastAsia="hr-HR"/>
        </w:rPr>
      </w:pPr>
    </w:p>
    <w:p w:rsidRDefault="001B412E" w:rsidP="001B412E" w:rsidR="001B412E" w:rsidRPr="001B412E">
      <w:pPr>
        <w:spacing w:after="0"/>
        <w:ind w:left="1418"/>
        <w:jc w:val="both"/>
        <w:rPr>
          <w:rFonts w:cs="Times New Roman" w:eastAsia="Times New Roman"/>
          <w:b/>
          <w:lang w:eastAsia="hr-HR"/>
        </w:rPr>
      </w:pPr>
      <w:r w:rsidRPr="001B412E">
        <w:rPr>
          <w:rFonts w:cs="Times New Roman" w:eastAsia="Times New Roman"/>
          <w:b/>
          <w:lang w:eastAsia="hr-HR"/>
        </w:rPr>
        <w:t xml:space="preserve">3) </w:t>
      </w:r>
      <w:r w:rsidRPr="001B412E">
        <w:rPr>
          <w:rFonts w:cs="Times New Roman" w:eastAsia="Times New Roman"/>
          <w:lang w:eastAsia="hr-HR"/>
        </w:rPr>
        <w:t>z.k.ul. 8888 k.o. Grad Zagreb i to stambena zgrada broj 131B i dvorište Sveti Duh (površine 757 m2) sagrađeno na k.č.br. 8915/15 i to:</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 suvlasnički dio: 1134/10000 etažno vlasništvo (E-1), trosobni stan oznake S1 u podrumu, površine zatvorenog prostora 59,86 m2, sastavljen od ulaznog prostora, dvije sobe, kupaonice, dnevnog boravka sa blagavaonom i kuhinje, te dvije natkrivene terase površine 11,02 m2, nenatkrivene terase površine 41,15 m2, prohodnog vrta površine 75,21 m2 i neprohodnog vrta površine 138,24 m2, spremište u prizemlju oznake SP1 površine 5,67 m2, ukupno površine 331,15 m2, u nacrtu posebnih dijelova označeno ljubičastom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2. suvlasnički dio: 1037/10000 etažno vlasništvo (E-2), trosobni stan oznake S2 u podrumu, površine zatvorenog prostora 59 m2, sastavljen od ulaznog prostora, dvije sobe, kupaonice, dnevnog boravka sa blagavaonom i kuhinje, te dvije natkrivene terase površine 8,00 m2, nenatkrivene terase površine 26,05 m2, prohodnog vrta površine 57,71 m2 i neprohodnog vrta površine 53,44 m2  spremište u prizemlju oznake SP2 površine 5,67 m2, ukupno površine 209,87 m2, u nacrtu posebnih dijelova označeno 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3. suvlasnički dio: 1706/10000 etažno vlasništvo (E-3), peterosobni stan oznake S3 u prizemlju, površine zatvorenog prostora 102,65 m2, sastavljen od ulaznog prostora, tri sobe, dvije kupaonice, dnevnog boravka, blagavaonice, kuhinje i izbe te natkrivene terase površine 5,38 m2, dvije loggie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 xml:space="preserve"> 4. suvlasnički dio: 866/10000 etažno vlasništvo (E-4), dvoipolsobni stan oznake S4 na I. katu, površine zatvorenog prostora 53,87 m2, sastavljen od ulaznog prostora, dvije sobe, kupaonice, dnevnog boravka s blagavaonom  i kuhinje, te dvije loggie površine 9,77 m2,  spremište u prizemlju oznake SP3 površine 5,67 m2, ukupno površine 69,31 m2, u nacrtu posebnih dijelova označeno 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 xml:space="preserve">5. suvlasnički dio: 598/10000 etažno vlasništvo (E-5), jednoipolsobni stan oznake S5 na I. katu, površine zatvorenog prostora 36,64 m2, sastavljen od ulaznog prostora, sobe, kupaonice, dnevnog boravka s </w:t>
      </w:r>
      <w:r w:rsidRPr="001B412E">
        <w:rPr>
          <w:rFonts w:cs="Times New Roman" w:eastAsia="Times New Roman"/>
          <w:lang w:eastAsia="hr-HR"/>
        </w:rPr>
        <w:lastRenderedPageBreak/>
        <w:t>blagavaonom i kuhinje, te loggie površine 6,43 m2, spremište u prizemlju oznake SP4 površine 5,59 m2, ukupno površine 48,66 m2, u nacrtu posebnih dijelova označeno smeđom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6. suvlasnički dio: 1246/10000 etažno vlasništvo (E-6), trosobni stan oznake S6 na II. katu, površine zatvorenog prostora 81,43 m2, sastavljen od ulaznog prostora, dvije sobe, kupaonice, dnevnog boravka, blagavaone, WC-a, izbe, predsoblja i kuhinje, te dvije loggie površine 11,65 m2, spremište u prizemlju oznake SP6 površine 4,21 m2, ukupno površine 97,29 m2, u nacrtu posebnih dijelova označeno naranđastom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7. suvlasnički dio: 1010/10000 etažno vlasništvo (E-7), dvoipolsobni stan oznake S7 na II. katu, površine zatvorenog prostora 66,02 m2, sastavljen od ulaznog prostora, dvije sobe, kupaonice, dnevnog boravka s blagavaonom, izbe i kuhinje, te dvije loggie površine 8,86 m2,  spremište u prizemlju oznake SP7 površine 4,3 m2, ukupne površine 79,18 m2, u nacrtu posebnih dijelova označeno tamnoljubičastom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9. suvlasnički dio: 491/10000 etažno vlasništvo (E-9), jednosobni stan oznake S9 u potkrovlju, površine zatvorenog prostora 32,62 m2, sastavljen od kupaonice, dnevnog boravka, kuhinje i izbe, te loggie površine 0,64 m2,  spremište u prizemlju oznake SP9 površine 6,49 m2, ukupno površine 39,75 m2, u nacrtu posebnih dijelova označeno crvenom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10. suvlasnički dio: 125/10000 etažno vlasništvo (E-10), garaža oznake G1 u nivou I.kata, površine 15,45 m2, u nacrtu posebnih dijelova označeno svijetlosmeđom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11. suvlasnički dio: 125/10000 etažno vlasništvo (E-11), garaža oznake G2 u nivou I.kata, površine 15,41 m2, u nacrtu posebnih dijelova označeno svijetlozelenom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13. suvlasnički dio: 125/10000 etažno vlasništvo (E-13), garaža oznake G4 u nivou I.kata, površine 15,37 m2, u nacrtu posebnih dijelova označeno sivom bojom,</w:t>
      </w:r>
    </w:p>
    <w:p w:rsidRDefault="001B412E" w:rsidP="001B412E" w:rsidR="001B412E" w:rsidRPr="001B412E">
      <w:pPr>
        <w:spacing w:after="0"/>
        <w:ind w:left="1968"/>
        <w:jc w:val="both"/>
        <w:rPr>
          <w:rFonts w:cs="Times New Roman" w:eastAsia="Times New Roman"/>
          <w:lang w:eastAsia="hr-HR"/>
        </w:rPr>
      </w:pPr>
    </w:p>
    <w:p w:rsidRDefault="001B412E" w:rsidP="001B412E" w:rsidR="001B412E" w:rsidRPr="001B412E">
      <w:pPr>
        <w:spacing w:after="0"/>
        <w:jc w:val="both"/>
        <w:rPr>
          <w:rFonts w:cs="Times New Roman" w:eastAsia="Times New Roman"/>
          <w:lang w:eastAsia="hr-HR"/>
        </w:rPr>
      </w:pPr>
      <w:r w:rsidRPr="001B412E">
        <w:rPr>
          <w:rFonts w:cs="Times New Roman" w:eastAsia="Times New Roman"/>
          <w:lang w:eastAsia="hr-HR"/>
        </w:rPr>
        <w:tab/>
      </w:r>
      <w:r w:rsidRPr="001B412E">
        <w:rPr>
          <w:rFonts w:cs="Times New Roman" w:eastAsia="Times New Roman"/>
          <w:lang w:eastAsia="hr-HR"/>
        </w:rPr>
        <w:tab/>
        <w:t xml:space="preserve">4) z.k.ul. 110005 k.o. Grad Zagreb, stambena zgrada broj 131C, Sveti Duh sa </w:t>
      </w:r>
      <w:r w:rsidRPr="001B412E">
        <w:rPr>
          <w:rFonts w:cs="Times New Roman" w:eastAsia="Times New Roman"/>
          <w:lang w:eastAsia="hr-HR"/>
        </w:rPr>
        <w:tab/>
      </w:r>
      <w:r w:rsidRPr="001B412E">
        <w:rPr>
          <w:rFonts w:cs="Times New Roman" w:eastAsia="Times New Roman"/>
          <w:lang w:eastAsia="hr-HR"/>
        </w:rPr>
        <w:tab/>
        <w:t>269 m2  i dvorište sa 393 m2 sagrađeno na k.č.br 8915/14 i to:</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 suvlasnički dio: 1145/10000 etažno vlasništvo (E-1), trosobni stan oznake S1 u podrumu, površine zatvorenog prostora 62,91 m2, sastavljen od ulaznog prostora, dvije sobe, kupaonice, dnevnog boravka sa blagavaonom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 xml:space="preserve">2. suvlasnički dio: 1017/10000 etažno vlasništvo (E-2), trosobni stan oznake S2 u podrumu, površine zatvorenog prostora 57,18 m2, sastavljen od ulaznog prostora, dvije sobe, kupaonice, dnevnog boravka sa blagavaonom i kuhinje, te natkrivene terase površine 7,62 m2, </w:t>
      </w:r>
      <w:r w:rsidRPr="001B412E">
        <w:rPr>
          <w:rFonts w:cs="Times New Roman" w:eastAsia="Times New Roman"/>
          <w:lang w:eastAsia="hr-HR"/>
        </w:rPr>
        <w:lastRenderedPageBreak/>
        <w:t>nenatkrivene terase površine 26,66 m2, prohodnog vrta površine 56,73 m2 i neprohodnog vrta površine 47,71 m2, spremište u prizemlju oznake SP2 površine 5,67 m2, ukupno površine 201,57 m2, u nacrtu posebnih dijelova označeno 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3. suvlasnički dio: 1665/10000 etažno vlasništvo (E-3), peterosobni stan oznake S3 u prizemlju, površine zatvorenog prostora 100,53 m2, sastavljen od ulaznog prostora, tri sobe, dvije kupaonice, dnevnog boravka, blagavaonice, kuhinje, izbe te natkrivene terase površine 6,09 m2, dvije loggie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 xml:space="preserve"> 4. suvlasnički dio: 865/10000 etažno vlasništvo (E-4), dvoipolsobni stan oznake S4 na I. katu, površine zatvorenog prostora 54,13 m2, sastavljen od ulaznog prostora, dvije sobe, kupaonice, dnevnog boravka sa blagavaonom i kuhinje, te dvije loggie površine 8,94 m2, spremište u prizemlju oznake SP3 površine 5,67 m2, ukupno površine 68,74 m2, u nacrtu posebnih dijelova označeno svijetloplavom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5. suvlasnički dio: 621/10000 etažno vlasništvo (E-5), jednoipolsobni stan oznake S5 na I. katu, površine zatvorenog prostora 36,82 m2, sastavljen od ulaznog prostora, sobe, kupaonice, dnevnog boravka sa blagavaonom i kuhinje, te loggie površine 8,14 m2, spremište u prizemlju oznake SP4 površine 5,59 m2, ukupno površine 50,55 m2, u nacrtu posebnih dijelova označeno plavom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 xml:space="preserve"> 6. suvlasnički dio: 1238/10000 etažno vlasništvo (E-6), trosobni stan oznake S6 na II. katu, površine zatvorenog prostora 80,37 m2, sastavljen od ulaznog prostora, dvije sobe, kupaonice, dnevnog boravka, blagavaone, Wc-a, izbe, predsoblja i kuhinje, te dvije loggie površine 11,51 m2, spremište u prizemlju oznake SP6 površine 4,11 m2, ukupno površine 96,04 m2, u nacrtu posebnih dijelova označeno ljubičastom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7. suvlasnički dio: 970/10000 etažno vlasništvo (E-7), dvoipolsobni stan oznake S7 na II. katu, površine zatvorenog prostora 62,63 m2, sastavljen od ulaznog prostora, dvije sobe, kupaonice, dnevnog boravka,   blagavaone, izbe i kuhinje, te dvije loggie površine 8,84 m2, spremište u prizemlju oznake SP7 površine 4,30 m2, ukupno površine 75,77 m2 u nacrtu posebnih dijelova označeno sivom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8. suvlasnički dio: 1052/10000 etažno vlasništvo (E-8), dvoipolsobni stan oznake S8 u potkrovlju, površine zatvorenog prostora 69,30 m2, sastavljen od ulaznog prostora, dvije sobe, kupaonice, dnevnog boravka,   blagavaone, kuhinje i tavanskog prostora visine manje od 1 m,  te loggie površine 19,54 m2, spremište u prizemlju oznake SP8 površine 4,12 m2, ukupno površine 92,96 m2, u nacrtu posebnih dijelova označeno svijetlosivom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lastRenderedPageBreak/>
        <w:t>9. suvlasnički dio: 929/10000 etažno vlasništvo (E-9), dvoipolsobni stan oznake S9 u potkrovlju, površine zatvorenog prostora 57,03 m2, sastavljen od ulaznog prostora, dvije sobe, kupaonice, dnevnog boravka,   blagavaone, kuhinje i izbe, te dvije loggie površine 10,78 m2, spremište u prizemlju oznake SP9 površine 6,49 m2, ukupno površine 74,30 m2, u nacrtu posebnih dijelova označeno tamnozelenom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10. suvlasnički dio: 126/10000 etažno vlasništvo (E-10), garaža oznake G4 u nivou I.kata, površine 15,45 m2, u nacrtu posebnih dijelova označeno svijetlosmeđom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11. suvlasnički dio: 120/10000 etažno vlasništvo (E-11), garaža oznake G3 u nivou I.kata, površine 14,68 m2, u nacrtu posebnih dijelova označeno ljubičastom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12. suvlasnički dio: 127/10000 etažno vlasništvo (E-12), garaža oznake G2 u nivou I.kata, površine 15,54 m2, u nacrtu posebnih dijelova označeno roza bojom,</w:t>
      </w:r>
    </w:p>
    <w:p w:rsidRDefault="001B412E" w:rsidP="001B412E" w:rsidR="001B412E" w:rsidRPr="001B412E">
      <w:pPr>
        <w:numPr>
          <w:ilvl w:val="0"/>
          <w:numId w:val="48"/>
        </w:numPr>
        <w:spacing w:after="0"/>
        <w:jc w:val="both"/>
        <w:rPr>
          <w:rFonts w:cs="Times New Roman" w:eastAsia="Times New Roman"/>
          <w:lang w:eastAsia="hr-HR"/>
        </w:rPr>
      </w:pPr>
      <w:r w:rsidRPr="001B412E">
        <w:rPr>
          <w:rFonts w:cs="Times New Roman" w:eastAsia="Times New Roman"/>
          <w:lang w:eastAsia="hr-HR"/>
        </w:rPr>
        <w:t>13. suvlasnički dio: 125/10000 etažno vlasništvo (E-13), garaža oznake G1 u nivou I.kata, površine 15,38 m2, u nacrtu posebnih dijelova označeno tamnožutom bojom.</w:t>
      </w:r>
    </w:p>
    <w:p w:rsidRDefault="001B412E" w:rsidP="001B412E" w:rsidR="001B412E" w:rsidRPr="001B412E">
      <w:pPr>
        <w:spacing w:after="0"/>
        <w:ind w:left="1968"/>
        <w:jc w:val="both"/>
        <w:rPr>
          <w:rFonts w:cs="Times New Roman" w:eastAsia="Times New Roman"/>
          <w:lang w:eastAsia="hr-HR"/>
        </w:rPr>
      </w:pPr>
    </w:p>
    <w:p w:rsidRDefault="001B412E" w:rsidP="001B412E" w:rsidR="001B412E" w:rsidRPr="001B412E">
      <w:pPr>
        <w:numPr>
          <w:ilvl w:val="0"/>
          <w:numId w:val="47"/>
        </w:numPr>
        <w:spacing w:after="0"/>
        <w:jc w:val="both"/>
        <w:rPr>
          <w:rFonts w:cs="Times New Roman" w:eastAsia="Times New Roman"/>
          <w:lang w:eastAsia="hr-HR"/>
        </w:rPr>
      </w:pPr>
      <w:r w:rsidRPr="001B412E">
        <w:rPr>
          <w:rFonts w:cs="Times New Roman" w:eastAsia="Times New Roman"/>
          <w:lang w:eastAsia="hr-HR"/>
        </w:rPr>
        <w:t>Zaključkom o prodaji utvrdit će se vrijednost nekretnina, način i uvjeti prodaje nekretnina iz točke I. ovog rješenja.</w:t>
      </w:r>
    </w:p>
    <w:p w:rsidRDefault="001B412E" w:rsidP="001B412E" w:rsidR="001B412E" w:rsidRPr="001B412E">
      <w:pPr>
        <w:spacing w:after="0"/>
        <w:jc w:val="both"/>
        <w:rPr>
          <w:rFonts w:cs="Times New Roman" w:eastAsia="Times New Roman"/>
          <w:lang w:eastAsia="hr-HR"/>
        </w:rPr>
      </w:pPr>
    </w:p>
    <w:p w:rsidRDefault="001B412E" w:rsidP="001B412E" w:rsidR="001B412E" w:rsidRPr="001B412E">
      <w:pPr>
        <w:numPr>
          <w:ilvl w:val="0"/>
          <w:numId w:val="47"/>
        </w:numPr>
        <w:spacing w:after="0"/>
        <w:jc w:val="both"/>
        <w:rPr>
          <w:rFonts w:cs="Times New Roman" w:eastAsia="Times New Roman"/>
          <w:lang w:eastAsia="hr-HR"/>
        </w:rPr>
      </w:pPr>
      <w:r w:rsidRPr="001B412E">
        <w:rPr>
          <w:rFonts w:cs="Times New Roman" w:eastAsia="Times New Roman"/>
          <w:lang w:eastAsia="hr-HR"/>
        </w:rPr>
        <w:t>Stečajni upravitelj dužan je, uz odgovarajuću primjenu pravila ovršnog postupka Financijskoj agenciji bez odgode dostaviti podatke o nekretninama koje se prodaju u stečajnom postupku radi upisa iste u očevidnik nekretnina i pokretnina koje se prodaju u stečajnom postupku.</w:t>
      </w:r>
    </w:p>
    <w:p w:rsidRDefault="001B412E" w:rsidP="001B412E" w:rsidR="001B412E" w:rsidRPr="001B412E">
      <w:pPr>
        <w:spacing w:after="0"/>
        <w:ind w:left="708"/>
        <w:rPr>
          <w:rFonts w:cs="Times New Roman" w:eastAsia="Times New Roman"/>
          <w:lang w:eastAsia="hr-HR"/>
        </w:rPr>
      </w:pPr>
    </w:p>
    <w:p w:rsidRDefault="001B412E" w:rsidP="001B412E" w:rsidR="001B412E" w:rsidRPr="001B412E">
      <w:pPr>
        <w:numPr>
          <w:ilvl w:val="0"/>
          <w:numId w:val="47"/>
        </w:numPr>
        <w:spacing w:after="0"/>
        <w:jc w:val="both"/>
        <w:rPr>
          <w:rFonts w:cs="Times New Roman" w:eastAsia="Times New Roman"/>
          <w:lang w:eastAsia="hr-HR"/>
        </w:rPr>
      </w:pPr>
      <w:r w:rsidRPr="001B412E">
        <w:rPr>
          <w:rFonts w:cs="Times New Roman" w:eastAsia="Times New Roman"/>
          <w:lang w:eastAsia="hr-HR"/>
        </w:rPr>
        <w:t>Određuje se upis zabilježbe rješenja o prodaji u zemljišnoj knjizi Općinskog građanskog suda u Zagrebu, Zemljišnoknjižni odjel Zagreb.</w:t>
      </w:r>
    </w:p>
    <w:p w:rsidRDefault="001B412E" w:rsidP="001B412E" w:rsidR="001B412E" w:rsidRPr="001B412E">
      <w:pPr>
        <w:spacing w:after="0"/>
        <w:ind w:left="888"/>
        <w:jc w:val="both"/>
        <w:rPr>
          <w:rFonts w:cs="Times New Roman" w:eastAsia="Times New Roman"/>
          <w:lang w:eastAsia="hr-HR"/>
        </w:rPr>
      </w:pPr>
    </w:p>
    <w:p w:rsidRDefault="001B412E" w:rsidP="001B412E" w:rsidR="001B412E" w:rsidRPr="001B412E">
      <w:pPr>
        <w:spacing w:after="0"/>
        <w:ind w:left="888"/>
        <w:jc w:val="both"/>
        <w:rPr>
          <w:rFonts w:cs="Times New Roman" w:eastAsia="Times New Roman"/>
          <w:lang w:eastAsia="hr-HR"/>
        </w:rPr>
      </w:pPr>
    </w:p>
    <w:p w:rsidRDefault="001B412E" w:rsidP="001B412E" w:rsidR="001B412E" w:rsidRPr="001B412E">
      <w:pPr>
        <w:spacing w:after="0"/>
        <w:ind w:firstLine="708"/>
        <w:jc w:val="center"/>
        <w:rPr>
          <w:rFonts w:cs="Times New Roman" w:eastAsia="Times New Roman"/>
          <w:b/>
          <w:lang w:eastAsia="hr-HR"/>
        </w:rPr>
      </w:pPr>
      <w:r w:rsidRPr="001B412E">
        <w:rPr>
          <w:rFonts w:cs="Times New Roman" w:eastAsia="Times New Roman"/>
          <w:lang w:eastAsia="hr-HR"/>
        </w:rPr>
        <w:t>Obrazloženje</w:t>
      </w:r>
    </w:p>
    <w:p w:rsidRDefault="001B412E" w:rsidP="001B412E" w:rsidR="001B412E" w:rsidRPr="001B412E">
      <w:pPr>
        <w:spacing w:after="0"/>
        <w:ind w:firstLine="708"/>
        <w:jc w:val="center"/>
        <w:rPr>
          <w:rFonts w:cs="Times New Roman" w:eastAsia="Times New Roman"/>
          <w:b/>
          <w:lang w:eastAsia="hr-HR"/>
        </w:rPr>
      </w:pPr>
    </w:p>
    <w:p w:rsidRDefault="001B412E" w:rsidP="001B412E" w:rsidR="001B412E" w:rsidRPr="001B412E">
      <w:pPr>
        <w:spacing w:after="0"/>
        <w:ind w:firstLine="708"/>
        <w:jc w:val="center"/>
        <w:rPr>
          <w:rFonts w:cs="Times New Roman" w:eastAsia="Times New Roman"/>
          <w:b/>
          <w:lang w:eastAsia="hr-HR"/>
        </w:rPr>
      </w:pPr>
    </w:p>
    <w:p w:rsidRDefault="001B412E" w:rsidP="001B412E" w:rsidR="001B412E" w:rsidRPr="001B412E">
      <w:pPr>
        <w:spacing w:after="0"/>
        <w:ind w:firstLine="708"/>
        <w:jc w:val="both"/>
        <w:rPr>
          <w:rFonts w:cs="Times New Roman" w:eastAsia="Times New Roman"/>
          <w:lang w:eastAsia="hr-HR"/>
        </w:rPr>
      </w:pPr>
      <w:r w:rsidRPr="001B412E">
        <w:rPr>
          <w:rFonts w:cs="Times New Roman" w:eastAsia="Times New Roman"/>
          <w:lang w:eastAsia="hr-HR"/>
        </w:rPr>
        <w:t xml:space="preserve">Rješenjem ovog suda posl. br. St-6047/16 od 25. studenog 2016. otvoren je stečajni postupak nad stečajnim dužnikom SG SJEVER 1978 d.o.o. u stečaju, Zagreb, Ilica 109, OIB: 78737820823, a stečajnu masu čine nekretnine koje  su predmet ove prodaje. </w:t>
      </w:r>
    </w:p>
    <w:p w:rsidRDefault="001B412E" w:rsidP="001B412E" w:rsidR="001B412E" w:rsidRPr="001B412E">
      <w:pPr>
        <w:spacing w:after="0"/>
        <w:ind w:firstLine="708"/>
        <w:jc w:val="both"/>
        <w:rPr>
          <w:rFonts w:cs="Times New Roman" w:eastAsia="Times New Roman"/>
          <w:lang w:eastAsia="hr-HR"/>
        </w:rPr>
      </w:pPr>
    </w:p>
    <w:p w:rsidRDefault="001B412E" w:rsidP="001B412E" w:rsidR="001B412E" w:rsidRPr="001B412E">
      <w:pPr>
        <w:spacing w:after="0"/>
        <w:ind w:firstLine="708"/>
        <w:jc w:val="both"/>
        <w:rPr>
          <w:rFonts w:cs="Times New Roman" w:eastAsia="Times New Roman"/>
          <w:lang w:eastAsia="hr-HR"/>
        </w:rPr>
      </w:pPr>
      <w:r w:rsidRPr="001B412E">
        <w:rPr>
          <w:rFonts w:cs="Times New Roman" w:eastAsia="Times New Roman"/>
          <w:lang w:eastAsia="hr-HR"/>
        </w:rPr>
        <w:t>Na predmetnim nekretninama postoji razlučno pravo, a razlučni vjerovnici nisu pokrenuli postupak ovrhe, pa je temeljem čl.247. st.2. Stečajnog zakona (Narodne novine broj 71/15, 104/17, dalje:SZ), na prijedlog stečajnog upravitelja, odlučeno kao u točki I. izreke rješenja.</w:t>
      </w:r>
    </w:p>
    <w:p w:rsidRDefault="001B412E" w:rsidP="001B412E" w:rsidR="001B412E" w:rsidRPr="001B412E">
      <w:pPr>
        <w:spacing w:after="0"/>
        <w:ind w:firstLine="708"/>
        <w:jc w:val="both"/>
        <w:rPr>
          <w:rFonts w:cs="Times New Roman" w:eastAsia="Times New Roman"/>
          <w:lang w:eastAsia="hr-HR"/>
        </w:rPr>
      </w:pPr>
    </w:p>
    <w:p w:rsidRDefault="001B412E" w:rsidP="001B412E" w:rsidR="001B412E" w:rsidRPr="001B412E">
      <w:pPr>
        <w:spacing w:after="0"/>
        <w:ind w:firstLine="708"/>
        <w:jc w:val="both"/>
        <w:rPr>
          <w:rFonts w:cs="Times New Roman" w:eastAsia="Times New Roman"/>
          <w:lang w:eastAsia="hr-HR"/>
        </w:rPr>
      </w:pPr>
      <w:r w:rsidRPr="001B412E">
        <w:rPr>
          <w:rFonts w:cs="Times New Roman" w:eastAsia="Times New Roman"/>
          <w:lang w:eastAsia="hr-HR"/>
        </w:rPr>
        <w:t>Temeljem čl. 274. st.3. SZ-a odlučeno je kao u točki II. izreke rješenja.</w:t>
      </w:r>
    </w:p>
    <w:p w:rsidRDefault="001B412E" w:rsidP="001B412E" w:rsidR="001B412E" w:rsidRPr="001B412E">
      <w:pPr>
        <w:spacing w:after="0"/>
        <w:ind w:firstLine="708"/>
        <w:jc w:val="both"/>
        <w:rPr>
          <w:rFonts w:cs="Times New Roman" w:eastAsia="Times New Roman"/>
          <w:lang w:eastAsia="hr-HR"/>
        </w:rPr>
      </w:pPr>
    </w:p>
    <w:p w:rsidRDefault="001B412E" w:rsidP="001B412E" w:rsidR="001B412E" w:rsidRPr="001B412E">
      <w:pPr>
        <w:spacing w:after="0"/>
        <w:ind w:firstLine="708"/>
        <w:jc w:val="both"/>
        <w:rPr>
          <w:rFonts w:cs="Times New Roman" w:eastAsia="Times New Roman"/>
          <w:lang w:eastAsia="hr-HR"/>
        </w:rPr>
      </w:pPr>
      <w:r w:rsidRPr="001B412E">
        <w:rPr>
          <w:rFonts w:cs="Times New Roman" w:eastAsia="Times New Roman"/>
          <w:lang w:eastAsia="hr-HR"/>
        </w:rPr>
        <w:t>Temeljem čl. 229. st.3. SZ-a odlučeno je kao u točki III. izreke rješenja.</w:t>
      </w:r>
    </w:p>
    <w:p w:rsidRDefault="001B412E" w:rsidP="001B412E" w:rsidR="001B412E" w:rsidRPr="001B412E">
      <w:pPr>
        <w:spacing w:after="0"/>
        <w:ind w:firstLine="708"/>
        <w:jc w:val="both"/>
        <w:rPr>
          <w:rFonts w:cs="Times New Roman" w:eastAsia="Times New Roman"/>
          <w:lang w:eastAsia="hr-HR"/>
        </w:rPr>
      </w:pPr>
    </w:p>
    <w:p w:rsidRDefault="001B412E" w:rsidP="001B412E" w:rsidR="001B412E" w:rsidRPr="001B412E">
      <w:pPr>
        <w:spacing w:after="0"/>
        <w:ind w:firstLine="708"/>
        <w:jc w:val="both"/>
        <w:rPr>
          <w:rFonts w:cs="Times New Roman" w:eastAsia="Times New Roman"/>
          <w:lang w:eastAsia="hr-HR"/>
        </w:rPr>
      </w:pPr>
      <w:r w:rsidRPr="001B412E">
        <w:rPr>
          <w:rFonts w:cs="Times New Roman" w:eastAsia="Times New Roman"/>
          <w:lang w:eastAsia="hr-HR"/>
        </w:rPr>
        <w:t>Temeljem čl. 247. st.2. SZ-a odlučeno je kao u točki IV. izreke rješenja.</w:t>
      </w:r>
    </w:p>
    <w:p w:rsidRDefault="001B412E" w:rsidP="001B412E" w:rsidR="001B412E" w:rsidRPr="001B412E">
      <w:pPr>
        <w:spacing w:after="0"/>
        <w:ind w:firstLine="708"/>
        <w:jc w:val="center"/>
        <w:rPr>
          <w:rFonts w:cs="Times New Roman" w:eastAsia="Times New Roman"/>
          <w:b/>
          <w:lang w:eastAsia="hr-HR"/>
        </w:rPr>
      </w:pPr>
    </w:p>
    <w:p w:rsidRDefault="001B412E" w:rsidP="001B412E" w:rsidR="001B412E" w:rsidRPr="001B412E">
      <w:pPr>
        <w:spacing w:after="0"/>
        <w:jc w:val="both"/>
        <w:rPr>
          <w:rFonts w:cs="Times New Roman" w:eastAsia="Times New Roman"/>
          <w:lang w:eastAsia="hr-HR"/>
        </w:rPr>
      </w:pPr>
    </w:p>
    <w:p w:rsidRDefault="001B412E" w:rsidP="001B412E" w:rsidR="001B412E" w:rsidRPr="001B412E">
      <w:pPr>
        <w:spacing w:after="0"/>
        <w:jc w:val="center"/>
        <w:rPr>
          <w:rFonts w:cs="Times New Roman" w:eastAsia="Times New Roman"/>
          <w:lang w:eastAsia="hr-HR"/>
        </w:rPr>
      </w:pPr>
      <w:r w:rsidRPr="001B412E">
        <w:rPr>
          <w:rFonts w:cs="Times New Roman" w:eastAsia="Times New Roman"/>
          <w:lang w:eastAsia="hr-HR"/>
        </w:rPr>
        <w:t>U Karlovcu 24. listopada 2018.</w:t>
      </w:r>
    </w:p>
    <w:p w:rsidRDefault="001B412E" w:rsidP="001B412E" w:rsidR="001B412E" w:rsidRPr="001B412E">
      <w:pPr>
        <w:spacing w:after="0"/>
        <w:jc w:val="both"/>
        <w:rPr>
          <w:rFonts w:cs="Times New Roman" w:eastAsia="Times New Roman"/>
          <w:lang w:eastAsia="hr-HR"/>
        </w:rPr>
      </w:pPr>
    </w:p>
    <w:p w:rsidRDefault="001B412E" w:rsidP="001B412E" w:rsidR="001B412E" w:rsidRPr="001B412E">
      <w:pPr>
        <w:spacing w:after="0"/>
        <w:jc w:val="both"/>
        <w:rPr>
          <w:rFonts w:cs="Times New Roman" w:eastAsia="Times New Roman"/>
          <w:lang w:eastAsia="hr-HR"/>
        </w:rPr>
      </w:pPr>
    </w:p>
    <w:p w:rsidRDefault="001B412E" w:rsidP="001B412E" w:rsidR="001B412E" w:rsidRPr="001B412E">
      <w:pPr>
        <w:tabs>
          <w:tab w:pos="6375" w:val="left"/>
        </w:tabs>
        <w:spacing w:after="0"/>
        <w:jc w:val="both"/>
        <w:rPr>
          <w:rFonts w:cs="Times New Roman" w:eastAsia="Times New Roman"/>
          <w:lang w:eastAsia="hr-HR"/>
        </w:rPr>
      </w:pPr>
      <w:r w:rsidRPr="001B412E">
        <w:rPr>
          <w:rFonts w:cs="Times New Roman" w:eastAsia="Times New Roman"/>
          <w:lang w:eastAsia="hr-HR"/>
        </w:rPr>
        <w:tab/>
        <w:t xml:space="preserve">      Stečajni sudac:</w:t>
      </w:r>
    </w:p>
    <w:p w:rsidRDefault="001B412E" w:rsidP="001B412E" w:rsidR="001B412E" w:rsidRPr="001B412E">
      <w:pPr>
        <w:tabs>
          <w:tab w:pos="6375" w:val="left"/>
        </w:tabs>
        <w:spacing w:after="0"/>
        <w:rPr>
          <w:rFonts w:cs="Times New Roman" w:eastAsia="Times New Roman"/>
          <w:lang w:eastAsia="hr-HR"/>
        </w:rPr>
      </w:pPr>
      <w:r w:rsidRPr="001B412E">
        <w:rPr>
          <w:rFonts w:cs="Times New Roman" w:eastAsia="Times New Roman"/>
          <w:lang w:eastAsia="hr-HR"/>
        </w:rPr>
        <w:t xml:space="preserve">                                                                       </w:t>
      </w:r>
      <w:r w:rsidRPr="001B412E">
        <w:rPr>
          <w:rFonts w:cs="Times New Roman" w:eastAsia="Times New Roman"/>
          <w:lang w:eastAsia="hr-HR"/>
        </w:rPr>
        <w:tab/>
        <w:t>Jadranka Mađeruh,v.r.</w:t>
      </w:r>
    </w:p>
    <w:p w:rsidRDefault="001B412E" w:rsidP="001B412E" w:rsidR="001B412E" w:rsidRPr="001B412E">
      <w:pPr>
        <w:tabs>
          <w:tab w:pos="6375" w:val="left"/>
        </w:tabs>
        <w:spacing w:after="0"/>
        <w:rPr>
          <w:rFonts w:cs="Times New Roman" w:eastAsia="Times New Roman"/>
          <w:lang w:eastAsia="hr-HR"/>
        </w:rPr>
      </w:pPr>
    </w:p>
    <w:p w:rsidRDefault="001B412E" w:rsidP="001B412E" w:rsidR="001B412E" w:rsidRPr="001B412E">
      <w:pPr>
        <w:tabs>
          <w:tab w:pos="6375" w:val="left"/>
        </w:tabs>
        <w:spacing w:after="0"/>
        <w:jc w:val="right"/>
        <w:rPr>
          <w:rFonts w:cs="Times New Roman" w:eastAsia="Times New Roman"/>
          <w:lang w:eastAsia="hr-HR"/>
        </w:rPr>
      </w:pPr>
      <w:r w:rsidRPr="001B412E">
        <w:rPr>
          <w:rFonts w:cs="Times New Roman" w:eastAsia="Times New Roman"/>
          <w:lang w:eastAsia="hr-HR"/>
        </w:rPr>
        <w:t>Za točnost otpravka-</w:t>
      </w:r>
    </w:p>
    <w:p w:rsidRDefault="001B412E" w:rsidP="001B412E" w:rsidR="001B412E" w:rsidRPr="001B412E">
      <w:pPr>
        <w:tabs>
          <w:tab w:pos="6375" w:val="left"/>
        </w:tabs>
        <w:spacing w:after="0"/>
        <w:jc w:val="right"/>
        <w:rPr>
          <w:rFonts w:cs="Times New Roman" w:eastAsia="Times New Roman"/>
          <w:lang w:eastAsia="hr-HR"/>
        </w:rPr>
      </w:pPr>
      <w:r w:rsidRPr="001B412E">
        <w:rPr>
          <w:rFonts w:cs="Times New Roman" w:eastAsia="Times New Roman"/>
          <w:lang w:eastAsia="hr-HR"/>
        </w:rPr>
        <w:t>ovlašteni službenik:</w:t>
      </w:r>
    </w:p>
    <w:p w:rsidRDefault="001B412E" w:rsidP="001B412E" w:rsidR="001B412E" w:rsidRPr="001B412E">
      <w:pPr>
        <w:tabs>
          <w:tab w:pos="6375" w:val="left"/>
        </w:tabs>
        <w:spacing w:after="0"/>
        <w:jc w:val="center"/>
        <w:rPr>
          <w:rFonts w:cs="Times New Roman" w:eastAsia="Times New Roman"/>
          <w:lang w:eastAsia="hr-HR"/>
        </w:rPr>
      </w:pPr>
      <w:r w:rsidRPr="001B412E">
        <w:rPr>
          <w:rFonts w:cs="Times New Roman" w:eastAsia="Times New Roman"/>
          <w:lang w:eastAsia="hr-HR"/>
        </w:rPr>
        <w:t xml:space="preserve">                                                                          </w:t>
      </w:r>
      <w:r w:rsidRPr="001B412E">
        <w:rPr>
          <w:rFonts w:cs="Times New Roman" w:eastAsia="Times New Roman"/>
          <w:lang w:eastAsia="hr-HR"/>
        </w:rPr>
        <w:tab/>
      </w:r>
      <w:r w:rsidRPr="001B412E">
        <w:rPr>
          <w:rFonts w:cs="Times New Roman" w:eastAsia="Times New Roman"/>
          <w:lang w:eastAsia="hr-HR"/>
        </w:rPr>
        <w:tab/>
        <w:t xml:space="preserve"> Draženka Prpić</w:t>
      </w:r>
    </w:p>
    <w:p w:rsidRDefault="001B412E" w:rsidP="001B412E" w:rsidR="001B412E" w:rsidRPr="001B412E">
      <w:pPr>
        <w:tabs>
          <w:tab w:pos="6375" w:val="left"/>
        </w:tabs>
        <w:spacing w:after="0"/>
        <w:rPr>
          <w:rFonts w:cs="Times New Roman" w:eastAsia="Times New Roman"/>
          <w:lang w:eastAsia="hr-HR"/>
        </w:rPr>
      </w:pPr>
      <w:r w:rsidRPr="001B412E">
        <w:rPr>
          <w:rFonts w:cs="Times New Roman" w:eastAsia="Times New Roman"/>
          <w:lang w:eastAsia="hr-HR"/>
        </w:rPr>
        <w:t xml:space="preserve">      </w:t>
      </w:r>
    </w:p>
    <w:p w:rsidRDefault="001B412E" w:rsidP="001B412E" w:rsidR="001B412E" w:rsidRPr="001B412E">
      <w:pPr>
        <w:tabs>
          <w:tab w:pos="6375" w:val="left"/>
        </w:tabs>
        <w:spacing w:after="0"/>
        <w:rPr>
          <w:rFonts w:cs="Times New Roman" w:eastAsia="Times New Roman"/>
          <w:lang w:eastAsia="hr-HR"/>
        </w:rPr>
      </w:pPr>
      <w:r w:rsidRPr="001B412E">
        <w:rPr>
          <w:rFonts w:cs="Times New Roman" w:eastAsia="Times New Roman"/>
          <w:lang w:eastAsia="hr-HR"/>
        </w:rPr>
        <w:t>UPUTA O PRAVNOM LIJEKU:</w:t>
      </w:r>
    </w:p>
    <w:p w:rsidRDefault="001B412E" w:rsidP="001B412E" w:rsidR="001B412E" w:rsidRPr="001B412E">
      <w:pPr>
        <w:tabs>
          <w:tab w:pos="6375" w:val="left"/>
        </w:tabs>
        <w:spacing w:after="0"/>
        <w:jc w:val="both"/>
        <w:rPr>
          <w:rFonts w:cs="Times New Roman" w:eastAsia="Times New Roman"/>
          <w:lang w:eastAsia="hr-HR"/>
        </w:rPr>
      </w:pPr>
      <w:r w:rsidRPr="001B412E">
        <w:rPr>
          <w:rFonts w:cs="Times New Roman" w:eastAsia="Times New Roman"/>
          <w:lang w:eastAsia="hr-HR"/>
        </w:rPr>
        <w:t>Protiv ovog rješenja dopuštena je žalba. Žalba se podnosi ovom sudu u tri primjerka na Visoki trgovački sud RH u roku 8 dana od dana dostave rješenja.</w:t>
      </w:r>
    </w:p>
    <w:p w:rsidRDefault="001B412E" w:rsidP="001B412E" w:rsidR="001B412E" w:rsidRPr="001B412E">
      <w:pPr>
        <w:tabs>
          <w:tab w:pos="6375" w:val="left"/>
        </w:tabs>
        <w:spacing w:after="0"/>
        <w:rPr>
          <w:rFonts w:cs="Times New Roman" w:eastAsia="Times New Roman"/>
          <w:lang w:eastAsia="hr-HR"/>
        </w:rPr>
      </w:pPr>
    </w:p>
    <w:sectPr w:rsidSect="0032366B" w:rsidR="001B412E" w:rsidRPr="001B412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4578917"/>
      <w:docPartObj>
        <w:docPartGallery w:val="Page Numbers (Top of Page)"/>
        <w:docPartUnique/>
      </w:docPartObj>
    </w:sdtPr>
    <w:sdtContent>
      <w:p w:rsidRDefault="001B412E" w:rsidR="001B412E">
        <w:pPr>
          <w:pStyle w:val="Zaglavlje"/>
          <w:jc w:val="center"/>
        </w:pPr>
        <w:r>
          <w:fldChar w:fldCharType="begin"/>
        </w:r>
        <w:r>
          <w:instrText>PAGE   \* MERGEFORMAT</w:instrText>
        </w:r>
        <w:r>
          <w:fldChar w:fldCharType="separate"/>
        </w:r>
        <w:r>
          <w:t>1</w:t>
        </w:r>
        <w:r>
          <w:fldChar w:fldCharType="end"/>
        </w:r>
      </w:p>
    </w:sdtContent>
  </w:sdt>
  <w:p w:rsidRDefault="001B412E" w:rsidR="008333A9">
    <w:pPr>
      <w:pStyle w:val="Zaglavlje"/>
    </w:pPr>
    <w:r>
      <w:t>1 St-6047/16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EB47A52"/>
    <w:multiLevelType w:val="hybridMultilevel"/>
    <w:tmpl w:val="27728FAE"/>
    <w:lvl w:tplc="152814CC" w:ilvl="0">
      <w:start w:val="1"/>
      <w:numFmt w:val="bullet"/>
      <w:lvlText w:val="-"/>
      <w:lvlJc w:val="left"/>
      <w:pPr>
        <w:ind w:hanging="360" w:left="1968"/>
      </w:pPr>
      <w:rPr>
        <w:rFonts w:cs="Times New Roman" w:eastAsia="Times New Roman" w:hAnsi="Times New Roman" w:ascii="Times New Roman" w:hint="default"/>
      </w:rPr>
    </w:lvl>
    <w:lvl w:tplc="041A0003" w:ilvl="1">
      <w:start w:val="1"/>
      <w:numFmt w:val="bullet"/>
      <w:lvlText w:val="o"/>
      <w:lvlJc w:val="left"/>
      <w:pPr>
        <w:ind w:hanging="360" w:left="2688"/>
      </w:pPr>
      <w:rPr>
        <w:rFonts w:cs="Courier New" w:hAnsi="Courier New" w:ascii="Courier New" w:hint="default"/>
      </w:rPr>
    </w:lvl>
    <w:lvl w:tplc="041A0005" w:ilvl="2">
      <w:start w:val="1"/>
      <w:numFmt w:val="bullet"/>
      <w:lvlText w:val=""/>
      <w:lvlJc w:val="left"/>
      <w:pPr>
        <w:ind w:hanging="360" w:left="3408"/>
      </w:pPr>
      <w:rPr>
        <w:rFonts w:hAnsi="Wingdings" w:ascii="Wingdings" w:hint="default"/>
      </w:rPr>
    </w:lvl>
    <w:lvl w:tplc="041A0001" w:ilvl="3">
      <w:start w:val="1"/>
      <w:numFmt w:val="bullet"/>
      <w:lvlText w:val=""/>
      <w:lvlJc w:val="left"/>
      <w:pPr>
        <w:ind w:hanging="360" w:left="4128"/>
      </w:pPr>
      <w:rPr>
        <w:rFonts w:hAnsi="Symbol" w:ascii="Symbol" w:hint="default"/>
      </w:rPr>
    </w:lvl>
    <w:lvl w:tplc="041A0003" w:ilvl="4">
      <w:start w:val="1"/>
      <w:numFmt w:val="bullet"/>
      <w:lvlText w:val="o"/>
      <w:lvlJc w:val="left"/>
      <w:pPr>
        <w:ind w:hanging="360" w:left="4848"/>
      </w:pPr>
      <w:rPr>
        <w:rFonts w:cs="Courier New" w:hAnsi="Courier New" w:ascii="Courier New" w:hint="default"/>
      </w:rPr>
    </w:lvl>
    <w:lvl w:tplc="041A0005" w:ilvl="5">
      <w:start w:val="1"/>
      <w:numFmt w:val="bullet"/>
      <w:lvlText w:val=""/>
      <w:lvlJc w:val="left"/>
      <w:pPr>
        <w:ind w:hanging="360" w:left="5568"/>
      </w:pPr>
      <w:rPr>
        <w:rFonts w:hAnsi="Wingdings" w:ascii="Wingdings" w:hint="default"/>
      </w:rPr>
    </w:lvl>
    <w:lvl w:tplc="041A0001" w:ilvl="6">
      <w:start w:val="1"/>
      <w:numFmt w:val="bullet"/>
      <w:lvlText w:val=""/>
      <w:lvlJc w:val="left"/>
      <w:pPr>
        <w:ind w:hanging="360" w:left="6288"/>
      </w:pPr>
      <w:rPr>
        <w:rFonts w:hAnsi="Symbol" w:ascii="Symbol" w:hint="default"/>
      </w:rPr>
    </w:lvl>
    <w:lvl w:tplc="041A0003" w:ilvl="7">
      <w:start w:val="1"/>
      <w:numFmt w:val="bullet"/>
      <w:lvlText w:val="o"/>
      <w:lvlJc w:val="left"/>
      <w:pPr>
        <w:ind w:hanging="360" w:left="7008"/>
      </w:pPr>
      <w:rPr>
        <w:rFonts w:cs="Courier New" w:hAnsi="Courier New" w:ascii="Courier New" w:hint="default"/>
      </w:rPr>
    </w:lvl>
    <w:lvl w:tplc="041A0005" w:ilvl="8">
      <w:start w:val="1"/>
      <w:numFmt w:val="bullet"/>
      <w:lvlText w:val=""/>
      <w:lvlJc w:val="left"/>
      <w:pPr>
        <w:ind w:hanging="360" w:left="77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91F7AB9"/>
    <w:multiLevelType w:val="hybridMultilevel"/>
    <w:tmpl w:val="354400B6"/>
    <w:lvl w:tplc="835E3994" w:ilvl="0">
      <w:start w:val="1"/>
      <w:numFmt w:val="upperRoman"/>
      <w:lvlText w:val="%1."/>
      <w:lvlJc w:val="left"/>
      <w:pPr>
        <w:ind w:hanging="720" w:left="142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12E"/>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5869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St-6047/2016-63</izvorni_sadrzaj>
    <derivirana_varijabla naziv="DomainObject.Oznaka_1">St-6047/2016-63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tem>HRVATSKA POŠTANSKA BANKA, dioničko društvo</item>
      <item>OD MAMIĆ PERIĆ REBERSKI RIMAC</item>
    </izvorni_sadrzaj>
    <derivirana_varijabla naziv="DomainObject.Predmet.OstaliListFormated_1">
      <item>Zvonimir Škegro</item>
      <item>DAVORKA HULJEV</item>
      <item>HRVATSKA POŠTANSKA BANKA, dioničko društvo</item>
      <item>OD MAMIĆ PERIĆ REBERSKI RIMAC</item>
    </derivirana_varijabla>
  </DomainObject.Predmet.OstaliListFormated>
  <DomainObject.Predmet.OstaliListFormatedOIB>
    <izvorni_sadrzaj>
      <item>Zvonimir Škegro, OIB 67061107234</item>
      <item>DAVORKA HULJEV, OIB 34743014377</item>
      <item>HRVATSKA POŠTANSKA BANKA, dioničko društvo, OIB 87939104217</item>
      <item>OD MAMIĆ PERIĆ REBERSKI RIMAC</item>
    </izvorni_sadrzaj>
    <derivirana_varijabla naziv="DomainObject.Predmet.OstaliListFormatedOIB_1">
      <item>Zvonimir Škegro, OIB 67061107234</item>
      <item>DAVORKA HULJEV, OIB 34743014377</item>
      <item>HRVATSKA POŠTANSKA BANKA, dioničko društvo, OIB 87939104217</item>
      <item>OD MAMIĆ PERIĆ REBERSKI RIMAC</item>
    </derivirana_varijabla>
  </DomainObject.Predmet.OstaliListFormatedOIB>
  <DomainObject.Predmet.OstaliListFormatedWithAdress>
    <izvorni_sadrzaj>
      <item>Zvonimir Škegro, Ul. grada Mainza 14, 10000 Zagreb</item>
      <item>DAVORKA HULJEV, Miramarska 13D, 10000 Zagreb</item>
      <item>HRVATSKA POŠTANSKA BANKA, dioničko društvo, Jurišićeva 4, 10000 Zagreb</item>
      <item>OD MAMIĆ PERIĆ REBERSKI RIMAC, Ivana Lučića 2a, 10000 Zagreb</item>
    </izvorni_sadrzaj>
    <derivirana_varijabla naziv="DomainObject.Predmet.OstaliListFormatedWithAdress_1">
      <item>Zvonimir Škegro, Ul. grada Mainza 14, 10000 Zagreb</item>
      <item>DAVORKA HULJEV, Miramarska 13D, 10000 Zagreb</item>
      <item>HRVATSKA POŠTANSKA BANKA, dioničko društvo, Jurišićeva 4, 10000 Zagreb</item>
      <item>OD MAMIĆ PERIĆ REBERSKI RIMAC, Ivana Lučića 2a,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tem>HRVATSKA POŠTANSKA BANKA, dioničko društvo, OIB 87939104217, Jurišićeva 4, 10000 Zagreb</item>
      <item>OD MAMIĆ PERIĆ REBERSKI RIMAC, Ivana Lučića 2a, 10000 Zagreb</item>
    </izvorni_sadrzaj>
    <derivirana_varijabla naziv="DomainObject.Predmet.OstaliListFormatedWithAdressOIB_1">
      <item>Zvonimir Škegro, OIB 67061107234, Ul. grada Mainza 14, 10000 Zagreb</item>
      <item>DAVORKA HULJEV, OIB 34743014377, Miramarska 13D, 10000 Zagreb</item>
      <item>HRVATSKA POŠTANSKA BANKA, dioničko društvo, OIB 87939104217, Jurišićeva 4, 10000 Zagreb</item>
      <item>OD MAMIĆ PERIĆ REBERSKI RIMAC, Ivana Lučića 2a, 10000 Zagreb</item>
    </derivirana_varijabla>
  </DomainObject.Predmet.OstaliListFormatedWithAdressOIB>
  <DomainObject.Predmet.OstaliListNazivFormated>
    <izvorni_sadrzaj>
      <item>Zvonimir Škegro</item>
      <item>DAVORKA HULJEV</item>
      <item>HRVATSKA POŠTANSKA BANKA, dioničko društvo</item>
      <item>OD MAMIĆ PERIĆ REBERSKI RIMAC</item>
    </izvorni_sadrzaj>
    <derivirana_varijabla naziv="DomainObject.Predmet.OstaliListNazivFormated_1">
      <item>Zvonimir Škegro</item>
      <item>DAVORKA HULJEV</item>
      <item>HRVATSKA POŠTANSKA BANKA, dioničko društvo</item>
      <item>OD MAMIĆ PERIĆ REBERSKI RIMAC</item>
    </derivirana_varijabla>
  </DomainObject.Predmet.OstaliListNazivFormated>
  <DomainObject.Predmet.OstaliListNazivFormatedOIB>
    <izvorni_sadrzaj>
      <item>Zvonimir Škegro, OIB 67061107234</item>
      <item>DAVORKA HULJEV, OIB 34743014377</item>
      <item>HRVATSKA POŠTANSKA BANKA, dioničko društvo, OIB 87939104217</item>
      <item>OD MAMIĆ PERIĆ REBERSKI RIMAC</item>
    </izvorni_sadrzaj>
    <derivirana_varijabla naziv="DomainObject.Predmet.OstaliListNazivFormatedOIB_1">
      <item>Zvonimir Škegro, OIB 67061107234</item>
      <item>DAVORKA HULJEV, OIB 34743014377</item>
      <item>HRVATSKA POŠTANSKA BANKA, dioničko društvo, OIB 87939104217</item>
      <item>OD MAMIĆ PERIĆ REBERSKI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St-6047/2016-63</izvorni_sadrzaj>
    <derivirana_varijabla naziv="DomainObject.PoslovniBrojDokumenta_1">St-6047/2016-63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tem>OD MAMIĆ PERIĆ REBERSKI RIMAC</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tem>OD MAMIĆ PERIĆ REBERSKI RIMAC</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tem>OD MAMIĆ PERIĆ REBERSKI RIMAC, Ivana Lučića 2a,10000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tem>OD MAMIĆ PERIĆ REBERSKI RIMAC, Ivana Lučića 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CA58B-8D3A-4B73-A63D-513546D379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2807</properties:Words>
  <properties:Characters>16300</properties:Characters>
  <properties:Lines>336</properties:Lines>
  <properties:Paragraphs>74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2018-10-24T07:05:00Z</cp:lastPrinted>
  <dcterms:modified xmlns:xsi="http://www.w3.org/2001/XMLSchema-instance" xsi:type="dcterms:W3CDTF">2018-10-24T07:05:00Z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St-6047/2016-63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