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5a8f" w14:paraId="66e5a8f" w:rsidRDefault="00D077D5" w:rsidP="00E53AE0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BC2FC3">
        <w:rPr>
          <w:rFonts w:cs="Times New Roman" w:hAnsi="Times New Roman" w:ascii="Times New Roman"/>
          <w:sz w:val="24"/>
          <w:szCs w:val="24"/>
        </w:rPr>
        <w:t>118/11-</w:t>
      </w:r>
      <w:r w:rsidR="00677736">
        <w:rPr>
          <w:rFonts w:cs="Times New Roman" w:hAnsi="Times New Roman" w:ascii="Times New Roman"/>
          <w:sz w:val="24"/>
          <w:szCs w:val="24"/>
        </w:rPr>
        <w:t>1</w:t>
      </w:r>
      <w:r w:rsidR="00876486">
        <w:rPr>
          <w:rFonts w:cs="Times New Roman" w:hAnsi="Times New Roman" w:ascii="Times New Roman"/>
          <w:sz w:val="24"/>
          <w:szCs w:val="24"/>
        </w:rPr>
        <w:t>42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3AE0" w:rsidP="00D077D5" w:rsidR="00E53AE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58CE" w:rsidP="00D077D5" w:rsidR="000458C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67D79" w:rsidP="00D077D5" w:rsidR="00167D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3AE0" w:rsidP="00D077D5" w:rsidR="00E53AE0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E53AE0" w:rsidR="008562E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Trgovački sud u Rijeci, po s</w:t>
      </w:r>
      <w:r w:rsidR="008562EB">
        <w:rPr>
          <w:rFonts w:cs="Times New Roman" w:hAnsi="Times New Roman" w:ascii="Times New Roman"/>
          <w:sz w:val="24"/>
          <w:szCs w:val="24"/>
        </w:rPr>
        <w:t xml:space="preserve">tečajnoj sutkinji 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8562EB">
        <w:rPr>
          <w:rFonts w:cs="Times New Roman" w:hAnsi="Times New Roman" w:ascii="Times New Roman"/>
          <w:sz w:val="24"/>
          <w:szCs w:val="24"/>
        </w:rPr>
        <w:t xml:space="preserve">KOMGRAD </w:t>
      </w:r>
      <w:r w:rsidRPr="00D077D5">
        <w:rPr>
          <w:rFonts w:cs="Times New Roman" w:hAnsi="Times New Roman" w:ascii="Times New Roman"/>
          <w:sz w:val="24"/>
          <w:szCs w:val="24"/>
        </w:rPr>
        <w:t xml:space="preserve">d.o.o. u stečaju </w:t>
      </w:r>
      <w:r w:rsidR="008562EB">
        <w:rPr>
          <w:rFonts w:cs="Times New Roman" w:hAnsi="Times New Roman" w:ascii="Times New Roman"/>
          <w:sz w:val="24"/>
          <w:szCs w:val="24"/>
        </w:rPr>
        <w:t xml:space="preserve">Donji Lapac, Radnička 4, </w:t>
      </w:r>
      <w:r w:rsidRPr="00D077D5">
        <w:rPr>
          <w:rFonts w:cs="Times New Roman" w:hAnsi="Times New Roman" w:ascii="Times New Roman"/>
          <w:sz w:val="24"/>
          <w:szCs w:val="24"/>
        </w:rPr>
        <w:t>temeljem odredbe čl</w:t>
      </w:r>
      <w:r w:rsidR="008562EB">
        <w:rPr>
          <w:rFonts w:cs="Times New Roman" w:hAnsi="Times New Roman" w:ascii="Times New Roman"/>
          <w:sz w:val="24"/>
          <w:szCs w:val="24"/>
        </w:rPr>
        <w:t>.</w:t>
      </w:r>
      <w:r w:rsidRPr="00D077D5">
        <w:rPr>
          <w:rFonts w:cs="Times New Roman" w:hAnsi="Times New Roman" w:ascii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>
        <w:rPr>
          <w:rFonts w:cs="Times New Roman" w:hAnsi="Times New Roman" w:ascii="Times New Roman"/>
          <w:sz w:val="24"/>
          <w:szCs w:val="24"/>
        </w:rPr>
        <w:t>/12; dalje</w:t>
      </w:r>
      <w:r w:rsidRPr="00D077D5">
        <w:rPr>
          <w:rFonts w:cs="Times New Roman" w:hAnsi="Times New Roman" w:ascii="Times New Roman"/>
          <w:sz w:val="24"/>
          <w:szCs w:val="24"/>
        </w:rPr>
        <w:t>: SZ)</w:t>
      </w:r>
      <w:r w:rsidR="001B220B">
        <w:rPr>
          <w:rFonts w:cs="Times New Roman" w:hAnsi="Times New Roman" w:ascii="Times New Roman"/>
          <w:sz w:val="24"/>
          <w:szCs w:val="24"/>
        </w:rPr>
        <w:t xml:space="preserve">, </w:t>
      </w:r>
      <w:r w:rsidR="001B220B" w:rsidRPr="001B220B">
        <w:t xml:space="preserve"> </w:t>
      </w:r>
      <w:r w:rsidR="0062400F">
        <w:rPr>
          <w:rFonts w:cs="Times New Roman" w:hAnsi="Times New Roman" w:ascii="Times New Roman"/>
          <w:sz w:val="24"/>
          <w:szCs w:val="24"/>
        </w:rPr>
        <w:t>13. srpnja</w:t>
      </w:r>
      <w:r w:rsidR="00F86272">
        <w:rPr>
          <w:rFonts w:cs="Times New Roman" w:hAnsi="Times New Roman" w:ascii="Times New Roman"/>
          <w:sz w:val="24"/>
          <w:szCs w:val="24"/>
        </w:rPr>
        <w:t xml:space="preserve"> 2016</w:t>
      </w:r>
      <w:r w:rsidR="001B220B" w:rsidRPr="001B220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8562EB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53AE0" w:rsidP="008562EB" w:rsidR="00E53A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8562EB" w:rsidP="00D077D5" w:rsidR="008562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3AE0" w:rsidP="00E53AE0" w:rsidR="00D077D5" w:rsidRPr="00E53A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E53AE0">
        <w:rPr>
          <w:rFonts w:cs="Times New Roman" w:hAnsi="Times New Roman" w:ascii="Times New Roman"/>
          <w:sz w:val="24"/>
          <w:szCs w:val="24"/>
        </w:rPr>
        <w:t>Prodaju se nekretnine stečajnog dužnika upisane u zemljišnim knjigama Općinskog suda u Gospiću</w:t>
      </w:r>
      <w:r w:rsidR="008562EB" w:rsidRPr="00E53AE0">
        <w:rPr>
          <w:rFonts w:cs="Times New Roman" w:hAnsi="Times New Roman" w:ascii="Times New Roman"/>
          <w:sz w:val="24"/>
          <w:szCs w:val="24"/>
        </w:rPr>
        <w:t xml:space="preserve">, Stalna služba u Donjem Lapcu i to: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a) - u zbirci pologa isprava br. kat. pl. 296, Zp-62/07, Zp-73/07, Zp-106/09, K.o. Boričevac: k.č. 103, livada Mjesna Rudina, površine 2 a i 41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104 livada Mjesna Rudina površine 13 a i 0,2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105 livada Mjesna Rudina površine 11 a i 55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106 livada Mjesna Rudina površine 2 a i 99 m2,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111 zgrada Mjesna Rudina površine 11 m 2, zgrada Mjesna Rudina površine 14 a i 28 m2, livada Mjesna Rudina površine 21 a i 44 m2, zgrada Mjesna Rudina površine 22 m2, zgrada Mjesna Rudina površine 22 m2, zgrada Mjesna Rudina površine 2 a i 73 m2, zgrada Mjesna Rudina površine 32 m2, ind.dvor. Mjesna Rudina površine 64 a i 67 m2, livada Mjesna Rudina površine 86 a i 0,3 m2 (koje nekretnine u </w:t>
      </w:r>
      <w:r>
        <w:rPr>
          <w:rFonts w:cs="Times New Roman" w:hAnsi="Times New Roman" w:ascii="Times New Roman"/>
          <w:sz w:val="24"/>
          <w:szCs w:val="24"/>
        </w:rPr>
        <w:t>naravi predstavljaju klaonicu).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7736" w:rsidP="00BC2FC3" w:rsid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Vr</w:t>
      </w:r>
      <w:r w:rsidR="0062400F">
        <w:rPr>
          <w:rFonts w:cs="Times New Roman" w:hAnsi="Times New Roman" w:ascii="Times New Roman"/>
          <w:b/>
          <w:sz w:val="24"/>
          <w:szCs w:val="24"/>
        </w:rPr>
        <w:t>ijednost nekretnina iznosi 845.64</w:t>
      </w:r>
      <w:r>
        <w:rPr>
          <w:rFonts w:cs="Times New Roman" w:hAnsi="Times New Roman" w:ascii="Times New Roman"/>
          <w:b/>
          <w:sz w:val="24"/>
          <w:szCs w:val="24"/>
        </w:rPr>
        <w:t xml:space="preserve">0,00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b) nekretnina stečajnog dužnika upisana u zemljišnim knjigama Općinskog suda u Gospiću, Stalna služba u Donjem Lapcu i to k.č.br. 223 farma dv. Mjesna Rudina površine 4 ha, 75 a i 59 m2 (koja nekretnina u naravi predstavlja farmu), zajedno s pokretnom imovinom povezanom s tom nekretninom.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7736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62400F">
        <w:rPr>
          <w:rFonts w:cs="Times New Roman" w:hAnsi="Times New Roman" w:ascii="Times New Roman"/>
          <w:b/>
          <w:sz w:val="24"/>
          <w:szCs w:val="24"/>
        </w:rPr>
        <w:t xml:space="preserve">4.371.357,17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c) nekretnine stečajnog dužnika upisane u zemljišnim knjigama Općinskog suda u Gospiću, Stalna služba u Donjem Lapcu i to: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u zbirci pologa isprava br. kat. pl. 1109, Zp-93/07, Zp-95/07, Zp-106/09: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 - k.č. 518/8 kuća i dvorište Linija površine 97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k.č. 523/7 kuća i dvorište Gornja Linija površine 2 a i 0,9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k.č. 524/7 dvorište Gornja Linija površine 94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lastRenderedPageBreak/>
        <w:t xml:space="preserve">- k.č. 534/2 nepl. nepoznato 24 a i 96 m2 i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k.č. 535/2 nepl. nepoznato 24 a i 28 m2, (koje nekretnine u naravi predstavljaju siranu) prodavati, zajedno s pokretnom imovinom povezanom s tom nekretninom.  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7736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62400F">
        <w:rPr>
          <w:rFonts w:cs="Times New Roman" w:hAnsi="Times New Roman" w:ascii="Times New Roman"/>
          <w:b/>
          <w:sz w:val="24"/>
          <w:szCs w:val="24"/>
        </w:rPr>
        <w:t>1.436.555,17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  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opisane pod točkom I. izreke ovog zaključka prodat će se na usmenoj javnoj dražbi, a ročište za prodaju održat će se </w:t>
      </w:r>
    </w:p>
    <w:p w:rsidRDefault="00E53AE0" w:rsidP="008562EB" w:rsidR="00E53AE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2400F" w:rsidP="008562EB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listopada 2016. u 13</w:t>
      </w:r>
      <w:r w:rsidR="00677736">
        <w:rPr>
          <w:rFonts w:cs="Times New Roman" w:hAnsi="Times New Roman" w:ascii="Times New Roman"/>
          <w:sz w:val="24"/>
          <w:szCs w:val="24"/>
        </w:rPr>
        <w:t>:0</w:t>
      </w:r>
      <w:r w:rsidR="00D077D5" w:rsidRPr="00D077D5">
        <w:rPr>
          <w:rFonts w:cs="Times New Roman" w:hAnsi="Times New Roman" w:ascii="Times New Roman"/>
          <w:sz w:val="24"/>
          <w:szCs w:val="24"/>
        </w:rPr>
        <w:t>0 sati</w:t>
      </w:r>
      <w:r w:rsidR="008562EB">
        <w:rPr>
          <w:rFonts w:cs="Times New Roman" w:hAnsi="Times New Roman" w:ascii="Times New Roman"/>
          <w:sz w:val="24"/>
          <w:szCs w:val="24"/>
        </w:rPr>
        <w:t>,</w:t>
      </w:r>
    </w:p>
    <w:p w:rsidRDefault="00E53AE0" w:rsidP="00D077D5" w:rsidR="00E53AE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Ovaj zaključak bit će objavljen na oglasnoj ploči suda, web stečaja i HGK, te u sredstvima javnoga priopćavanja.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E53AE0" w:rsidP="00D077D5" w:rsidR="00E53A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8562EB">
        <w:rPr>
          <w:rFonts w:cs="Times New Roman" w:hAnsi="Times New Roman" w:ascii="Times New Roman"/>
          <w:sz w:val="24"/>
          <w:szCs w:val="24"/>
        </w:rPr>
        <w:t>3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2D02DC">
        <w:rPr>
          <w:rFonts w:cs="Times New Roman" w:hAnsi="Times New Roman" w:ascii="Times New Roman"/>
          <w:sz w:val="24"/>
          <w:szCs w:val="24"/>
        </w:rPr>
        <w:t>27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677736">
        <w:rPr>
          <w:rFonts w:cs="Times New Roman" w:hAnsi="Times New Roman" w:ascii="Times New Roman"/>
          <w:sz w:val="24"/>
          <w:szCs w:val="24"/>
        </w:rPr>
        <w:t>travnja</w:t>
      </w:r>
      <w:r w:rsidR="00F86272">
        <w:rPr>
          <w:rFonts w:cs="Times New Roman" w:hAnsi="Times New Roman" w:ascii="Times New Roman"/>
          <w:sz w:val="24"/>
          <w:szCs w:val="24"/>
        </w:rPr>
        <w:t xml:space="preserve"> 2016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St-118/</w:t>
      </w:r>
      <w:r w:rsidRPr="00D077D5">
        <w:rPr>
          <w:rFonts w:cs="Times New Roman" w:hAnsi="Times New Roman" w:ascii="Times New Roman"/>
          <w:sz w:val="24"/>
          <w:szCs w:val="24"/>
        </w:rPr>
        <w:t xml:space="preserve">11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lastRenderedPageBreak/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  09</w:t>
      </w:r>
      <w:r w:rsidR="008562EB">
        <w:rPr>
          <w:rFonts w:cs="Times New Roman" w:hAnsi="Times New Roman" w:ascii="Times New Roman"/>
          <w:sz w:val="24"/>
          <w:szCs w:val="24"/>
        </w:rPr>
        <w:t>15170411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E53AE0" w:rsidP="00D077D5" w:rsidR="00E53AE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E53AE0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8562EB" w:rsidP="00D077D5" w:rsidR="00131C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131CE6" w:rsid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Nakon što je don</w:t>
      </w:r>
      <w:r w:rsidR="003636A7">
        <w:rPr>
          <w:rFonts w:cs="Times New Roman" w:hAnsi="Times New Roman" w:ascii="Times New Roman"/>
          <w:sz w:val="24"/>
          <w:szCs w:val="24"/>
        </w:rPr>
        <w:t>esena</w:t>
      </w:r>
      <w:r w:rsidRPr="00D077D5">
        <w:rPr>
          <w:rFonts w:cs="Times New Roman" w:hAnsi="Times New Roman" w:ascii="Times New Roman"/>
          <w:sz w:val="24"/>
          <w:szCs w:val="24"/>
        </w:rPr>
        <w:t xml:space="preserve"> odluka da će se nekretnine prodati u stečajnom postupku, razlučni vjerovnici </w:t>
      </w:r>
      <w:r w:rsidR="003636A7">
        <w:rPr>
          <w:rFonts w:cs="Times New Roman" w:hAnsi="Times New Roman" w:ascii="Times New Roman"/>
          <w:sz w:val="24"/>
          <w:szCs w:val="24"/>
        </w:rPr>
        <w:t xml:space="preserve">Hrvatska banka za obnovu i razvitak i Republika Hrvatska </w:t>
      </w:r>
      <w:r w:rsidRPr="00D077D5">
        <w:rPr>
          <w:rFonts w:cs="Times New Roman" w:hAnsi="Times New Roman" w:ascii="Times New Roman"/>
          <w:sz w:val="24"/>
          <w:szCs w:val="24"/>
        </w:rPr>
        <w:t xml:space="preserve">su se suglasili da se nekretnine prodaju u stečajnom postupku po procijenjenoj vrijednosti.  </w:t>
      </w:r>
    </w:p>
    <w:p w:rsidRDefault="00DC6221" w:rsidP="00131CE6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Kako se predmetne nekretnine nisu </w:t>
      </w:r>
      <w:r w:rsidR="0015443D">
        <w:rPr>
          <w:rFonts w:cs="Times New Roman" w:hAnsi="Times New Roman" w:ascii="Times New Roman"/>
          <w:sz w:val="24"/>
          <w:szCs w:val="24"/>
        </w:rPr>
        <w:t xml:space="preserve">prodale </w:t>
      </w:r>
      <w:r w:rsidRPr="00DC6221">
        <w:rPr>
          <w:rFonts w:cs="Times New Roman" w:hAnsi="Times New Roman" w:ascii="Times New Roman"/>
          <w:sz w:val="24"/>
          <w:szCs w:val="24"/>
        </w:rPr>
        <w:t>ni</w:t>
      </w:r>
      <w:r w:rsidR="0015443D">
        <w:rPr>
          <w:rFonts w:cs="Times New Roman" w:hAnsi="Times New Roman" w:ascii="Times New Roman"/>
          <w:sz w:val="24"/>
          <w:szCs w:val="24"/>
        </w:rPr>
        <w:t>ti</w:t>
      </w:r>
      <w:r w:rsidRPr="00DC6221">
        <w:rPr>
          <w:rFonts w:cs="Times New Roman" w:hAnsi="Times New Roman" w:ascii="Times New Roman"/>
          <w:sz w:val="24"/>
          <w:szCs w:val="24"/>
        </w:rPr>
        <w:t xml:space="preserve"> na</w:t>
      </w:r>
      <w:r w:rsidR="0062400F">
        <w:rPr>
          <w:rFonts w:cs="Times New Roman" w:hAnsi="Times New Roman" w:ascii="Times New Roman"/>
          <w:sz w:val="24"/>
          <w:szCs w:val="24"/>
        </w:rPr>
        <w:t xml:space="preserve"> dvanaestom</w:t>
      </w:r>
      <w:r w:rsidR="00677736">
        <w:rPr>
          <w:rFonts w:cs="Times New Roman" w:hAnsi="Times New Roman" w:ascii="Times New Roman"/>
          <w:sz w:val="24"/>
          <w:szCs w:val="24"/>
        </w:rPr>
        <w:t xml:space="preserve"> </w:t>
      </w:r>
      <w:r w:rsidRPr="00DC6221">
        <w:rPr>
          <w:rFonts w:cs="Times New Roman" w:hAnsi="Times New Roman" w:ascii="Times New Roman"/>
          <w:sz w:val="24"/>
          <w:szCs w:val="24"/>
        </w:rPr>
        <w:t>ročištu za prodaju, ovaj sud je primjenom odredbe čl. 164. st. 6. SZ-a zaključkom (točka I. izreke) odredio nižu vrijednost nekretnina s time da je vrijednost nekretnina smanjena za 10% od vrij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62400F">
        <w:rPr>
          <w:rFonts w:cs="Times New Roman" w:hAnsi="Times New Roman" w:ascii="Times New Roman"/>
          <w:sz w:val="24"/>
          <w:szCs w:val="24"/>
        </w:rPr>
        <w:t>dnosti utvrđene zaključkom od 11</w:t>
      </w:r>
      <w:r w:rsidRPr="00DC6221">
        <w:rPr>
          <w:rFonts w:cs="Times New Roman" w:hAnsi="Times New Roman" w:ascii="Times New Roman"/>
          <w:sz w:val="24"/>
          <w:szCs w:val="24"/>
        </w:rPr>
        <w:t>.</w:t>
      </w:r>
      <w:r w:rsidR="0062400F">
        <w:rPr>
          <w:rFonts w:cs="Times New Roman" w:hAnsi="Times New Roman" w:ascii="Times New Roman"/>
          <w:sz w:val="24"/>
          <w:szCs w:val="24"/>
        </w:rPr>
        <w:t xml:space="preserve"> svib</w:t>
      </w:r>
      <w:r w:rsidR="00677736">
        <w:rPr>
          <w:rFonts w:cs="Times New Roman" w:hAnsi="Times New Roman" w:ascii="Times New Roman"/>
          <w:sz w:val="24"/>
          <w:szCs w:val="24"/>
        </w:rPr>
        <w:t>nja 2016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C622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62400F">
        <w:rPr>
          <w:rFonts w:cs="Times New Roman" w:hAnsi="Times New Roman" w:ascii="Times New Roman"/>
          <w:sz w:val="24"/>
          <w:szCs w:val="24"/>
        </w:rPr>
        <w:t xml:space="preserve">  13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62400F">
        <w:rPr>
          <w:rFonts w:cs="Times New Roman" w:hAnsi="Times New Roman" w:ascii="Times New Roman"/>
          <w:sz w:val="24"/>
          <w:szCs w:val="24"/>
        </w:rPr>
        <w:t>srpnja</w:t>
      </w:r>
      <w:r w:rsidR="001B220B">
        <w:rPr>
          <w:rFonts w:cs="Times New Roman" w:hAnsi="Times New Roman" w:ascii="Times New Roman"/>
          <w:sz w:val="24"/>
          <w:szCs w:val="24"/>
        </w:rPr>
        <w:t xml:space="preserve"> </w:t>
      </w:r>
      <w:r w:rsidR="0015443D">
        <w:rPr>
          <w:rFonts w:cs="Times New Roman" w:hAnsi="Times New Roman" w:ascii="Times New Roman"/>
          <w:sz w:val="24"/>
          <w:szCs w:val="24"/>
        </w:rPr>
        <w:t>2016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E53AE0" w:rsidP="00D077D5" w:rsidR="00E53AE0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Stečajna sutkinja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E53AE0" w:rsidP="00D077D5" w:rsidR="00E53AE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3AE0" w:rsidP="00D077D5" w:rsidR="00E53AE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3AE0" w:rsidP="00D077D5" w:rsidR="00E53AE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3AE0" w:rsidP="00D077D5" w:rsidR="00E53AE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3AE0" w:rsidP="00D077D5" w:rsidR="00E53AE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E53AE0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3AE0" w:rsidP="00D077D5" w:rsidR="00E53AE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DNA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Rješenje dostaviti: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1.razlučnim vjerovnicima: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-Republika Hrvatsk</w:t>
      </w:r>
      <w:r w:rsidR="003636A7">
        <w:rPr>
          <w:rFonts w:cs="Times New Roman" w:hAnsi="Times New Roman" w:ascii="Times New Roman"/>
          <w:sz w:val="24"/>
          <w:szCs w:val="24"/>
        </w:rPr>
        <w:t>a</w:t>
      </w:r>
      <w:r w:rsidRPr="00D077D5">
        <w:rPr>
          <w:rFonts w:cs="Times New Roman" w:hAnsi="Times New Roman" w:ascii="Times New Roman"/>
          <w:sz w:val="24"/>
          <w:szCs w:val="24"/>
        </w:rPr>
        <w:t xml:space="preserve">, ŽDO u </w:t>
      </w:r>
      <w:r w:rsidR="00F27DF1">
        <w:rPr>
          <w:rFonts w:cs="Times New Roman" w:hAnsi="Times New Roman" w:ascii="Times New Roman"/>
          <w:sz w:val="24"/>
          <w:szCs w:val="24"/>
        </w:rPr>
        <w:t>Rijeci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-HABOR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stečajni upravitelj</w:t>
      </w:r>
    </w:p>
    <w:p w:rsidRDefault="001B220B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  <w:r w:rsidR="003636A7">
        <w:rPr>
          <w:rFonts w:cs="Times New Roman" w:hAnsi="Times New Roman" w:ascii="Times New Roman"/>
          <w:sz w:val="24"/>
          <w:szCs w:val="24"/>
        </w:rPr>
        <w:t xml:space="preserve">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objaviti na </w:t>
      </w:r>
      <w:r w:rsidR="00F27DF1">
        <w:rPr>
          <w:rFonts w:cs="Times New Roman" w:hAnsi="Times New Roman" w:ascii="Times New Roman"/>
          <w:sz w:val="24"/>
          <w:szCs w:val="24"/>
        </w:rPr>
        <w:t xml:space="preserve">e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oglasnoj ploči </w:t>
      </w: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D31C1" w:rsidP="00D077D5" w:rsidR="008D31C1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53AE0" w:rsidR="008D31C1" w:rsidRPr="00D077D5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AE0" w:rsidP="00E53AE0" w:rsidR="00E53AE0">
      <w:pPr>
        <w:spacing w:lineRule="auto" w:line="240" w:after="0"/>
      </w:pPr>
      <w:r>
        <w:separator/>
      </w:r>
    </w:p>
  </w:endnote>
  <w:endnote w:id="0" w:type="continuationSeparator">
    <w:p w:rsidRDefault="00E53AE0" w:rsidP="00E53AE0" w:rsidR="00E53A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4429560"/>
      <w:docPartObj>
        <w:docPartGallery w:val="Page Numbers (Bottom of Page)"/>
        <w:docPartUnique/>
      </w:docPartObj>
    </w:sdtPr>
    <w:sdtEndPr/>
    <w:sdtContent>
      <w:p w:rsidRDefault="00E53AE0" w:rsidR="00E53AE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E50">
          <w:rPr>
            <w:noProof/>
          </w:rPr>
          <w:t>3</w:t>
        </w:r>
        <w:r>
          <w:fldChar w:fldCharType="end"/>
        </w:r>
      </w:p>
    </w:sdtContent>
  </w:sdt>
  <w:p w:rsidRDefault="00E53AE0" w:rsidR="00E53AE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AE0" w:rsidP="00E53AE0" w:rsidR="00E53AE0">
      <w:pPr>
        <w:spacing w:lineRule="auto" w:line="240" w:after="0"/>
      </w:pPr>
      <w:r>
        <w:separator/>
      </w:r>
    </w:p>
  </w:footnote>
  <w:footnote w:id="0" w:type="continuationSeparator">
    <w:p w:rsidRDefault="00E53AE0" w:rsidP="00E53AE0" w:rsidR="00E53A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AE0" w:rsidP="00E53AE0" w:rsidR="00E53AE0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118/11-1</w:t>
    </w:r>
    <w:r w:rsidR="00876486">
      <w:rPr>
        <w:rFonts w:cs="Times New Roman" w:hAnsi="Times New Roman" w:ascii="Times New Roman"/>
        <w:sz w:val="24"/>
        <w:szCs w:val="24"/>
      </w:rPr>
      <w:t>42</w:t>
    </w:r>
  </w:p>
  <w:p w:rsidRDefault="00E53AE0" w:rsidR="00E53AE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E1D" w:rsidP="00183E1D" w:rsidR="00183E1D">
    <w:pPr>
      <w:spacing w:lineRule="auto" w:line="240" w:after="0"/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83E1D" w:rsidP="00183E1D" w:rsidR="00183E1D" w:rsidRPr="00183E1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83E1D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183E1D" w:rsidP="00183E1D" w:rsidR="00183E1D" w:rsidRPr="00183E1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83E1D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183E1D" w:rsidP="00183E1D" w:rsidR="00183E1D" w:rsidRPr="00183E1D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183E1D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C584A"/>
    <w:multiLevelType w:val="hybridMultilevel"/>
    <w:tmpl w:val="D75ED73C"/>
    <w:lvl w:tplc="FB383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458CE"/>
    <w:rsid w:val="00131CE6"/>
    <w:rsid w:val="0015443D"/>
    <w:rsid w:val="00167D79"/>
    <w:rsid w:val="00177AB2"/>
    <w:rsid w:val="00183E1D"/>
    <w:rsid w:val="001B220B"/>
    <w:rsid w:val="002D02DC"/>
    <w:rsid w:val="003636A7"/>
    <w:rsid w:val="0037076A"/>
    <w:rsid w:val="0062400F"/>
    <w:rsid w:val="00677736"/>
    <w:rsid w:val="006D6251"/>
    <w:rsid w:val="00700A83"/>
    <w:rsid w:val="00800CD7"/>
    <w:rsid w:val="008562EB"/>
    <w:rsid w:val="00876486"/>
    <w:rsid w:val="008D31C1"/>
    <w:rsid w:val="00B72E50"/>
    <w:rsid w:val="00BC2FC3"/>
    <w:rsid w:val="00D077D5"/>
    <w:rsid w:val="00DC6221"/>
    <w:rsid w:val="00E53AE0"/>
    <w:rsid w:val="00F27DF1"/>
    <w:rsid w:val="00F8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53AE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3AE0"/>
  </w:style>
  <w:style w:styleId="Podnoje" w:type="paragraph">
    <w:name w:val="footer"/>
    <w:basedOn w:val="Normal"/>
    <w:link w:val="PodnojeChar"/>
    <w:uiPriority w:val="99"/>
    <w:unhideWhenUsed/>
    <w:rsid w:val="00E53AE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3AE0"/>
  </w:style>
  <w:style w:styleId="Tekstbalonia" w:type="paragraph">
    <w:name w:val="Balloon Text"/>
    <w:basedOn w:val="Normal"/>
    <w:link w:val="TekstbaloniaChar"/>
    <w:uiPriority w:val="99"/>
    <w:semiHidden/>
    <w:unhideWhenUsed/>
    <w:rsid w:val="00177AB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7AB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2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E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E5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E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E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53AE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3AE0"/>
  </w:style>
  <w:style w:styleId="Podnoje" w:type="paragraph">
    <w:name w:val="footer"/>
    <w:basedOn w:val="Normal"/>
    <w:link w:val="PodnojeChar"/>
    <w:uiPriority w:val="99"/>
    <w:unhideWhenUsed/>
    <w:rsid w:val="00E53AE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3AE0"/>
  </w:style>
  <w:style w:styleId="Tekstbalonia" w:type="paragraph">
    <w:name w:val="Balloon Text"/>
    <w:basedOn w:val="Normal"/>
    <w:link w:val="TekstbaloniaChar"/>
    <w:uiPriority w:val="99"/>
    <w:semiHidden/>
    <w:unhideWhenUsed/>
    <w:rsid w:val="00177AB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7AB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2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E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E5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E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E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St-118/2011-151</izvorni_sadrzaj>
    <derivirana_varijabla naziv="DomainObject.Oznaka_1">St-118/2011-151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</izvorni_sadrzaj>
    <derivirana_varijabla naziv="DomainObject.Predmet.StrankaFormatedOIB_1">  OPĆINA DONJI LAPAC</derivirana_varijabla>
  </DomainObject.Predmet.StrankaFormatedOIB>
  <DomainObject.Predmet.StrankaFormatedWithAdress>
    <izvorni_sadrzaj> OPĆINA DONJI LAPAC, Trg Nikole Tesle 1, Donji Lapac</izvorni_sadrzaj>
    <derivirana_varijabla naziv="DomainObject.Predmet.StrankaFormatedWithAdress_1"> OPĆINA DONJI LAPAC, Trg Nikole Tesle 1, Donji Lapac</derivirana_varijabla>
  </DomainObject.Predmet.StrankaFormatedWithAdress>
  <DomainObject.Predmet.StrankaFormatedWithAdressOIB>
    <izvorni_sadrzaj> OPĆINA DONJI LAPAC, Trg Nikole Tesle 1, Donji Lapac</izvorni_sadrzaj>
    <derivirana_varijabla naziv="DomainObject.Predmet.StrankaFormatedWithAdressOIB_1"> OPĆINA DONJI LAPAC, Trg Nikole Tesle 1, Donji Lapac</derivirana_varijabla>
  </DomainObject.Predmet.StrankaFormatedWithAdressOIB>
  <DomainObject.Predmet.StrankaWithAdress>
    <izvorni_sadrzaj>OPĆINA DONJI LAPAC Trg Nikole Tesle 1,Donji Lapac</izvorni_sadrzaj>
    <derivirana_varijabla naziv="DomainObject.Predmet.StrankaWithAdress_1">OPĆINA DONJI LAPAC Trg Nikole Tesle 1,Donji Lapac</derivirana_varijabla>
  </DomainObject.Predmet.StrankaWithAdress>
  <DomainObject.Predmet.StrankaWithAdressOIB>
    <izvorni_sadrzaj>OPĆINA DONJI LAPAC, Trg Nikole Tesle 1,Donji Lapac</izvorni_sadrzaj>
    <derivirana_varijabla naziv="DomainObject.Predmet.StrankaWithAdressOIB_1">OPĆINA DONJI LAPAC, Trg Nikole Tesle 1,Donji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</izvorni_sadrzaj>
    <derivirana_varijabla naziv="DomainObject.Predmet.StrankaNazivFormatedOIB_1">OPĆINA DONJI LAPAC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</item>
    </izvorni_sadrzaj>
    <derivirana_varijabla naziv="DomainObject.Predmet.StrankaListFormatedOIB_1">
      <item>OPĆINA DONJI LAPAC</item>
    </derivirana_varijabla>
  </DomainObject.Predmet.StrankaListFormatedOIB>
  <DomainObject.Predmet.StrankaListFormatedWithAdress>
    <izvorni_sadrzaj>
      <item>OPĆINA DONJI LAPAC, Trg Nikole Tesle 1, Donji Lapac</item>
    </izvorni_sadrzaj>
    <derivirana_varijabla naziv="DomainObject.Predmet.StrankaListFormatedWithAdress_1">
      <item>OPĆINA DONJI LAPAC, Trg Nikole Tesle 1, Donji Lapac</item>
    </derivirana_varijabla>
  </DomainObject.Predmet.StrankaListFormatedWithAdress>
  <DomainObject.Predmet.StrankaListFormatedWithAdressOIB>
    <izvorni_sadrzaj>
      <item>OPĆINA DONJI LAPAC, Trg Nikole Tesle 1, Donji Lapac</item>
    </izvorni_sadrzaj>
    <derivirana_varijabla naziv="DomainObject.Predmet.StrankaListFormatedWithAdressOIB_1">
      <item>OPĆINA DONJI LAPAC, Trg Nikole Tesle 1,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</item>
    </izvorni_sadrzaj>
    <derivirana_varijabla naziv="DomainObject.Predmet.StrankaListNazivFormatedOIB_1">
      <item>OPĆINA DONJI LAPAC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St-118/2011-151</izvorni_sadrzaj>
    <derivirana_varijabla naziv="DomainObject.PoslovniBrojDokumenta_1">St-118/2011-151</derivirana_varijabla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Trg Nikole Tesle 1, Donji Lapac</izvorni_sadrzaj>
    <derivirana_varijabla naziv="DomainObject.Predmet.StrankaIDrugiAdressOIB_1">OPĆINA DONJI LAPAC, Trg Nikole Tesle 1,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1007</properties:Words>
  <properties:Characters>5097</properties:Characters>
  <properties:Lines>143</properties:Lines>
  <properties:Paragraphs>55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2016-07-13T11:11:00Z</dcterms:created>
  <dc:creator>Krunoslava Mikulić</dc:creator>
  <cp:lastModifiedBy>Renata Valić</cp:lastModifiedBy>
  <cp:lastPrinted>2016-07-13T11:37:00Z</cp:lastPrinted>
  <dcterms:modified xmlns:xsi="http://www.w3.org/2001/XMLSchema-instance" xsi:type="dcterms:W3CDTF">2016-07-13T11:39:00Z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St-118/2011-151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