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54ce" w14:paraId="9dd54ce" w:rsidRDefault="00DC60D2" w:rsidP="00DC60D2" w:rsidR="00DC60D2" w:rsidRPr="00DC60D2">
      <w:pPr>
        <w:spacing w:lineRule="auto" w:line="240" w:after="0"/>
        <w15:collapsed w:val="false"/>
        <w:rPr>
          <w:rFonts w:cs="Times New Roman" w:hAnsi="Times New Roman" w:ascii="Times New Roman"/>
          <w:b/>
          <w:sz w:val="24"/>
          <w:szCs w:val="24"/>
        </w:rPr>
      </w:pPr>
      <w:bookmarkStart w:name="_GoBack" w:id="0"/>
      <w:bookmarkEnd w:id="0"/>
      <w:r w:rsidRPr="00DC60D2">
        <w:rPr>
          <w:rFonts w:cs="Times New Roman" w:hAnsi="Times New Roman" w:ascii="Times New Roman"/>
          <w:b/>
          <w:sz w:val="24"/>
          <w:szCs w:val="24"/>
        </w:rPr>
        <w:t xml:space="preserve">                   </w:t>
      </w:r>
      <w:r w:rsidRPr="00DC60D2">
        <w:rPr>
          <w:rFonts w:cs="Times New Roman" w:hAnsi="Times New Roman" w:ascii="Times New Roman"/>
          <w:b/>
          <w:noProof/>
          <w:sz w:val="24"/>
          <w:szCs w:val="24"/>
          <w:lang w:eastAsia="hr-HR"/>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DC60D2">
        <w:rPr>
          <w:rFonts w:cs="Times New Roman" w:hAnsi="Times New Roman" w:ascii="Times New Roman"/>
          <w:b/>
          <w:sz w:val="24"/>
          <w:szCs w:val="24"/>
        </w:rPr>
        <w:t xml:space="preserve">                                                            </w:t>
      </w:r>
    </w:p>
    <w:p w:rsidRDefault="00DC60D2" w:rsidP="00DC60D2" w:rsidR="00DC60D2" w:rsidRPr="00DC60D2">
      <w:pPr>
        <w:spacing w:lineRule="auto" w:line="240" w:after="0"/>
        <w:rPr>
          <w:rFonts w:cs="Times New Roman" w:hAnsi="Times New Roman" w:ascii="Times New Roman"/>
          <w:sz w:val="24"/>
          <w:szCs w:val="24"/>
        </w:rPr>
      </w:pPr>
      <w:r w:rsidRPr="00DC60D2">
        <w:rPr>
          <w:rFonts w:cs="Times New Roman" w:hAnsi="Times New Roman" w:ascii="Times New Roman"/>
          <w:sz w:val="24"/>
          <w:szCs w:val="24"/>
        </w:rPr>
        <w:t xml:space="preserve">     REPUBLIKA HRVATSKA </w:t>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p>
    <w:p w:rsidRDefault="00DC60D2" w:rsidP="00DC60D2" w:rsidR="00DC60D2" w:rsidRPr="00DC60D2">
      <w:pPr>
        <w:spacing w:lineRule="auto" w:line="240" w:after="0"/>
        <w:rPr>
          <w:rFonts w:cs="Times New Roman" w:hAnsi="Times New Roman" w:ascii="Times New Roman"/>
          <w:sz w:val="24"/>
          <w:szCs w:val="24"/>
        </w:rPr>
      </w:pPr>
      <w:r w:rsidRPr="00DC60D2">
        <w:rPr>
          <w:rFonts w:cs="Times New Roman" w:hAnsi="Times New Roman" w:ascii="Times New Roman"/>
          <w:sz w:val="24"/>
          <w:szCs w:val="24"/>
        </w:rPr>
        <w:t xml:space="preserve"> TRGOVAČKI SUD U PAZINU</w:t>
      </w:r>
    </w:p>
    <w:p w:rsidRDefault="00DC60D2" w:rsidP="00DC60D2" w:rsidR="00DC60D2" w:rsidRPr="00DC60D2">
      <w:pPr>
        <w:spacing w:lineRule="auto" w:line="240" w:after="0"/>
        <w:rPr>
          <w:rFonts w:cs="Times New Roman" w:hAnsi="Times New Roman" w:ascii="Times New Roman"/>
          <w:sz w:val="24"/>
          <w:szCs w:val="24"/>
        </w:rPr>
      </w:pPr>
      <w:r w:rsidRPr="00DC60D2">
        <w:rPr>
          <w:rFonts w:cs="Times New Roman" w:hAnsi="Times New Roman" w:ascii="Times New Roman"/>
          <w:sz w:val="24"/>
          <w:szCs w:val="24"/>
        </w:rPr>
        <w:t xml:space="preserve">     52000 PAZIN, Dršćevka 1</w:t>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p>
    <w:p w:rsidRDefault="00DC60D2" w:rsidP="00DC60D2" w:rsidR="00DC60D2" w:rsidRPr="00DC60D2">
      <w:pPr>
        <w:spacing w:lineRule="auto" w:line="240" w:after="0"/>
        <w:jc w:val="both"/>
        <w:rPr>
          <w:rFonts w:cs="Times New Roman" w:hAnsi="Times New Roman" w:ascii="Times New Roman"/>
          <w:sz w:val="24"/>
          <w:szCs w:val="24"/>
        </w:rPr>
      </w:pPr>
    </w:p>
    <w:p w:rsidRDefault="00DC60D2" w:rsidP="00DC60D2" w:rsidR="00DC60D2" w:rsidRPr="00DC60D2">
      <w:pPr>
        <w:spacing w:lineRule="auto" w:line="240" w:after="0"/>
        <w:jc w:val="center"/>
        <w:rPr>
          <w:rFonts w:cs="Times New Roman" w:hAnsi="Times New Roman" w:ascii="Times New Roman"/>
          <w:sz w:val="24"/>
          <w:szCs w:val="24"/>
        </w:rPr>
      </w:pPr>
    </w:p>
    <w:p w:rsidRDefault="00DC60D2" w:rsidP="00DC60D2" w:rsidR="00DC60D2" w:rsidRPr="00DC60D2">
      <w:pPr>
        <w:spacing w:lineRule="auto" w:line="240" w:after="0"/>
        <w:jc w:val="center"/>
        <w:rPr>
          <w:rFonts w:cs="Times New Roman" w:hAnsi="Times New Roman" w:ascii="Times New Roman"/>
          <w:sz w:val="24"/>
          <w:szCs w:val="24"/>
        </w:rPr>
      </w:pPr>
      <w:r w:rsidRPr="00DC60D2">
        <w:rPr>
          <w:rFonts w:cs="Times New Roman" w:hAnsi="Times New Roman" w:ascii="Times New Roman"/>
          <w:sz w:val="24"/>
          <w:szCs w:val="24"/>
        </w:rPr>
        <w:t>R E P U B L I K A   H R V A T S K A</w:t>
      </w:r>
    </w:p>
    <w:p w:rsidRDefault="00DC60D2" w:rsidP="00DC60D2" w:rsidR="00DC60D2" w:rsidRPr="00DC60D2">
      <w:pPr>
        <w:spacing w:lineRule="auto" w:line="240" w:after="0"/>
        <w:jc w:val="center"/>
        <w:rPr>
          <w:rFonts w:cs="Times New Roman" w:hAnsi="Times New Roman" w:ascii="Times New Roman"/>
          <w:sz w:val="24"/>
          <w:szCs w:val="24"/>
        </w:rPr>
      </w:pPr>
    </w:p>
    <w:p w:rsidRDefault="00DC60D2" w:rsidP="00DC60D2" w:rsidR="00DC60D2" w:rsidRPr="00DC60D2">
      <w:pPr>
        <w:spacing w:lineRule="auto" w:line="240" w:after="0"/>
        <w:jc w:val="center"/>
        <w:rPr>
          <w:rFonts w:cs="Times New Roman" w:hAnsi="Times New Roman" w:ascii="Times New Roman"/>
          <w:sz w:val="24"/>
          <w:szCs w:val="24"/>
        </w:rPr>
      </w:pPr>
      <w:r w:rsidRPr="00DC60D2">
        <w:rPr>
          <w:rFonts w:cs="Times New Roman" w:hAnsi="Times New Roman" w:ascii="Times New Roman"/>
          <w:sz w:val="24"/>
          <w:szCs w:val="24"/>
        </w:rPr>
        <w:t>R J E Š E N J E</w:t>
      </w:r>
    </w:p>
    <w:p w:rsidRDefault="00DC60D2" w:rsidP="00DC60D2" w:rsidR="00DC60D2" w:rsidRPr="00DC60D2">
      <w:pPr>
        <w:spacing w:lineRule="auto" w:line="240" w:after="0"/>
        <w:jc w:val="both"/>
        <w:rPr>
          <w:rFonts w:cs="Times New Roman" w:hAnsi="Times New Roman" w:ascii="Times New Roman"/>
          <w:sz w:val="24"/>
          <w:szCs w:val="24"/>
        </w:rPr>
      </w:pPr>
    </w:p>
    <w:p w:rsidRDefault="00DC60D2" w:rsidP="00DC60D2" w:rsidR="00DC60D2"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 xml:space="preserve">Trgovački sud u Pazinu, po stečajnoj sutkinji Tijani Licul, u stečajnom postupku nad dužnikom PONJO d.o.o. „u stečaju“, Novigrad, Stancijeta 26, OIB 18165701657, </w:t>
      </w:r>
    </w:p>
    <w:p w:rsidRDefault="00DC60D2" w:rsidP="00DC60D2" w:rsidR="00DC60D2" w:rsidRPr="00DC60D2">
      <w:pPr>
        <w:spacing w:lineRule="auto" w:line="240" w:after="0"/>
        <w:jc w:val="both"/>
        <w:rPr>
          <w:rFonts w:cs="Times New Roman" w:hAnsi="Times New Roman" w:ascii="Times New Roman"/>
          <w:sz w:val="24"/>
          <w:szCs w:val="24"/>
        </w:rPr>
      </w:pPr>
    </w:p>
    <w:p w:rsidRDefault="00DC60D2" w:rsidP="00DC60D2" w:rsidR="00DC60D2" w:rsidRPr="00DC60D2">
      <w:pPr>
        <w:spacing w:lineRule="auto" w:line="240" w:after="0"/>
        <w:jc w:val="center"/>
        <w:rPr>
          <w:rFonts w:cs="Times New Roman" w:hAnsi="Times New Roman" w:ascii="Times New Roman"/>
          <w:sz w:val="24"/>
          <w:szCs w:val="24"/>
        </w:rPr>
      </w:pPr>
      <w:r w:rsidRPr="00DC60D2">
        <w:rPr>
          <w:rFonts w:cs="Times New Roman" w:hAnsi="Times New Roman" w:ascii="Times New Roman"/>
          <w:sz w:val="24"/>
          <w:szCs w:val="24"/>
        </w:rPr>
        <w:t>r i j e š i o  j e</w:t>
      </w:r>
    </w:p>
    <w:p w:rsidRDefault="00DC60D2" w:rsidP="00DC60D2" w:rsidR="00DC60D2" w:rsidRPr="00DC60D2">
      <w:pPr>
        <w:spacing w:lineRule="auto" w:line="240" w:after="0"/>
        <w:ind w:firstLine="708"/>
        <w:jc w:val="both"/>
        <w:rPr>
          <w:rFonts w:cs="Times New Roman" w:hAnsi="Times New Roman" w:ascii="Times New Roman"/>
          <w:sz w:val="24"/>
          <w:szCs w:val="24"/>
          <w:lang w:val="pl-PL"/>
        </w:rPr>
      </w:pPr>
    </w:p>
    <w:p w:rsidRDefault="00DC60D2" w:rsidP="00DC60D2" w:rsidR="00DC60D2" w:rsidRPr="00DC60D2">
      <w:pPr>
        <w:spacing w:lineRule="auto" w:line="240" w:after="0"/>
        <w:ind w:firstLine="708"/>
        <w:jc w:val="both"/>
        <w:rPr>
          <w:rFonts w:cs="Times New Roman" w:hAnsi="Times New Roman" w:ascii="Times New Roman"/>
          <w:sz w:val="24"/>
          <w:szCs w:val="24"/>
        </w:rPr>
      </w:pPr>
      <w:r w:rsidRPr="00DC60D2">
        <w:rPr>
          <w:rFonts w:cs="Times New Roman" w:hAnsi="Times New Roman" w:ascii="Times New Roman"/>
          <w:sz w:val="24"/>
          <w:szCs w:val="24"/>
          <w:lang w:val="pl-PL"/>
        </w:rPr>
        <w:t xml:space="preserve">I. Razrješuje se dužnosti stečajnog upravitelja Štefan Rola, Ulica Franje Pokornya 6, Zagreb, OIB: 2669804889. </w:t>
      </w:r>
    </w:p>
    <w:p w:rsidRDefault="00DC60D2" w:rsidP="00DC60D2" w:rsidR="00DC60D2" w:rsidRPr="00DC60D2">
      <w:pPr>
        <w:spacing w:lineRule="auto" w:line="240" w:after="0"/>
        <w:jc w:val="both"/>
        <w:rPr>
          <w:rFonts w:cs="Times New Roman" w:hAnsi="Times New Roman" w:ascii="Times New Roman"/>
          <w:sz w:val="24"/>
          <w:szCs w:val="24"/>
          <w:lang w:val="pl-PL"/>
        </w:rPr>
      </w:pPr>
    </w:p>
    <w:p w:rsidRDefault="00DC60D2" w:rsidP="006D47CF" w:rsidR="00FB2F4D">
      <w:pPr>
        <w:spacing w:lineRule="auto" w:line="240" w:after="0"/>
        <w:ind w:firstLine="708"/>
        <w:jc w:val="both"/>
        <w:rPr>
          <w:rFonts w:cs="Times New Roman" w:hAnsi="Times New Roman" w:ascii="Times New Roman"/>
          <w:sz w:val="24"/>
          <w:szCs w:val="24"/>
        </w:rPr>
      </w:pPr>
      <w:r w:rsidRPr="00DC60D2">
        <w:rPr>
          <w:rFonts w:cs="Times New Roman" w:hAnsi="Times New Roman" w:ascii="Times New Roman"/>
          <w:sz w:val="24"/>
          <w:szCs w:val="24"/>
          <w:lang w:val="pl-PL"/>
        </w:rPr>
        <w:t xml:space="preserve">II. Za novog stečajnog upravitelja imenuje se </w:t>
      </w:r>
      <w:r w:rsidR="006D47CF">
        <w:rPr>
          <w:rFonts w:cs="Times New Roman" w:hAnsi="Times New Roman" w:ascii="Times New Roman"/>
          <w:sz w:val="24"/>
          <w:szCs w:val="24"/>
        </w:rPr>
        <w:t>Gordana Štifter Draščić, Jurdani, Obadi 90c, OIB: 31023139608.</w:t>
      </w:r>
    </w:p>
    <w:p w:rsidRDefault="006D47CF" w:rsidP="006D47CF" w:rsidR="006D47CF" w:rsidRPr="00DC60D2">
      <w:pPr>
        <w:spacing w:lineRule="auto" w:line="240" w:after="0"/>
        <w:ind w:firstLine="708"/>
        <w:jc w:val="both"/>
        <w:rPr>
          <w:rFonts w:cs="Times New Roman" w:hAnsi="Times New Roman" w:ascii="Times New Roman"/>
          <w:sz w:val="24"/>
          <w:szCs w:val="24"/>
        </w:rPr>
      </w:pPr>
    </w:p>
    <w:p w:rsidRDefault="00DC60D2" w:rsidP="00DC60D2" w:rsidR="00FB2F4D" w:rsidRPr="00DC60D2">
      <w:pPr>
        <w:spacing w:lineRule="auto" w:line="240" w:after="0"/>
        <w:ind w:firstLine="708"/>
        <w:jc w:val="both"/>
        <w:rPr>
          <w:rFonts w:cs="Times New Roman" w:hAnsi="Times New Roman" w:ascii="Times New Roman"/>
          <w:sz w:val="24"/>
          <w:szCs w:val="24"/>
          <w:shd w:fill="FFFFFF" w:color="auto" w:val="clear"/>
        </w:rPr>
      </w:pPr>
      <w:r w:rsidRPr="00DC60D2">
        <w:rPr>
          <w:rFonts w:cs="Times New Roman" w:hAnsi="Times New Roman" w:ascii="Times New Roman"/>
          <w:sz w:val="24"/>
          <w:szCs w:val="24"/>
          <w:shd w:fill="FFFFFF" w:color="auto" w:val="clear"/>
        </w:rPr>
        <w:t xml:space="preserve">III. </w:t>
      </w:r>
      <w:r w:rsidR="00FB2F4D" w:rsidRPr="00DC60D2">
        <w:rPr>
          <w:rFonts w:cs="Times New Roman" w:hAnsi="Times New Roman" w:ascii="Times New Roman"/>
          <w:sz w:val="24"/>
          <w:szCs w:val="24"/>
          <w:shd w:fill="FFFFFF" w:color="auto" w:val="clear"/>
        </w:rPr>
        <w:t>Prijašnji stečajni upravitelj dužan je predati svoje dužnosti novom stečajnom upravitelju u roku od tri dana</w:t>
      </w:r>
      <w:r w:rsidRPr="00DC60D2">
        <w:rPr>
          <w:rFonts w:cs="Times New Roman" w:hAnsi="Times New Roman" w:ascii="Times New Roman"/>
          <w:sz w:val="24"/>
          <w:szCs w:val="24"/>
          <w:shd w:fill="FFFFFF" w:color="auto" w:val="clear"/>
        </w:rPr>
        <w:t xml:space="preserve"> od dana </w:t>
      </w:r>
      <w:r w:rsidR="006918AF">
        <w:rPr>
          <w:rFonts w:cs="Times New Roman" w:hAnsi="Times New Roman" w:ascii="Times New Roman"/>
          <w:sz w:val="24"/>
          <w:szCs w:val="24"/>
          <w:shd w:fill="FFFFFF" w:color="auto" w:val="clear"/>
        </w:rPr>
        <w:t>dostave</w:t>
      </w:r>
      <w:r w:rsidRPr="00DC60D2">
        <w:rPr>
          <w:rFonts w:cs="Times New Roman" w:hAnsi="Times New Roman" w:ascii="Times New Roman"/>
          <w:sz w:val="24"/>
          <w:szCs w:val="24"/>
          <w:shd w:fill="FFFFFF" w:color="auto" w:val="clear"/>
        </w:rPr>
        <w:t xml:space="preserve"> ove odluke</w:t>
      </w:r>
      <w:r w:rsidR="00FB2F4D" w:rsidRPr="00DC60D2">
        <w:rPr>
          <w:rFonts w:cs="Times New Roman" w:hAnsi="Times New Roman" w:ascii="Times New Roman"/>
          <w:sz w:val="24"/>
          <w:szCs w:val="24"/>
          <w:shd w:fill="FFFFFF" w:color="auto" w:val="clear"/>
        </w:rPr>
        <w:t>.</w:t>
      </w:r>
    </w:p>
    <w:p w:rsidRDefault="00DC60D2" w:rsidP="00DC60D2" w:rsidR="00DC60D2" w:rsidRPr="00DC60D2">
      <w:pPr>
        <w:spacing w:lineRule="auto" w:line="240" w:after="0"/>
        <w:rPr>
          <w:rFonts w:cs="Times New Roman" w:hAnsi="Times New Roman" w:ascii="Times New Roman"/>
          <w:sz w:val="24"/>
          <w:szCs w:val="24"/>
          <w:shd w:fill="FFFFFF" w:color="auto" w:val="clear"/>
        </w:rPr>
      </w:pPr>
    </w:p>
    <w:p w:rsidRDefault="00DC60D2" w:rsidP="00DC60D2" w:rsidR="00DC60D2" w:rsidRPr="00DC60D2">
      <w:pPr>
        <w:spacing w:lineRule="auto" w:line="240" w:after="0"/>
        <w:jc w:val="center"/>
        <w:rPr>
          <w:rFonts w:cs="Times New Roman" w:hAnsi="Times New Roman" w:ascii="Times New Roman"/>
          <w:sz w:val="24"/>
          <w:szCs w:val="24"/>
        </w:rPr>
      </w:pPr>
      <w:r w:rsidRPr="00DC60D2">
        <w:rPr>
          <w:rFonts w:cs="Times New Roman" w:hAnsi="Times New Roman" w:ascii="Times New Roman"/>
          <w:sz w:val="24"/>
          <w:szCs w:val="24"/>
        </w:rPr>
        <w:t>Obrazloženje</w:t>
      </w:r>
    </w:p>
    <w:p w:rsidRDefault="00FB2F4D" w:rsidP="00DC60D2" w:rsidR="00FB2F4D" w:rsidRPr="00DC60D2">
      <w:pPr>
        <w:spacing w:lineRule="auto" w:line="240" w:after="0"/>
        <w:jc w:val="both"/>
        <w:rPr>
          <w:rFonts w:cs="Times New Roman" w:hAnsi="Times New Roman" w:ascii="Times New Roman"/>
          <w:sz w:val="24"/>
          <w:szCs w:val="24"/>
        </w:rPr>
      </w:pPr>
    </w:p>
    <w:p w:rsidRDefault="0061041B" w:rsidP="00DC60D2" w:rsidR="000014E8"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Rješenjem posl. broj: 4 St-456/16-19 od 09. rujna 2016. godine otvoren je stečajni postupak nad dužnikom. Stečajnim upraviteljem imenovan je Štefan Rola</w:t>
      </w:r>
      <w:r w:rsidR="008512F7" w:rsidRPr="00DC60D2">
        <w:rPr>
          <w:rFonts w:cs="Times New Roman" w:hAnsi="Times New Roman" w:ascii="Times New Roman"/>
          <w:sz w:val="24"/>
          <w:szCs w:val="24"/>
        </w:rPr>
        <w:t>, temeljem čl. 85. st. 2. Stečajnog zakona (Narodne novine broj 71/15, dalje: SZ) budući je isti u prethodnom postupku obnašao dužnost privremenog stečajnog upravitelja.</w:t>
      </w:r>
    </w:p>
    <w:p w:rsidRDefault="008512F7" w:rsidP="00DC60D2" w:rsidR="008512F7" w:rsidRPr="00DC60D2">
      <w:pPr>
        <w:spacing w:lineRule="auto" w:line="240" w:after="0"/>
        <w:jc w:val="both"/>
        <w:rPr>
          <w:rFonts w:cs="Times New Roman" w:hAnsi="Times New Roman" w:ascii="Times New Roman"/>
          <w:sz w:val="24"/>
          <w:szCs w:val="24"/>
        </w:rPr>
      </w:pPr>
    </w:p>
    <w:p w:rsidRDefault="008512F7" w:rsidP="00DC60D2" w:rsidR="008512F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Za dan 12. siječnja 2017. godine zakazano je ispitno i izvještajno ročište.</w:t>
      </w:r>
    </w:p>
    <w:p w:rsidRDefault="008512F7" w:rsidP="00DC60D2" w:rsidR="008512F7" w:rsidRPr="00DC60D2">
      <w:pPr>
        <w:spacing w:lineRule="auto" w:line="240" w:after="0"/>
        <w:jc w:val="both"/>
        <w:rPr>
          <w:rFonts w:cs="Times New Roman" w:hAnsi="Times New Roman" w:ascii="Times New Roman"/>
          <w:sz w:val="24"/>
          <w:szCs w:val="24"/>
        </w:rPr>
      </w:pPr>
    </w:p>
    <w:p w:rsidRDefault="008512F7" w:rsidP="00DC60D2" w:rsidR="008512F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Na ispitno ročište pristupili su kao vjerovnici koji su prijavili tražbine: Republika Hrvatska, Erste &amp; Steiermaerkische bank d.d. te Posojilnica Bank eGreen.</w:t>
      </w:r>
    </w:p>
    <w:p w:rsidRDefault="008512F7" w:rsidP="00DC60D2" w:rsidR="008512F7" w:rsidRPr="00DC60D2">
      <w:pPr>
        <w:spacing w:lineRule="auto" w:line="240" w:after="0"/>
        <w:jc w:val="both"/>
        <w:rPr>
          <w:rFonts w:cs="Times New Roman" w:hAnsi="Times New Roman" w:ascii="Times New Roman"/>
          <w:sz w:val="24"/>
          <w:szCs w:val="24"/>
        </w:rPr>
      </w:pPr>
    </w:p>
    <w:p w:rsidRDefault="008512F7" w:rsidP="00DC60D2" w:rsidR="008512F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Nakon što je sudac otvorio raspravu i objavio predmet ročišta – ispitivanje prijavljenih tražbin</w:t>
      </w:r>
      <w:r w:rsidR="00181B56">
        <w:rPr>
          <w:rFonts w:cs="Times New Roman" w:hAnsi="Times New Roman" w:ascii="Times New Roman"/>
          <w:sz w:val="24"/>
          <w:szCs w:val="24"/>
        </w:rPr>
        <w:t>a</w:t>
      </w:r>
      <w:r w:rsidRPr="00DC60D2">
        <w:rPr>
          <w:rFonts w:cs="Times New Roman" w:hAnsi="Times New Roman" w:ascii="Times New Roman"/>
          <w:sz w:val="24"/>
          <w:szCs w:val="24"/>
        </w:rPr>
        <w:t xml:space="preserve"> Republika Hrvatska je predložila razrješenje stečajnog upravitelja Štefana Role jer je došla do saznanja da je isti u Republici Sloveniji pravomoćno osuđen za počinjenje kaznenog dijela radi čega mu je oduzeta licenca za obavljanje</w:t>
      </w:r>
      <w:r w:rsidR="006918AF">
        <w:rPr>
          <w:rFonts w:cs="Times New Roman" w:hAnsi="Times New Roman" w:ascii="Times New Roman"/>
          <w:sz w:val="24"/>
          <w:szCs w:val="24"/>
        </w:rPr>
        <w:t xml:space="preserve"> dužnosti stečajnog upravitelja u Republici Sloveniji.</w:t>
      </w:r>
    </w:p>
    <w:p w:rsidRDefault="008512F7" w:rsidP="00DC60D2" w:rsidR="008512F7" w:rsidRPr="00DC60D2">
      <w:pPr>
        <w:spacing w:lineRule="auto" w:line="240" w:after="0"/>
        <w:jc w:val="both"/>
        <w:rPr>
          <w:rFonts w:cs="Times New Roman" w:hAnsi="Times New Roman" w:ascii="Times New Roman"/>
          <w:sz w:val="24"/>
          <w:szCs w:val="24"/>
        </w:rPr>
      </w:pPr>
    </w:p>
    <w:p w:rsidRDefault="006E6C47" w:rsidP="00DC60D2" w:rsidR="008512F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Stečajni upravitelj nije osporio da je u Republici Sloveniji osuđen za kazneno djelo radi čega mu je oduzeta licenca za obavljanje dužnosti stečajnog upravitelja u Republici Sloveniji, no navodi da se ne radi o kaznenom dijelu koje bi bilo u vezi sa stečajnim postupkom.</w:t>
      </w:r>
    </w:p>
    <w:p w:rsidRDefault="006E6C47" w:rsidP="00DC60D2" w:rsidR="006E6C47" w:rsidRPr="00DC60D2">
      <w:pPr>
        <w:spacing w:lineRule="auto" w:line="240" w:after="0"/>
        <w:jc w:val="both"/>
        <w:rPr>
          <w:rFonts w:cs="Times New Roman" w:hAnsi="Times New Roman" w:ascii="Times New Roman"/>
          <w:sz w:val="24"/>
          <w:szCs w:val="24"/>
        </w:rPr>
      </w:pPr>
    </w:p>
    <w:p w:rsidRDefault="006E6C47" w:rsidP="00DC60D2" w:rsidR="006E6C4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lastRenderedPageBreak/>
        <w:tab/>
        <w:t>Nakon toga, preostali nazočni vjerovnici suglasili su se sa prijedlogom Republike Hrvatske da se stečajni upravitelj Štefan Rola razriješi dužnosti stečajnog upravitelja zbog navedenih razloga, kao i da se imenuje novi stečajni upravitelj sukladno čl. 84. st. 1. SZ-a, te je donesena odluk</w:t>
      </w:r>
      <w:r w:rsidR="006D47CF">
        <w:rPr>
          <w:rFonts w:cs="Times New Roman" w:hAnsi="Times New Roman" w:ascii="Times New Roman"/>
          <w:sz w:val="24"/>
          <w:szCs w:val="24"/>
        </w:rPr>
        <w:t>a</w:t>
      </w:r>
      <w:r w:rsidRPr="00DC60D2">
        <w:rPr>
          <w:rFonts w:cs="Times New Roman" w:hAnsi="Times New Roman" w:ascii="Times New Roman"/>
          <w:sz w:val="24"/>
          <w:szCs w:val="24"/>
        </w:rPr>
        <w:t xml:space="preserve"> u vidu odluke skupštine vjerovnika.</w:t>
      </w:r>
    </w:p>
    <w:p w:rsidRDefault="006E6C47" w:rsidP="00DC60D2" w:rsidR="006E6C47" w:rsidRPr="00DC60D2">
      <w:pPr>
        <w:spacing w:lineRule="auto" w:line="240" w:after="0"/>
        <w:jc w:val="both"/>
        <w:rPr>
          <w:rFonts w:cs="Times New Roman" w:hAnsi="Times New Roman" w:ascii="Times New Roman"/>
          <w:sz w:val="24"/>
          <w:szCs w:val="24"/>
        </w:rPr>
      </w:pPr>
    </w:p>
    <w:p w:rsidRDefault="006E6C47" w:rsidP="00DC60D2" w:rsidR="006E6C4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Međutim, na ispitnom ročištu prije nego što su tražbine vjerovnika koje su prijavljene stečajnom upravitelju isp</w:t>
      </w:r>
      <w:r w:rsidR="006044B1" w:rsidRPr="00DC60D2">
        <w:rPr>
          <w:rFonts w:cs="Times New Roman" w:hAnsi="Times New Roman" w:ascii="Times New Roman"/>
          <w:sz w:val="24"/>
          <w:szCs w:val="24"/>
        </w:rPr>
        <w:t>itane i utvrđene, vjerovnici nisu u mogućnosti donositi odluke jer oni pravo glasa stječu tek nakon što su ima tražbine utvrđene (čl. 106. SZ-a).</w:t>
      </w:r>
    </w:p>
    <w:p w:rsidRDefault="006044B1" w:rsidP="00DC60D2" w:rsidR="006044B1" w:rsidRPr="00DC60D2">
      <w:pPr>
        <w:spacing w:lineRule="auto" w:line="240" w:after="0"/>
        <w:jc w:val="both"/>
        <w:rPr>
          <w:rFonts w:cs="Times New Roman" w:hAnsi="Times New Roman" w:ascii="Times New Roman"/>
          <w:sz w:val="24"/>
          <w:szCs w:val="24"/>
        </w:rPr>
      </w:pPr>
    </w:p>
    <w:p w:rsidRDefault="006044B1" w:rsidP="00DC60D2" w:rsidR="006044B1"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Slijedom navedenog odluka vjerovnika sa ispitnog ročišta održanog 12. siječnja 2017. godine nije valjana.</w:t>
      </w:r>
    </w:p>
    <w:p w:rsidRDefault="006044B1" w:rsidP="00DC60D2" w:rsidR="006044B1" w:rsidRPr="00DC60D2">
      <w:pPr>
        <w:spacing w:lineRule="auto" w:line="240" w:after="0"/>
        <w:jc w:val="both"/>
        <w:rPr>
          <w:rFonts w:cs="Times New Roman" w:hAnsi="Times New Roman" w:ascii="Times New Roman"/>
          <w:sz w:val="24"/>
          <w:szCs w:val="24"/>
        </w:rPr>
      </w:pPr>
    </w:p>
    <w:p w:rsidRDefault="00FB2F4D" w:rsidP="00DC60D2" w:rsidR="006044B1" w:rsidRPr="006D47CF">
      <w:pPr>
        <w:spacing w:lineRule="auto" w:line="240" w:after="0"/>
        <w:jc w:val="both"/>
        <w:rPr>
          <w:rFonts w:cs="Times New Roman" w:hAnsi="Times New Roman" w:ascii="Times New Roman"/>
          <w:sz w:val="24"/>
          <w:szCs w:val="24"/>
          <w:shd w:fill="FFFFFF" w:color="auto" w:val="clear"/>
        </w:rPr>
      </w:pPr>
      <w:r w:rsidRPr="00DC60D2">
        <w:rPr>
          <w:rFonts w:cs="Times New Roman" w:hAnsi="Times New Roman" w:ascii="Times New Roman"/>
          <w:sz w:val="24"/>
          <w:szCs w:val="24"/>
        </w:rPr>
        <w:tab/>
        <w:t>Odredbom čl. 91. st. 2. SZ-a propisano je da s</w:t>
      </w:r>
      <w:r w:rsidRPr="00DC60D2">
        <w:rPr>
          <w:rFonts w:cs="Times New Roman" w:hAnsi="Times New Roman" w:ascii="Times New Roman"/>
          <w:sz w:val="24"/>
          <w:szCs w:val="24"/>
          <w:shd w:fill="FFFFFF" w:color="auto" w:val="clear"/>
        </w:rPr>
        <w:t>ud može po službenoj dužnosti razriješiti stečajnoga upravitelja i prije isteka roka iz stavka 1. ovoga članka (razrješenje stečajnog upravitelj</w:t>
      </w:r>
      <w:r w:rsidR="006D47CF">
        <w:rPr>
          <w:rFonts w:cs="Times New Roman" w:hAnsi="Times New Roman" w:ascii="Times New Roman"/>
          <w:sz w:val="24"/>
          <w:szCs w:val="24"/>
          <w:shd w:fill="FFFFFF" w:color="auto" w:val="clear"/>
        </w:rPr>
        <w:t>a</w:t>
      </w:r>
      <w:r w:rsidRPr="00DC60D2">
        <w:rPr>
          <w:rFonts w:cs="Times New Roman" w:hAnsi="Times New Roman" w:ascii="Times New Roman"/>
          <w:sz w:val="24"/>
          <w:szCs w:val="24"/>
          <w:shd w:fill="FFFFFF" w:color="auto" w:val="clear"/>
        </w:rPr>
        <w:t xml:space="preserve"> od strane suda je</w:t>
      </w:r>
      <w:r w:rsidR="006D47CF">
        <w:rPr>
          <w:rFonts w:cs="Times New Roman" w:hAnsi="Times New Roman" w:ascii="Times New Roman"/>
          <w:sz w:val="24"/>
          <w:szCs w:val="24"/>
          <w:shd w:fill="FFFFFF" w:color="auto" w:val="clear"/>
        </w:rPr>
        <w:t>r</w:t>
      </w:r>
      <w:r w:rsidRPr="00DC60D2">
        <w:rPr>
          <w:rFonts w:cs="Times New Roman" w:hAnsi="Times New Roman" w:ascii="Times New Roman"/>
          <w:sz w:val="24"/>
          <w:szCs w:val="24"/>
          <w:shd w:fill="FFFFFF" w:color="auto" w:val="clear"/>
        </w:rPr>
        <w:t xml:space="preserve"> u godinu i pol dana od dana održavanja izvještajnog ročišta nije unovčio imovinu dužnika) ako svoju dužnost ne obavlja uspješno ili iz drugih važnih razloga, osobito ako ne postupa po nalogu suda.</w:t>
      </w:r>
    </w:p>
    <w:p w:rsidRDefault="006E6C47" w:rsidP="00DC60D2" w:rsidR="00FB2F4D"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r>
    </w:p>
    <w:p w:rsidRDefault="00FB2F4D" w:rsidP="00DC60D2" w:rsidR="006E6C47"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Obzirom na saznanja kojima sud raspolaže, a do kojih je došao na ročištu održanom 12. siječnja 2017. godine – oduzimanje licence stečajno</w:t>
      </w:r>
      <w:r w:rsidR="006D47CF">
        <w:rPr>
          <w:rFonts w:cs="Times New Roman" w:hAnsi="Times New Roman" w:ascii="Times New Roman"/>
          <w:sz w:val="24"/>
          <w:szCs w:val="24"/>
        </w:rPr>
        <w:t>m</w:t>
      </w:r>
      <w:r w:rsidRPr="00DC60D2">
        <w:rPr>
          <w:rFonts w:cs="Times New Roman" w:hAnsi="Times New Roman" w:ascii="Times New Roman"/>
          <w:sz w:val="24"/>
          <w:szCs w:val="24"/>
        </w:rPr>
        <w:t xml:space="preserve"> upravitelju Štefanu Roli u Republici Sloveniji zbog počinjenja kaznenog dijela za koje je pravomoćno osuđen, sud je odgovarajućom primjenom čl. 91. st. 2. SZ-a donio odluku o razrješenju Štefana Role dužnosti stečajnog upravitelja u ovom postupku.</w:t>
      </w:r>
    </w:p>
    <w:p w:rsidRDefault="00FB2F4D" w:rsidP="00DC60D2" w:rsidR="00FB2F4D" w:rsidRPr="00DC60D2">
      <w:pPr>
        <w:spacing w:lineRule="auto" w:line="240" w:after="0"/>
        <w:jc w:val="both"/>
        <w:rPr>
          <w:rFonts w:cs="Times New Roman" w:hAnsi="Times New Roman" w:ascii="Times New Roman"/>
          <w:sz w:val="24"/>
          <w:szCs w:val="24"/>
        </w:rPr>
      </w:pPr>
    </w:p>
    <w:p w:rsidRDefault="00FB2F4D" w:rsidP="00DC60D2" w:rsidR="00FB2F4D"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Izneseno, a što nije osporeno od strane stečajnog upravitelja Štefana Role, dovod</w:t>
      </w:r>
      <w:r w:rsidR="006D47CF">
        <w:rPr>
          <w:rFonts w:cs="Times New Roman" w:hAnsi="Times New Roman" w:ascii="Times New Roman"/>
          <w:sz w:val="24"/>
          <w:szCs w:val="24"/>
        </w:rPr>
        <w:t>i</w:t>
      </w:r>
      <w:r w:rsidRPr="00DC60D2">
        <w:rPr>
          <w:rFonts w:cs="Times New Roman" w:hAnsi="Times New Roman" w:ascii="Times New Roman"/>
          <w:sz w:val="24"/>
          <w:szCs w:val="24"/>
        </w:rPr>
        <w:t xml:space="preserve"> u sumnju njegovu podobnost za vođenje ovog stečajnog postupka, pa je sud odgovarajućom primjenom čl. 91. st. 2. SZ-a odlučio kao u izreci ovog rješenja.</w:t>
      </w:r>
    </w:p>
    <w:p w:rsidRDefault="00FB2F4D" w:rsidP="00DC60D2" w:rsidR="00FB2F4D" w:rsidRPr="00DC60D2">
      <w:pPr>
        <w:spacing w:lineRule="auto" w:line="240" w:after="0"/>
        <w:jc w:val="both"/>
        <w:rPr>
          <w:rFonts w:cs="Times New Roman" w:hAnsi="Times New Roman" w:ascii="Times New Roman"/>
          <w:sz w:val="24"/>
          <w:szCs w:val="24"/>
        </w:rPr>
      </w:pPr>
    </w:p>
    <w:p w:rsidRDefault="00FB2F4D" w:rsidP="00DC60D2" w:rsidR="00FB2F4D"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Odredbom čl. 91. st. 8. SZ-a propisano je da će r</w:t>
      </w:r>
      <w:r w:rsidRPr="00DC60D2">
        <w:rPr>
          <w:rFonts w:cs="Times New Roman" w:hAnsi="Times New Roman" w:ascii="Times New Roman"/>
          <w:sz w:val="24"/>
          <w:szCs w:val="24"/>
          <w:shd w:fill="FFFFFF" w:color="auto" w:val="clear"/>
        </w:rPr>
        <w:t>ješenjem o razrješenju stečajnoga upravitelja sud donijeti odluku o imenovanju novoga stečajnog upravitelja odgovarajućom primjenom odredbe članka 84. ovoga Zakona. Na sljedećem ili kojem kasnijem ročištu skupština vjerovnika može izabrati neku drugu osobu za stečajnoga upravitelja odgovarajućom primjenom odredbe članka 87. ovoga Zakona.</w:t>
      </w:r>
    </w:p>
    <w:p w:rsidRDefault="008512F7" w:rsidP="00DC60D2" w:rsidR="008512F7" w:rsidRPr="00DC60D2">
      <w:pPr>
        <w:spacing w:lineRule="auto" w:line="240" w:after="0"/>
        <w:jc w:val="both"/>
        <w:rPr>
          <w:rFonts w:cs="Times New Roman" w:hAnsi="Times New Roman" w:ascii="Times New Roman"/>
          <w:sz w:val="24"/>
          <w:szCs w:val="24"/>
        </w:rPr>
      </w:pPr>
    </w:p>
    <w:p w:rsidRDefault="00FB2F4D" w:rsidP="00DC60D2" w:rsidR="00FB2F4D"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ab/>
        <w:t xml:space="preserve">Radi navedenog, sukladno čl. 84. st. 1. SZ-a imenovan je novi stečajni upravitelj. </w:t>
      </w:r>
    </w:p>
    <w:p w:rsidRDefault="00FB2F4D" w:rsidP="00DC60D2" w:rsidR="00FB2F4D" w:rsidRPr="00DC60D2">
      <w:pPr>
        <w:spacing w:lineRule="auto" w:line="240" w:after="0"/>
        <w:rPr>
          <w:rFonts w:cs="Times New Roman" w:hAnsi="Times New Roman" w:ascii="Times New Roman"/>
          <w:sz w:val="24"/>
          <w:szCs w:val="24"/>
        </w:rPr>
      </w:pPr>
    </w:p>
    <w:p w:rsidRDefault="00FB2F4D" w:rsidP="00DC60D2" w:rsidR="00DC60D2" w:rsidRPr="00DC60D2">
      <w:pPr>
        <w:spacing w:lineRule="auto" w:line="240" w:after="0"/>
        <w:jc w:val="center"/>
        <w:rPr>
          <w:rFonts w:cs="Times New Roman" w:hAnsi="Times New Roman" w:ascii="Times New Roman"/>
          <w:sz w:val="24"/>
          <w:szCs w:val="24"/>
        </w:rPr>
      </w:pPr>
      <w:r w:rsidRPr="00DC60D2">
        <w:rPr>
          <w:rStyle w:val="apple-converted-space"/>
          <w:rFonts w:cs="Times New Roman" w:hAnsi="Times New Roman" w:ascii="Times New Roman"/>
          <w:sz w:val="24"/>
          <w:szCs w:val="24"/>
          <w:shd w:fill="FFFFFF" w:color="auto" w:val="clear"/>
        </w:rPr>
        <w:t> </w:t>
      </w:r>
      <w:r w:rsidR="00DC60D2" w:rsidRPr="00DC60D2">
        <w:rPr>
          <w:rFonts w:cs="Times New Roman" w:hAnsi="Times New Roman" w:ascii="Times New Roman"/>
          <w:sz w:val="24"/>
          <w:szCs w:val="24"/>
        </w:rPr>
        <w:t>U Pazinu, 13. siječnja 2017.</w:t>
      </w:r>
    </w:p>
    <w:p w:rsidRDefault="00DC60D2" w:rsidP="00DC60D2" w:rsidR="00DC60D2"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 xml:space="preserve">  </w:t>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p>
    <w:p w:rsidRDefault="00DC60D2" w:rsidP="00DC60D2" w:rsidR="00DC60D2" w:rsidRPr="00DC60D2">
      <w:pPr>
        <w:spacing w:lineRule="auto" w:line="240" w:after="0"/>
        <w:ind w:firstLine="708" w:left="4956"/>
        <w:jc w:val="both"/>
        <w:rPr>
          <w:rFonts w:cs="Times New Roman" w:hAnsi="Times New Roman" w:ascii="Times New Roman"/>
          <w:sz w:val="24"/>
          <w:szCs w:val="24"/>
        </w:rPr>
      </w:pPr>
      <w:r w:rsidRPr="00DC60D2">
        <w:rPr>
          <w:rFonts w:cs="Times New Roman" w:hAnsi="Times New Roman" w:ascii="Times New Roman"/>
          <w:sz w:val="24"/>
          <w:szCs w:val="24"/>
        </w:rPr>
        <w:t>Stečajna sutkinja:</w:t>
      </w:r>
    </w:p>
    <w:p w:rsidRDefault="00DC60D2" w:rsidP="00DC60D2" w:rsidR="00DC60D2" w:rsidRPr="00DC60D2">
      <w:pPr>
        <w:spacing w:lineRule="auto" w:line="240" w:after="0"/>
        <w:ind w:left="5664"/>
        <w:jc w:val="both"/>
        <w:rPr>
          <w:rFonts w:cs="Times New Roman" w:hAnsi="Times New Roman" w:ascii="Times New Roman"/>
          <w:sz w:val="24"/>
          <w:szCs w:val="24"/>
        </w:rPr>
      </w:pPr>
      <w:r w:rsidRPr="00DC60D2">
        <w:rPr>
          <w:rFonts w:cs="Times New Roman" w:hAnsi="Times New Roman" w:ascii="Times New Roman"/>
          <w:sz w:val="24"/>
          <w:szCs w:val="24"/>
        </w:rPr>
        <w:t>Tijana Licul</w:t>
      </w:r>
      <w:r w:rsidRPr="00DC60D2">
        <w:rPr>
          <w:rFonts w:cs="Times New Roman" w:hAnsi="Times New Roman" w:ascii="Times New Roman"/>
          <w:sz w:val="24"/>
          <w:szCs w:val="24"/>
        </w:rPr>
        <w:tab/>
      </w:r>
      <w:r w:rsidRPr="00DC60D2">
        <w:rPr>
          <w:rFonts w:cs="Times New Roman" w:hAnsi="Times New Roman" w:ascii="Times New Roman"/>
          <w:sz w:val="24"/>
          <w:szCs w:val="24"/>
        </w:rPr>
        <w:tab/>
      </w:r>
    </w:p>
    <w:p w:rsidRDefault="00DC60D2" w:rsidP="00DC60D2" w:rsidR="00DC60D2" w:rsidRPr="00DC60D2">
      <w:pPr>
        <w:spacing w:lineRule="auto" w:line="240" w:after="0"/>
        <w:ind w:left="5664"/>
        <w:jc w:val="both"/>
        <w:rPr>
          <w:rFonts w:cs="Times New Roman" w:hAnsi="Times New Roman" w:ascii="Times New Roman"/>
          <w:sz w:val="24"/>
          <w:szCs w:val="24"/>
        </w:rPr>
      </w:pPr>
    </w:p>
    <w:p w:rsidRDefault="00DC60D2" w:rsidP="00DC60D2" w:rsidR="00DC60D2" w:rsidRPr="00DC60D2">
      <w:pPr>
        <w:spacing w:lineRule="auto" w:line="240" w:after="0"/>
        <w:ind w:left="5664"/>
        <w:jc w:val="both"/>
        <w:rPr>
          <w:rFonts w:cs="Times New Roman" w:hAnsi="Times New Roman" w:ascii="Times New Roman"/>
          <w:sz w:val="24"/>
          <w:szCs w:val="24"/>
        </w:rPr>
      </w:pPr>
    </w:p>
    <w:p w:rsidRDefault="00DC60D2" w:rsidP="00DC60D2" w:rsidR="00DC60D2" w:rsidRPr="00DC60D2">
      <w:pPr>
        <w:spacing w:lineRule="auto" w:line="240" w:after="0"/>
        <w:ind w:left="5664"/>
        <w:jc w:val="both"/>
        <w:rPr>
          <w:rFonts w:cs="Times New Roman" w:hAnsi="Times New Roman" w:ascii="Times New Roman"/>
          <w:sz w:val="24"/>
          <w:szCs w:val="24"/>
        </w:rPr>
      </w:pP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r w:rsidRPr="00DC60D2">
        <w:rPr>
          <w:rFonts w:cs="Times New Roman" w:hAnsi="Times New Roman" w:ascii="Times New Roman"/>
          <w:sz w:val="24"/>
          <w:szCs w:val="24"/>
        </w:rPr>
        <w:tab/>
      </w:r>
    </w:p>
    <w:p w:rsidRDefault="00DC60D2" w:rsidP="00DC60D2" w:rsidR="00DC60D2" w:rsidRPr="00DC60D2">
      <w:pPr>
        <w:spacing w:lineRule="auto" w:line="240" w:after="0"/>
        <w:jc w:val="both"/>
        <w:rPr>
          <w:rFonts w:cs="Times New Roman" w:hAnsi="Times New Roman" w:ascii="Times New Roman"/>
          <w:sz w:val="24"/>
          <w:szCs w:val="24"/>
        </w:rPr>
      </w:pPr>
    </w:p>
    <w:p w:rsidRDefault="00DC60D2" w:rsidP="00DC60D2" w:rsidR="00DC60D2" w:rsidRPr="00DC60D2">
      <w:pPr>
        <w:spacing w:lineRule="auto" w:line="240" w:after="0"/>
        <w:jc w:val="both"/>
        <w:rPr>
          <w:rFonts w:cs="Times New Roman" w:hAnsi="Times New Roman" w:ascii="Times New Roman"/>
          <w:sz w:val="24"/>
          <w:szCs w:val="24"/>
        </w:rPr>
      </w:pPr>
      <w:r w:rsidRPr="00DC60D2">
        <w:rPr>
          <w:rFonts w:cs="Times New Roman" w:hAnsi="Times New Roman" w:ascii="Times New Roman"/>
          <w:sz w:val="24"/>
          <w:szCs w:val="24"/>
        </w:rPr>
        <w:t>UPUTA O PRAVNOM LIJEKU:</w:t>
      </w:r>
    </w:p>
    <w:p w:rsidRDefault="00DC60D2" w:rsidP="00DC60D2" w:rsidR="00DC60D2" w:rsidRPr="00DC60D2">
      <w:pPr>
        <w:spacing w:lineRule="auto" w:line="240" w:after="0"/>
        <w:ind w:firstLine="708"/>
        <w:jc w:val="both"/>
        <w:rPr>
          <w:rFonts w:cs="Times New Roman" w:hAnsi="Times New Roman" w:ascii="Times New Roman"/>
          <w:sz w:val="24"/>
          <w:szCs w:val="24"/>
        </w:rPr>
      </w:pPr>
      <w:r w:rsidRPr="00DC60D2">
        <w:rPr>
          <w:rFonts w:cs="Times New Roman" w:hAnsi="Times New Roman" w:ascii="Times New Roman"/>
          <w:sz w:val="24"/>
          <w:szCs w:val="24"/>
        </w:rPr>
        <w:t xml:space="preserve">Protiv ovog rješenja žalbu dopuštena je žalba. O žalbi odlučuje Visoki trgovački sud Republike Hrvatske. Žalba se izjavljuje u roku od 8 dana od dana dostave ovog rješenja, </w:t>
      </w:r>
      <w:r w:rsidRPr="00DC60D2">
        <w:rPr>
          <w:rFonts w:eastAsiaTheme="minorEastAsia" w:cs="Times New Roman" w:hAnsi="Times New Roman" w:ascii="Times New Roman"/>
          <w:sz w:val="24"/>
          <w:szCs w:val="24"/>
        </w:rPr>
        <w:t>a dostava se smatra obavljenom istekom osmog dana od dana objave rješenja na mrežnoj stranici e-Oglasna ploča sudova (čl. 12. st. 1. Stečajnog zakona (Narodne novine broj 71/15).</w:t>
      </w:r>
    </w:p>
    <w:p w:rsidRDefault="00DC60D2" w:rsidP="00DC60D2" w:rsidR="00DC60D2" w:rsidRPr="00DC60D2">
      <w:pPr>
        <w:spacing w:lineRule="auto" w:line="240" w:after="0"/>
        <w:jc w:val="both"/>
        <w:rPr>
          <w:rFonts w:cs="Times New Roman" w:hAnsi="Times New Roman" w:ascii="Times New Roman"/>
          <w:sz w:val="24"/>
          <w:szCs w:val="24"/>
        </w:rPr>
      </w:pPr>
    </w:p>
    <w:p w:rsidRDefault="006D47CF" w:rsidP="006D47CF" w:rsidR="006D47CF" w:rsidRPr="006D47CF">
      <w:pPr>
        <w:spacing w:lineRule="auto" w:line="240" w:after="0"/>
        <w:jc w:val="both"/>
        <w:rPr>
          <w:rFonts w:cs="Times New Roman" w:hAnsi="Times New Roman" w:ascii="Times New Roman"/>
          <w:sz w:val="24"/>
          <w:szCs w:val="24"/>
        </w:rPr>
      </w:pPr>
      <w:r w:rsidRPr="006D47CF">
        <w:rPr>
          <w:rFonts w:cs="Times New Roman" w:hAnsi="Times New Roman" w:ascii="Times New Roman"/>
          <w:sz w:val="24"/>
          <w:szCs w:val="24"/>
        </w:rPr>
        <w:lastRenderedPageBreak/>
        <w:t>DNA:</w:t>
      </w:r>
    </w:p>
    <w:p w:rsidRDefault="006D47CF" w:rsidP="006D47CF" w:rsidR="006D47CF" w:rsidRPr="006D47CF">
      <w:pPr>
        <w:spacing w:lineRule="auto" w:line="240" w:after="0"/>
        <w:ind w:firstLine="708"/>
        <w:jc w:val="both"/>
        <w:rPr>
          <w:rFonts w:cs="Times New Roman" w:hAnsi="Times New Roman" w:ascii="Times New Roman"/>
          <w:sz w:val="24"/>
          <w:szCs w:val="24"/>
        </w:rPr>
      </w:pPr>
      <w:r w:rsidRPr="006D47CF">
        <w:rPr>
          <w:rFonts w:cs="Times New Roman" w:hAnsi="Times New Roman" w:ascii="Times New Roman"/>
          <w:sz w:val="24"/>
          <w:szCs w:val="24"/>
        </w:rPr>
        <w:t>- e-oglasna ploča (8 dana)</w:t>
      </w:r>
    </w:p>
    <w:p w:rsidRDefault="006D47CF" w:rsidP="006D47CF" w:rsidR="006D47CF" w:rsidRPr="006D47CF">
      <w:pPr>
        <w:spacing w:lineRule="auto" w:line="240" w:after="0"/>
        <w:ind w:firstLine="708"/>
        <w:jc w:val="both"/>
        <w:rPr>
          <w:rFonts w:cs="Times New Roman" w:hAnsi="Times New Roman" w:ascii="Times New Roman"/>
          <w:sz w:val="24"/>
          <w:szCs w:val="24"/>
        </w:rPr>
      </w:pPr>
      <w:r w:rsidRPr="006D47CF">
        <w:rPr>
          <w:rFonts w:cs="Times New Roman" w:hAnsi="Times New Roman" w:ascii="Times New Roman"/>
          <w:sz w:val="24"/>
          <w:szCs w:val="24"/>
        </w:rPr>
        <w:t>- FINA</w:t>
      </w:r>
    </w:p>
    <w:p w:rsidRDefault="006D47CF" w:rsidP="006D47CF" w:rsidR="006D47CF" w:rsidRPr="006D47CF">
      <w:pPr>
        <w:spacing w:lineRule="auto" w:line="240" w:after="0"/>
        <w:ind w:firstLine="708"/>
        <w:jc w:val="both"/>
        <w:rPr>
          <w:rFonts w:cs="Times New Roman" w:hAnsi="Times New Roman" w:ascii="Times New Roman"/>
          <w:sz w:val="24"/>
          <w:szCs w:val="24"/>
        </w:rPr>
      </w:pPr>
      <w:r w:rsidRPr="006D47CF">
        <w:rPr>
          <w:rFonts w:cs="Times New Roman" w:hAnsi="Times New Roman" w:ascii="Times New Roman"/>
          <w:sz w:val="24"/>
          <w:szCs w:val="24"/>
        </w:rPr>
        <w:t>- ranijem zakonskom zastupniku dužnika Ivan Ponjavić, Brtonigla, Pavići 120</w:t>
      </w:r>
    </w:p>
    <w:p w:rsidRDefault="006D47CF" w:rsidP="006D47CF" w:rsidR="006D47CF" w:rsidRPr="006D47CF">
      <w:pPr>
        <w:spacing w:lineRule="auto" w:line="240" w:after="0"/>
        <w:ind w:firstLine="708"/>
        <w:jc w:val="both"/>
        <w:rPr>
          <w:rFonts w:cs="Times New Roman" w:hAnsi="Times New Roman" w:ascii="Times New Roman"/>
          <w:sz w:val="24"/>
          <w:szCs w:val="24"/>
        </w:rPr>
      </w:pPr>
      <w:r w:rsidRPr="006D47CF">
        <w:rPr>
          <w:rFonts w:cs="Times New Roman" w:hAnsi="Times New Roman" w:ascii="Times New Roman"/>
          <w:sz w:val="24"/>
          <w:szCs w:val="24"/>
        </w:rPr>
        <w:t>- Porezna uprava, Ispostava Umag</w:t>
      </w:r>
    </w:p>
    <w:p w:rsidRDefault="006D47CF" w:rsidP="006D47CF" w:rsidR="006D47CF" w:rsidRPr="006D47CF">
      <w:pPr>
        <w:spacing w:lineRule="auto" w:line="240" w:after="0"/>
        <w:ind w:firstLine="708"/>
        <w:jc w:val="both"/>
        <w:rPr>
          <w:rFonts w:cs="Times New Roman" w:hAnsi="Times New Roman" w:ascii="Times New Roman"/>
          <w:sz w:val="24"/>
          <w:szCs w:val="24"/>
        </w:rPr>
      </w:pPr>
      <w:r w:rsidRPr="006D47CF">
        <w:rPr>
          <w:rFonts w:cs="Times New Roman" w:hAnsi="Times New Roman" w:ascii="Times New Roman"/>
          <w:sz w:val="24"/>
          <w:szCs w:val="24"/>
        </w:rPr>
        <w:t>- prijašnji stečajni upravitelj Štefan Rola</w:t>
      </w:r>
    </w:p>
    <w:p w:rsidRDefault="006D47CF" w:rsidP="006D47CF" w:rsidR="006D47CF" w:rsidRPr="006D47CF">
      <w:pPr>
        <w:spacing w:lineRule="auto" w:line="240" w:after="0"/>
        <w:ind w:firstLine="708"/>
        <w:jc w:val="both"/>
        <w:rPr>
          <w:rFonts w:cs="Times New Roman" w:hAnsi="Times New Roman" w:ascii="Times New Roman"/>
          <w:sz w:val="24"/>
          <w:szCs w:val="24"/>
        </w:rPr>
      </w:pPr>
      <w:r w:rsidRPr="006D47CF">
        <w:rPr>
          <w:rFonts w:cs="Times New Roman" w:hAnsi="Times New Roman" w:ascii="Times New Roman"/>
          <w:sz w:val="24"/>
          <w:szCs w:val="24"/>
        </w:rPr>
        <w:t>- novi stečajni upravitelj</w:t>
      </w:r>
      <w:r>
        <w:rPr>
          <w:rFonts w:cs="Times New Roman" w:hAnsi="Times New Roman" w:ascii="Times New Roman"/>
          <w:sz w:val="24"/>
          <w:szCs w:val="24"/>
        </w:rPr>
        <w:t xml:space="preserve"> Gordana Štifter Draščić</w:t>
      </w:r>
    </w:p>
    <w:p w:rsidRDefault="006D47CF" w:rsidP="006D47CF" w:rsidR="006D47CF" w:rsidRPr="006D47CF">
      <w:pPr>
        <w:spacing w:lineRule="auto" w:line="240" w:after="0"/>
        <w:jc w:val="both"/>
        <w:rPr>
          <w:rFonts w:cs="Times New Roman" w:hAnsi="Times New Roman" w:ascii="Times New Roman"/>
          <w:sz w:val="24"/>
          <w:szCs w:val="24"/>
        </w:rPr>
      </w:pPr>
      <w:r w:rsidRPr="006D47CF">
        <w:rPr>
          <w:rFonts w:cs="Times New Roman" w:hAnsi="Times New Roman" w:ascii="Times New Roman"/>
          <w:sz w:val="24"/>
          <w:szCs w:val="24"/>
        </w:rPr>
        <w:softHyphen/>
      </w:r>
      <w:r w:rsidRPr="006D47CF">
        <w:rPr>
          <w:rFonts w:cs="Times New Roman" w:hAnsi="Times New Roman" w:ascii="Times New Roman"/>
          <w:sz w:val="24"/>
          <w:szCs w:val="24"/>
        </w:rPr>
        <w:tab/>
        <w:t>- sudski registar ovoga suda</w:t>
      </w:r>
    </w:p>
    <w:p w:rsidRDefault="006D47CF" w:rsidP="006D47CF" w:rsidR="006D47CF" w:rsidRPr="006D47CF">
      <w:pPr>
        <w:tabs>
          <w:tab w:pos="3836" w:val="left"/>
        </w:tabs>
        <w:spacing w:lineRule="auto" w:line="240" w:after="0"/>
        <w:ind w:firstLine="708"/>
        <w:rPr>
          <w:rFonts w:cs="Times New Roman" w:hAnsi="Times New Roman" w:ascii="Times New Roman"/>
          <w:sz w:val="24"/>
          <w:szCs w:val="24"/>
        </w:rPr>
      </w:pPr>
      <w:r w:rsidRPr="006D47CF">
        <w:rPr>
          <w:rFonts w:cs="Times New Roman" w:hAnsi="Times New Roman" w:ascii="Times New Roman"/>
          <w:sz w:val="24"/>
          <w:szCs w:val="24"/>
        </w:rPr>
        <w:t>- ŽDO Pula</w:t>
      </w:r>
      <w:r w:rsidRPr="006D47CF">
        <w:rPr>
          <w:rFonts w:cs="Times New Roman" w:hAnsi="Times New Roman" w:ascii="Times New Roman"/>
          <w:sz w:val="24"/>
          <w:szCs w:val="24"/>
        </w:rPr>
        <w:tab/>
      </w:r>
    </w:p>
    <w:p w:rsidRDefault="006D47CF" w:rsidP="006D47CF" w:rsidR="006D47CF" w:rsidRPr="006D47CF">
      <w:pPr>
        <w:spacing w:lineRule="auto" w:line="240" w:after="0"/>
        <w:ind w:firstLine="708"/>
        <w:rPr>
          <w:rFonts w:cs="Times New Roman" w:hAnsi="Times New Roman" w:ascii="Times New Roman"/>
          <w:sz w:val="24"/>
          <w:szCs w:val="24"/>
        </w:rPr>
      </w:pPr>
      <w:r w:rsidRPr="006D47CF">
        <w:rPr>
          <w:rFonts w:cs="Times New Roman" w:hAnsi="Times New Roman" w:ascii="Times New Roman"/>
          <w:sz w:val="24"/>
          <w:szCs w:val="24"/>
        </w:rPr>
        <w:t>- Ministarstvo pravosuđa – nakon pravomoćnosti</w:t>
      </w:r>
    </w:p>
    <w:p w:rsidRDefault="006D47CF" w:rsidP="006D47CF" w:rsidR="006D47CF">
      <w:pPr>
        <w:ind w:firstLine="708"/>
      </w:pPr>
    </w:p>
    <w:p w:rsidRDefault="006D47CF" w:rsidP="006D47CF" w:rsidR="006D47CF">
      <w:pPr>
        <w:ind w:firstLine="708"/>
      </w:pPr>
    </w:p>
    <w:p w:rsidRDefault="008512F7" w:rsidP="006D47CF" w:rsidR="008512F7" w:rsidRPr="00DC60D2">
      <w:pPr>
        <w:spacing w:lineRule="auto" w:line="240" w:after="0"/>
        <w:jc w:val="both"/>
        <w:rPr>
          <w:rFonts w:cs="Times New Roman" w:hAnsi="Times New Roman" w:ascii="Times New Roman"/>
          <w:sz w:val="24"/>
          <w:szCs w:val="24"/>
        </w:rPr>
      </w:pPr>
    </w:p>
    <w:sectPr w:rsidSect="00DC60D2" w:rsidR="008512F7" w:rsidRPr="00DC60D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0D2" w:rsidP="00DC60D2" w:rsidR="00DC60D2">
      <w:pPr>
        <w:spacing w:lineRule="auto" w:line="240" w:after="0"/>
      </w:pPr>
      <w:r>
        <w:separator/>
      </w:r>
    </w:p>
  </w:endnote>
  <w:endnote w:id="0" w:type="continuationSeparator">
    <w:p w:rsidRDefault="00DC60D2" w:rsidP="00DC60D2" w:rsidR="00DC60D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0D2" w:rsidP="00DC60D2" w:rsidR="00DC60D2">
      <w:pPr>
        <w:spacing w:lineRule="auto" w:line="240" w:after="0"/>
      </w:pPr>
      <w:r>
        <w:separator/>
      </w:r>
    </w:p>
  </w:footnote>
  <w:footnote w:id="0" w:type="continuationSeparator">
    <w:p w:rsidRDefault="00DC60D2" w:rsidP="00DC60D2" w:rsidR="00DC60D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5953168"/>
      <w:docPartObj>
        <w:docPartGallery w:val="Page Numbers (Top of Page)"/>
        <w:docPartUnique/>
      </w:docPartObj>
    </w:sdtPr>
    <w:sdtEndPr/>
    <w:sdtContent>
      <w:p w:rsidRDefault="00DC60D2" w:rsidP="00DC60D2" w:rsidR="00DC60D2">
        <w:pPr>
          <w:pStyle w:val="Zaglavlje"/>
          <w:ind w:firstLine="708"/>
          <w:jc w:val="right"/>
        </w:pPr>
        <w:r w:rsidRPr="00DC60D2">
          <w:rPr>
            <w:rFonts w:cs="Times New Roman" w:hAnsi="Times New Roman" w:ascii="Times New Roman"/>
            <w:sz w:val="24"/>
            <w:szCs w:val="24"/>
          </w:rPr>
          <w:fldChar w:fldCharType="begin"/>
        </w:r>
        <w:r w:rsidRPr="00DC60D2">
          <w:rPr>
            <w:rFonts w:cs="Times New Roman" w:hAnsi="Times New Roman" w:ascii="Times New Roman"/>
            <w:sz w:val="24"/>
            <w:szCs w:val="24"/>
          </w:rPr>
          <w:instrText>PAGE   \* MERGEFORMAT</w:instrText>
        </w:r>
        <w:r w:rsidRPr="00DC60D2">
          <w:rPr>
            <w:rFonts w:cs="Times New Roman" w:hAnsi="Times New Roman" w:ascii="Times New Roman"/>
            <w:sz w:val="24"/>
            <w:szCs w:val="24"/>
          </w:rPr>
          <w:fldChar w:fldCharType="separate"/>
        </w:r>
        <w:r w:rsidR="00AE7EBA">
          <w:rPr>
            <w:rFonts w:cs="Times New Roman" w:hAnsi="Times New Roman" w:ascii="Times New Roman"/>
            <w:noProof/>
            <w:sz w:val="24"/>
            <w:szCs w:val="24"/>
          </w:rPr>
          <w:t>3</w:t>
        </w:r>
        <w:r w:rsidRPr="00DC60D2">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4 St-456/16-</w:t>
        </w:r>
        <w:r w:rsidR="00B409DB">
          <w:rPr>
            <w:rFonts w:cs="Times New Roman" w:hAnsi="Times New Roman" w:ascii="Times New Roman"/>
            <w:sz w:val="24"/>
            <w:szCs w:val="24"/>
          </w:rPr>
          <w:t>27</w:t>
        </w:r>
      </w:p>
    </w:sdtContent>
  </w:sdt>
  <w:p w:rsidRDefault="00DC60D2" w:rsidR="00DC60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0D2" w:rsidP="00DC60D2" w:rsidR="00DC60D2">
    <w:pPr>
      <w:pStyle w:val="Zaglavlje"/>
      <w:jc w:val="right"/>
    </w:pPr>
    <w:r>
      <w:rPr>
        <w:rFonts w:cs="Times New Roman" w:hAnsi="Times New Roman" w:ascii="Times New Roman"/>
        <w:sz w:val="24"/>
        <w:szCs w:val="24"/>
      </w:rPr>
      <w:t>Posl. broj: 4 St-456/16-</w:t>
    </w:r>
    <w:r w:rsidR="00B409DB">
      <w:rPr>
        <w:rFonts w:cs="Times New Roman" w:hAnsi="Times New Roman" w:ascii="Times New Roman"/>
        <w:sz w:val="24"/>
        <w:szCs w:val="24"/>
      </w:rPr>
      <w:t>27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041B"/>
    <w:rsid w:val="000014E8"/>
    <w:rsid w:val="00181B56"/>
    <w:rsid w:val="006044B1"/>
    <w:rsid w:val="0061041B"/>
    <w:rsid w:val="006918AF"/>
    <w:rsid w:val="006D47CF"/>
    <w:rsid w:val="006E6C47"/>
    <w:rsid w:val="008512F7"/>
    <w:rsid w:val="00AE7EBA"/>
    <w:rsid w:val="00B0125F"/>
    <w:rsid w:val="00B409DB"/>
    <w:rsid w:val="00DC60D2"/>
    <w:rsid w:val="00FB2F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pple-converted-space" w:type="character">
    <w:name w:val="apple-converted-space"/>
    <w:basedOn w:val="Zadanifontodlomka"/>
    <w:rsid w:val="00FB2F4D"/>
  </w:style>
  <w:style w:styleId="Tekstbalonia" w:type="paragraph">
    <w:name w:val="Balloon Text"/>
    <w:basedOn w:val="Normal"/>
    <w:link w:val="TekstbaloniaChar"/>
    <w:uiPriority w:val="99"/>
    <w:semiHidden/>
    <w:unhideWhenUsed/>
    <w:rsid w:val="00DC60D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60D2"/>
    <w:rPr>
      <w:rFonts w:cs="Tahoma" w:hAnsi="Tahoma" w:ascii="Tahoma"/>
      <w:sz w:val="16"/>
      <w:szCs w:val="16"/>
    </w:rPr>
  </w:style>
  <w:style w:styleId="Zaglavlje" w:type="paragraph">
    <w:name w:val="header"/>
    <w:basedOn w:val="Normal"/>
    <w:link w:val="ZaglavljeChar"/>
    <w:uiPriority w:val="99"/>
    <w:unhideWhenUsed/>
    <w:rsid w:val="00DC60D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C60D2"/>
  </w:style>
  <w:style w:styleId="Podnoje" w:type="paragraph">
    <w:name w:val="footer"/>
    <w:basedOn w:val="Normal"/>
    <w:link w:val="PodnojeChar"/>
    <w:uiPriority w:val="99"/>
    <w:unhideWhenUsed/>
    <w:rsid w:val="00DC60D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60D2"/>
  </w:style>
  <w:style w:styleId="Tekstrezerviranogmjesta" w:type="character">
    <w:name w:val="Placeholder Text"/>
    <w:basedOn w:val="Zadanifontodlomka"/>
    <w:uiPriority w:val="99"/>
    <w:semiHidden/>
    <w:rsid w:val="00B409DB"/>
    <w:rPr>
      <w:color w:val="808080"/>
      <w:bdr w:space="0" w:sz="0" w:color="auto" w:val="none"/>
      <w:shd w:fill="auto" w:color="auto" w:val="clear"/>
    </w:rPr>
  </w:style>
  <w:style w:customStyle="true" w:styleId="eSPISCCParagraphDefaultFont" w:type="character">
    <w:name w:val="eSPIS_CC_Paragraph Default Font"/>
    <w:basedOn w:val="Zadanifontodlomka"/>
    <w:rsid w:val="00B409D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409D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09D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09D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pple-converted-space" w:type="character">
    <w:name w:val="apple-converted-space"/>
    <w:basedOn w:val="Zadanifontodlomka"/>
    <w:rsid w:val="00FB2F4D"/>
  </w:style>
  <w:style w:styleId="Tekstbalonia" w:type="paragraph">
    <w:name w:val="Balloon Text"/>
    <w:basedOn w:val="Normal"/>
    <w:link w:val="TekstbaloniaChar"/>
    <w:uiPriority w:val="99"/>
    <w:semiHidden/>
    <w:unhideWhenUsed/>
    <w:rsid w:val="00DC60D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C60D2"/>
    <w:rPr>
      <w:rFonts w:ascii="Tahoma" w:cs="Tahoma" w:hAnsi="Tahoma"/>
      <w:sz w:val="16"/>
      <w:szCs w:val="16"/>
    </w:rPr>
  </w:style>
  <w:style w:styleId="Zaglavlje" w:type="paragraph">
    <w:name w:val="header"/>
    <w:basedOn w:val="Normal"/>
    <w:link w:val="ZaglavljeChar"/>
    <w:uiPriority w:val="99"/>
    <w:unhideWhenUsed/>
    <w:rsid w:val="00DC60D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C60D2"/>
  </w:style>
  <w:style w:styleId="Podnoje" w:type="paragraph">
    <w:name w:val="footer"/>
    <w:basedOn w:val="Normal"/>
    <w:link w:val="PodnojeChar"/>
    <w:uiPriority w:val="99"/>
    <w:unhideWhenUsed/>
    <w:rsid w:val="00DC60D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60D2"/>
  </w:style>
  <w:style w:styleId="Tekstrezerviranogmjesta" w:type="character">
    <w:name w:val="Placeholder Text"/>
    <w:basedOn w:val="Zadanifontodlomka"/>
    <w:uiPriority w:val="99"/>
    <w:semiHidden/>
    <w:rsid w:val="00B409DB"/>
    <w:rPr>
      <w:color w:val="808080"/>
      <w:bdr w:color="auto" w:space="0" w:sz="0" w:val="none"/>
      <w:shd w:color="auto" w:fill="auto" w:val="clear"/>
    </w:rPr>
  </w:style>
  <w:style w:customStyle="1" w:styleId="eSPISCCParagraphDefaultFont" w:type="character">
    <w:name w:val="eSPIS_CC_Paragraph Default Font"/>
    <w:basedOn w:val="Zadanifontodlomka"/>
    <w:rsid w:val="00B409D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409D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09D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09D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29.12.16. prileži ŽUTI REGISTRATOR
sa prijavama tražbina</izvorni_sadrzaj>
    <derivirana_varijabla naziv="DomainObject.Predmet.Opis_1">29.12.16. prileži ŽUTI REGISTRATOR
sa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St-456/2016</izvorni_sadrzaj>
    <derivirana_varijabla naziv="DomainObject.Predmet.OznakaBroj_1">St-456/2016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Ovr-86/2016 mu prileži od 21.11.2016.</izvorni_sadrzaj>
    <derivirana_varijabla naziv="DomainObject.Predmet.PrimjedbaSuca_1">Ovr-86/2016 mu prileži od 21.11.2016.</derivirana_varijabla>
  </DomainObject.Predmet.PrimjedbaSuca>
  <DomainObject.Predmet.PrimjedbaUpisnicara>
    <izvorni_sadrzaj/>
    <derivirana_varijabla naziv="DomainObject.Predmet.PrimjedbaUpisnicara_1"/>
  </DomainObject.Predmet.PrimjedbaUpisnicara>
  <DomainObject.Predmet.ProtustrankaFormated>
    <izvorni_sadrzaj>  PONJO d.o.o. NOVIGRAD</izvorni_sadrzaj>
    <derivirana_varijabla naziv="DomainObject.Predmet.ProtustrankaFormated_1">  PONJO d.o.o. NOVIGRAD</derivirana_varijabla>
  </DomainObject.Predmet.ProtustrankaFormated>
  <DomainObject.Predmet.ProtustrankaFormatedOIB>
    <izvorni_sadrzaj>  PONJO d.o.o. NOVIGRAD, OIB 18165701657</izvorni_sadrzaj>
    <derivirana_varijabla naziv="DomainObject.Predmet.ProtustrankaFormatedOIB_1">  PONJO d.o.o. NOVIGRAD, OIB 18165701657</derivirana_varijabla>
  </DomainObject.Predmet.ProtustrankaFormatedOIB>
  <DomainObject.Predmet.ProtustrankaFormatedWithAdress>
    <izvorni_sadrzaj> PONJO d.o.o. NOVIGRAD, Stancijeta 26, 52466 Novigrad</izvorni_sadrzaj>
    <derivirana_varijabla naziv="DomainObject.Predmet.ProtustrankaFormatedWithAdress_1"> PONJO d.o.o. NOVIGRAD, Stancijeta 26, 52466 Novigrad</derivirana_varijabla>
  </DomainObject.Predmet.ProtustrankaFormatedWithAdress>
  <DomainObject.Predmet.ProtustrankaFormatedWithAdressOIB>
    <izvorni_sadrzaj> PONJO d.o.o. NOVIGRAD, OIB 18165701657, Stancijeta 26, 52466 Novigrad</izvorni_sadrzaj>
    <derivirana_varijabla naziv="DomainObject.Predmet.ProtustrankaFormatedWithAdressOIB_1"> PONJO d.o.o. NOVIGRAD, OIB 18165701657, Stancijeta 26, 52466 Novigrad</derivirana_varijabla>
  </DomainObject.Predmet.ProtustrankaFormatedWithAdressOIB>
  <DomainObject.Predmet.ProtustrankaWithAdress>
    <izvorni_sadrzaj>PONJO d.o.o. NOVIGRAD Stancijeta 26, 52466 Novigrad</izvorni_sadrzaj>
    <derivirana_varijabla naziv="DomainObject.Predmet.ProtustrankaWithAdress_1">PONJO d.o.o. NOVIGRAD Stancijeta 26, 52466 Novigrad</derivirana_varijabla>
  </DomainObject.Predmet.ProtustrankaWithAdress>
  <DomainObject.Predmet.ProtustrankaWithAdressOIB>
    <izvorni_sadrzaj>PONJO d.o.o. NOVIGRAD, OIB 18165701657, Stancijeta 26, 52466 Novigrad</izvorni_sadrzaj>
    <derivirana_varijabla naziv="DomainObject.Predmet.ProtustrankaWithAdressOIB_1">PONJO d.o.o. NOVIGRAD, OIB 18165701657, Stancijeta 26, 52466 Novigrad</derivirana_varijabla>
  </DomainObject.Predmet.ProtustrankaWithAdressOIB>
  <DomainObject.Predmet.ProtustrankaNazivFormated>
    <izvorni_sadrzaj>PONJO d.o.o. NOVIGRAD</izvorni_sadrzaj>
    <derivirana_varijabla naziv="DomainObject.Predmet.ProtustrankaNazivFormated_1">PONJO d.o.o. NOVIGRAD</derivirana_varijabla>
  </DomainObject.Predmet.ProtustrankaNazivFormated>
  <DomainObject.Predmet.ProtustrankaNazivFormatedOIB>
    <izvorni_sadrzaj>PONJO d.o.o. NOVIGRAD, OIB 18165701657</izvorni_sadrzaj>
    <derivirana_varijabla naziv="DomainObject.Predmet.ProtustrankaNazivFormatedOIB_1">PONJO d.o.o. NOVIGRAD, OIB 18165701657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4647663.03</izvorni_sadrzaj>
    <derivirana_varijabla naziv="DomainObject.Predmet.TrenutnaVrijednost_1">4647663.03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PONJO d.o.o. NOVIGRAD</item>
    </izvorni_sadrzaj>
    <derivirana_varijabla naziv="DomainObject.Predmet.ProtuStrankaListFormated_1">
      <item>PONJO d.o.o. NOVIGRAD</item>
    </derivirana_varijabla>
  </DomainObject.Predmet.ProtuStrankaListFormated>
  <DomainObject.Predmet.ProtuStrankaListFormatedOIB>
    <izvorni_sadrzaj>
      <item>PONJO d.o.o. NOVIGRAD, OIB 18165701657</item>
    </izvorni_sadrzaj>
    <derivirana_varijabla naziv="DomainObject.Predmet.ProtuStrankaListFormatedOIB_1">
      <item>PONJO d.o.o. NOVIGRAD, OIB 18165701657</item>
    </derivirana_varijabla>
  </DomainObject.Predmet.ProtuStrankaListFormatedOIB>
  <DomainObject.Predmet.ProtuStrankaListFormatedWithAdress>
    <izvorni_sadrzaj>
      <item>PONJO d.o.o. NOVIGRAD, Stancijeta 26, 52466 Novigrad</item>
    </izvorni_sadrzaj>
    <derivirana_varijabla naziv="DomainObject.Predmet.ProtuStrankaListFormatedWithAdress_1">
      <item>PONJO d.o.o. NOVIGRAD, Stancijeta 26, 52466 Novigrad</item>
    </derivirana_varijabla>
  </DomainObject.Predmet.ProtuStrankaListFormatedWithAdress>
  <DomainObject.Predmet.ProtuStrankaListFormatedWithAdressOIB>
    <izvorni_sadrzaj>
      <item>PONJO d.o.o. NOVIGRAD, OIB 18165701657, Stancijeta 26, 52466 Novigrad</item>
    </izvorni_sadrzaj>
    <derivirana_varijabla naziv="DomainObject.Predmet.ProtuStrankaListFormatedWithAdressOIB_1">
      <item>PONJO d.o.o. NOVIGRAD, OIB 18165701657, Stancijeta 26, 52466 Novigrad</item>
    </derivirana_varijabla>
  </DomainObject.Predmet.ProtuStrankaListFormatedWithAdressOIB>
  <DomainObject.Predmet.ProtuStrankaListNazivFormated>
    <izvorni_sadrzaj>
      <item>PONJO d.o.o. NOVIGRAD</item>
    </izvorni_sadrzaj>
    <derivirana_varijabla naziv="DomainObject.Predmet.ProtuStrankaListNazivFormated_1">
      <item>PONJO d.o.o. NOVIGRAD</item>
    </derivirana_varijabla>
  </DomainObject.Predmet.ProtuStrankaListNazivFormated>
  <DomainObject.Predmet.ProtuStrankaListNazivFormatedOIB>
    <izvorni_sadrzaj>
      <item>PONJO d.o.o. NOVIGRAD, OIB 18165701657</item>
    </izvorni_sadrzaj>
    <derivirana_varijabla naziv="DomainObject.Predmet.ProtuStrankaListNazivFormatedOIB_1">
      <item>PONJO d.o.o. NOVIGRAD, OIB 18165701657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PONJO d.o.o. NOVIGRAD</izvorni_sadrzaj>
    <derivirana_varijabla naziv="DomainObject.Predmet.ProtustrankaIDrugi_1">PONJO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PONJO d.o.o. NOVIGRAD, OIB 18165701657, Stancijeta 26, 52466 Novigrad</izvorni_sadrzaj>
    <derivirana_varijabla naziv="DomainObject.Predmet.ProtustrankaIDrugiAdressOIB_1">PONJO d.o.o. NOVIGRAD, OIB 18165701657, Stancijeta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PONJO d.o.o. NOVIGRAD</item>
    </izvorni_sadrzaj>
    <derivirana_varijabla naziv="DomainObject.Predmet.SudioniciListNaziv_1">
      <item>FINANCIJSKA AGENCIJA, RC RIJEKA, PODRUŽNICA PULA, PULA</item>
      <item>PONJO d.o.o. NOVIGRAD</item>
    </derivirana_varijabla>
  </DomainObject.Predmet.SudioniciListNaziv>
  <DomainObject.Predmet.SudioniciListAdressOIB>
    <izvorni_sadrzaj>
      <item>FINANCIJSKA AGENCIJA, RC RIJEKA, PODRUŽNICA PULA, PULA, OIB 85821130368, Giardini 5,52100 Pula</item>
      <item>PONJO d.o.o. NOVIGRAD, OIB 18165701657, Stancijeta 26,52466 Novigrad</item>
    </izvorni_sadrzaj>
    <derivirana_varijabla naziv="DomainObject.Predmet.SudioniciListAdressOIB_1">
      <item>FINANCIJSKA AGENCIJA, RC RIJEKA, PODRUŽNICA PULA, PULA, OIB 85821130368, Giardini 5,52100 Pula</item>
      <item>PONJO d.o.o. NOVIGRAD, OIB 18165701657, Stancijeta 26,52466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18165701657</item>
    </izvorni_sadrzaj>
    <derivirana_varijabla naziv="DomainObject.Predmet.SudioniciListNazivOIB_1">
      <item>, OIB 85821130368</item>
      <item>, OIB 18165701657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475D62-9341-4F1F-995C-D0AB44F2B3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741</properties:Words>
  <properties:Characters>4100</properties:Characters>
  <properties:Lines>109</properties:Lines>
  <properties:Paragraphs>39</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2017-01-13T10:01:00Z</dcterms:created>
  <dc:creator>Tijana Licul</dc:creator>
  <cp:lastModifiedBy>Sanja Prodan</cp:lastModifiedBy>
  <cp:lastPrinted>2017-01-13T12:35:00Z</cp:lastPrinted>
  <dcterms:modified xmlns:xsi="http://www.w3.org/2001/XMLSchema-instance" xsi:type="dcterms:W3CDTF">2017-01-13T12:35:00Z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