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6a67" w14:paraId="4a06a6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7B58" w:rsidP="004F27AE" w:rsidR="00AE649C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5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5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B58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St-289/2016-68</izvorni_sadrzaj>
    <derivirana_varijabla naziv="DomainObject.Oznaka_1">St-289/2016-68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St-289/2016-68</izvorni_sadrzaj>
    <derivirana_varijabla naziv="DomainObject.PoslovniBrojDokumenta_1">St-289/2016-68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BF998-23B3-4297-BA76-113C7FF3B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2017-05-23T12:22:00Z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St-289/2016-68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