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25bb" w14:paraId="fa325bb" w:rsidRDefault="00F062DF" w:rsidP="00EB7AA8" w:rsidR="00EB7AA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851535</wp:posOffset>
            </wp:positionH>
            <wp:positionV relativeFrom="paragraph">
              <wp:posOffset>-257175</wp:posOffset>
            </wp:positionV>
            <wp:extent cy="742315" cx="569595"/>
            <wp:effectExtent b="635" r="190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315" cx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EB7AA8" w:rsidP="00EB7AA8" w:rsidR="00EB7AA8">
      <w:pPr>
        <w:tabs>
          <w:tab w:pos="832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B7AA8" w:rsidP="00EB7AA8" w:rsidR="00EB7AA8">
      <w:pPr>
        <w:jc w:val="center"/>
        <w:rPr>
          <w:rFonts w:hAnsi="Times New Roman" w:ascii="Times New Roman"/>
          <w:szCs w:val="24"/>
          <w:lang w:val="hr-HR"/>
        </w:rPr>
      </w:pPr>
    </w:p>
    <w:p w:rsidRDefault="00EB7AA8" w:rsidP="00EB7AA8" w:rsidR="00EB7AA8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EB7AA8" w:rsidP="00EB7AA8" w:rsidR="00EB7AA8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EB7AA8" w:rsidP="005C2DDC" w:rsidR="00EB7AA8">
      <w:pPr>
        <w:tabs>
          <w:tab w:pos="7088" w:val="left"/>
        </w:tabs>
        <w:ind w:firstLine="426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lang w:val="hr-HR"/>
        </w:rPr>
        <w:t>Zagreb, Amruševa 2/II, desno (p.p. 432</w:t>
      </w:r>
      <w:r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ab/>
        <w:t>20. St-4710/16</w:t>
      </w:r>
      <w:r w:rsidR="005C2DDC">
        <w:rPr>
          <w:rFonts w:hAnsi="Times New Roman" w:ascii="Times New Roman"/>
          <w:lang w:val="hr-HR"/>
        </w:rPr>
        <w:t>-88</w:t>
      </w:r>
    </w:p>
    <w:p w:rsidRDefault="00EB7AA8" w:rsidP="00EB7AA8" w:rsidR="00EB7AA8">
      <w:pPr>
        <w:jc w:val="center"/>
        <w:rPr>
          <w:rFonts w:hAnsi="Times New Roman" w:ascii="Times New Roman"/>
          <w:szCs w:val="24"/>
          <w:lang w:val="hr-HR"/>
        </w:rPr>
      </w:pPr>
    </w:p>
    <w:p w:rsidRDefault="00EB7AA8" w:rsidP="00EB7AA8" w:rsidR="00EB7AA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B7AA8" w:rsidP="00EB7AA8" w:rsidR="00EB7AA8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EB7AA8" w:rsidP="00EB7AA8" w:rsidR="00EB7AA8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B7AA8" w:rsidP="00EB7AA8" w:rsidR="00EB7AA8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EB7AA8" w:rsidP="00EB7AA8" w:rsidR="00EB7AA8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 xml:space="preserve">Trgovački sud u Zagrebu, po sucu pojedincu Luciji Butigan u stečajnom postupku nad stečajnim dužnikom </w:t>
      </w:r>
      <w:r w:rsidRPr="007C6C34">
        <w:rPr>
          <w:rFonts w:hAnsi="Times New Roman" w:ascii="Times New Roman"/>
          <w:szCs w:val="24"/>
        </w:rPr>
        <w:t>LATUS CENTAR d.o.o. u stečaju, Zagreb, I</w:t>
      </w:r>
      <w:r>
        <w:rPr>
          <w:rFonts w:hAnsi="Times New Roman" w:ascii="Times New Roman"/>
          <w:szCs w:val="24"/>
        </w:rPr>
        <w:t>. Vidovčica 21, OIB 66751174658</w:t>
      </w:r>
      <w:r w:rsidRPr="00CA2125">
        <w:rPr>
          <w:rFonts w:hAnsi="Times New Roman" w:ascii="Times New Roman"/>
          <w:szCs w:val="24"/>
          <w:lang w:val="hr-HR"/>
        </w:rPr>
        <w:t xml:space="preserve">, dana </w:t>
      </w:r>
      <w:r w:rsidR="006A214C" w:rsidRPr="006A214C">
        <w:rPr>
          <w:rFonts w:hAnsi="Times New Roman" w:ascii="Times New Roman"/>
          <w:szCs w:val="24"/>
          <w:lang w:val="hr-HR"/>
        </w:rPr>
        <w:t>10</w:t>
      </w:r>
      <w:r w:rsidRPr="006A214C">
        <w:rPr>
          <w:rFonts w:hAnsi="Times New Roman" w:ascii="Times New Roman"/>
          <w:szCs w:val="24"/>
          <w:lang w:val="hr-HR"/>
        </w:rPr>
        <w:t xml:space="preserve">. </w:t>
      </w:r>
      <w:r w:rsidR="00E47135" w:rsidRPr="006A214C">
        <w:rPr>
          <w:rFonts w:hAnsi="Times New Roman" w:ascii="Times New Roman"/>
          <w:szCs w:val="24"/>
          <w:lang w:val="hr-HR"/>
        </w:rPr>
        <w:t>svibnja</w:t>
      </w:r>
      <w:r w:rsidRPr="006A214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2019</w:t>
      </w:r>
      <w:r w:rsidRPr="00BF457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godine</w:t>
      </w:r>
    </w:p>
    <w:p w:rsidRDefault="00EB7AA8" w:rsidP="00EB7AA8" w:rsidR="00EB7AA8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EB7AA8" w:rsidP="00EB7AA8" w:rsidR="00EB7AA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   j e </w:t>
      </w:r>
    </w:p>
    <w:p w:rsidRDefault="00EB7AA8" w:rsidP="00EB7AA8" w:rsidR="00EB7AA8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EB7AA8" w:rsidP="00EB7AA8" w:rsidR="00EB7AA8" w:rsidRPr="005B4BE9">
      <w:pPr>
        <w:pStyle w:val="Tijeloteksta"/>
        <w:numPr>
          <w:ilvl w:val="0"/>
          <w:numId w:val="1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Pr="007C6C34">
        <w:rPr>
          <w:rFonts w:hAnsi="Times New Roman" w:ascii="Times New Roman"/>
          <w:sz w:val="24"/>
          <w:szCs w:val="24"/>
        </w:rPr>
        <w:t>LATUS CENTAR d.o.o. u stečaju, Zagreb, I</w:t>
      </w:r>
      <w:r>
        <w:rPr>
          <w:rFonts w:hAnsi="Times New Roman" w:ascii="Times New Roman"/>
          <w:sz w:val="24"/>
          <w:szCs w:val="24"/>
        </w:rPr>
        <w:t>. Vidovčica 21, OIB 66751174658</w:t>
      </w:r>
      <w:r w:rsidRPr="00CA2125">
        <w:rPr>
          <w:rFonts w:hAnsi="Times New Roman" w:ascii="Times New Roman"/>
          <w:sz w:val="24"/>
          <w:szCs w:val="24"/>
        </w:rPr>
        <w:t xml:space="preserve">, za </w:t>
      </w:r>
      <w:r w:rsidRPr="005B4BE9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r w:rsidR="0041706C">
        <w:rPr>
          <w:rFonts w:hAnsi="Times New Roman" w:ascii="Times New Roman"/>
          <w:b/>
          <w:sz w:val="24"/>
          <w:szCs w:val="24"/>
          <w:u w:val="single"/>
        </w:rPr>
        <w:t>30</w:t>
      </w:r>
      <w:r w:rsidR="00875413">
        <w:rPr>
          <w:rFonts w:hAnsi="Times New Roman" w:ascii="Times New Roman"/>
          <w:b/>
          <w:sz w:val="24"/>
          <w:szCs w:val="24"/>
          <w:u w:val="single"/>
        </w:rPr>
        <w:t>. svibnja</w:t>
      </w:r>
      <w:r w:rsidRPr="0084078E">
        <w:rPr>
          <w:rFonts w:hAnsi="Times New Roman" w:ascii="Times New Roman"/>
          <w:b/>
          <w:color w:val="FF0000"/>
          <w:sz w:val="24"/>
          <w:szCs w:val="24"/>
          <w:u w:val="single"/>
        </w:rPr>
        <w:t xml:space="preserve"> </w:t>
      </w:r>
      <w:r w:rsidR="00875413" w:rsidRPr="00875413">
        <w:rPr>
          <w:rFonts w:hAnsi="Times New Roman" w:ascii="Times New Roman"/>
          <w:b/>
          <w:sz w:val="24"/>
          <w:szCs w:val="24"/>
          <w:u w:val="single"/>
        </w:rPr>
        <w:t>2019.g. u 09,3</w:t>
      </w:r>
      <w:r w:rsidRPr="00875413">
        <w:rPr>
          <w:rFonts w:hAnsi="Times New Roman" w:ascii="Times New Roman"/>
          <w:b/>
          <w:sz w:val="24"/>
          <w:szCs w:val="24"/>
          <w:u w:val="single"/>
        </w:rPr>
        <w:t>0 sati</w:t>
      </w:r>
      <w:r w:rsidRPr="00875413">
        <w:rPr>
          <w:rFonts w:hAnsi="Times New Roman" w:ascii="Times New Roman"/>
          <w:sz w:val="24"/>
          <w:szCs w:val="24"/>
        </w:rPr>
        <w:t xml:space="preserve">, u </w:t>
      </w:r>
      <w:r w:rsidRPr="005B4BE9">
        <w:rPr>
          <w:rFonts w:hAnsi="Times New Roman" w:ascii="Times New Roman"/>
          <w:sz w:val="24"/>
          <w:szCs w:val="24"/>
        </w:rPr>
        <w:t>Trgovačkom sudu u Zagrebu, Petrinjska 8, soba  91/II (ulična zgrada), sa sljedećim dnevnim redom:</w:t>
      </w:r>
    </w:p>
    <w:p w:rsidRDefault="00EB7AA8" w:rsidP="00EB7AA8" w:rsidR="00EB7AA8" w:rsidRPr="008E3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Pr="00D012D3">
        <w:rPr>
          <w:rFonts w:hAnsi="Times New Roman" w:ascii="Times New Roman"/>
          <w:szCs w:val="24"/>
          <w:lang w:val="hr-HR"/>
        </w:rPr>
        <w:t>Donošenje odluke o prodaji imovine-nekretnina stečajnog dužnika kako slijedi:</w:t>
      </w: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t>1. nekretnina upisana u Općinski sud u Novom Zagrebu, zemljišnoknjižni odjel Zaprešić, zk ul. 523, k.o. Zaprešić, zkč. 703/1- ORANICA ŠKALINKA, površine 2945 m2 i to: Rbr.5. suvlasnički dio 7/16.</w:t>
      </w:r>
    </w:p>
    <w:p w:rsidRDefault="008F32F9" w:rsidP="00D012D3" w:rsidR="008F32F9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t xml:space="preserve">2. nekretnina upisana u Općinski sud u Bjelovaru, zemljišnoknjižni odjel Pakrac,  zk. ul. 1705, k.o. Badljevina: </w:t>
      </w: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t xml:space="preserve">zkč. 1711/1- ORANICA, površine 3190 m2, </w:t>
      </w: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t xml:space="preserve">zkč. 1711/2 – ORANICA U VINOGRADINI  površine 5611 m2, </w:t>
      </w: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t>zkč. 1711/4- ORANICA VINOGRADINA, površine 5028 m2,</w:t>
      </w: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t>zkč. 1711/6- ORANICA U VINOGRADINI površine 4906 m2,</w:t>
      </w: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t>zkč. 1715/50- ORANICA VINOGRADINA površine 6104 m2,</w:t>
      </w: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t>zkč. 1715/81- ORANICA U VINOGRADINI površine 1021 m2,</w:t>
      </w: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t>zkč. 1715/82 ORANICA U VINOGRADINI površine 1025 m2,</w:t>
      </w: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t>zkč. 1715/83 ORANICA U SLATINI površine 1021 m2,</w:t>
      </w: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t>zkč. 1715/110- ORANICA U VINOGRADINI površine 3913 m2,</w:t>
      </w: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t>zkč. 1715/111- ORANICA U SELU površine 3363 m2,</w:t>
      </w: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t>zkč. 1715/118- ORANICA U VINOGRADINI površine 5539 m2,</w:t>
      </w: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t>odnosno sveukupna površine 4721 m2,</w:t>
      </w: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t xml:space="preserve">3. nekretnina upisana u Općinski sud u Bjelovaru, zemljišnoknjižni odjel Pakrac, zk ul. 1147, k.o. Badljevina, </w:t>
      </w: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t>zkč. 479/1- ORANICA VELIKI RIT U RAŠĆU, površine 6783 m2,</w:t>
      </w: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t>zkč. 479/2- ORANICA VELIKI RIT U RAŠĆU, površine 13426 m2,</w:t>
      </w: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t>odnosno sveukupne površine 20209 m2,</w:t>
      </w: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lastRenderedPageBreak/>
        <w:t xml:space="preserve">4. nekretnina upisana u Općinski sud u Bjelovaru, zemljišnoknjižni odjel Pakrac, zk. ul. 1351, k.o. Badljevina, </w:t>
      </w: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t>zkč. 1717/7- LIVADA U VINOGRADINI površine 201 m2,</w:t>
      </w: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t>zkč. 1721/14 -ORANICA U VINOGRADINI površine 2913 m2,</w:t>
      </w: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t xml:space="preserve">zkč. 1721/15 – KUĆA, DVORIŠTE, VOĆNJAK, </w:t>
      </w:r>
      <w:r>
        <w:rPr>
          <w:rFonts w:hAnsi="Times New Roman" w:ascii="Times New Roman"/>
          <w:szCs w:val="24"/>
          <w:lang w:val="hr-HR"/>
        </w:rPr>
        <w:t xml:space="preserve">I ORANICA, ukupne površine 5430 </w:t>
      </w:r>
      <w:r w:rsidRPr="00D012D3">
        <w:rPr>
          <w:rFonts w:hAnsi="Times New Roman" w:ascii="Times New Roman"/>
          <w:szCs w:val="24"/>
          <w:lang w:val="hr-HR"/>
        </w:rPr>
        <w:t xml:space="preserve">m2, KUĆA površine 93 m2, DVORIŠTE površine 679 m2, VOĆNJAK površine 598 m2, ORANICA površine 4060 m2, </w:t>
      </w:r>
    </w:p>
    <w:p w:rsidRDefault="00D012D3" w:rsidP="00D012D3" w:rsidR="00D012D3" w:rsidRPr="00D012D3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012D3">
        <w:rPr>
          <w:rFonts w:hAnsi="Times New Roman" w:ascii="Times New Roman"/>
          <w:szCs w:val="24"/>
          <w:lang w:val="hr-HR"/>
        </w:rPr>
        <w:t>odnosno sveukupna površine 8544 m2.</w:t>
      </w:r>
    </w:p>
    <w:p w:rsidRDefault="00E870CE" w:rsidP="00D012D3" w:rsidR="00E870CE">
      <w:pPr>
        <w:pStyle w:val="Odlomakpopisa"/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EB7AA8" w:rsidP="00E870CE" w:rsidR="00EB7AA8">
      <w:pPr>
        <w:pStyle w:val="Odlomakpopisa"/>
        <w:numPr>
          <w:ilvl w:val="0"/>
          <w:numId w:val="1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22458">
        <w:rPr>
          <w:rFonts w:hAnsi="Times New Roman" w:ascii="Times New Roman"/>
          <w:szCs w:val="24"/>
          <w:lang w:val="hr-HR"/>
        </w:rPr>
        <w:t xml:space="preserve">Ovo Rješenje objavit će se na  mrežnoj stranici e-Oglasna ploča </w:t>
      </w:r>
      <w:r>
        <w:rPr>
          <w:rFonts w:hAnsi="Times New Roman" w:ascii="Times New Roman"/>
          <w:szCs w:val="24"/>
          <w:lang w:val="hr-HR"/>
        </w:rPr>
        <w:t>Trgovačkog suda u Zagrebu.</w:t>
      </w:r>
    </w:p>
    <w:p w:rsidRDefault="00EB7AA8" w:rsidP="00EB7AA8" w:rsidR="00EB7AA8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Obrazloženje</w:t>
      </w:r>
    </w:p>
    <w:p w:rsidRDefault="00EB7AA8" w:rsidP="00EB7AA8" w:rsidR="00EB7AA8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EB7AA8" w:rsidP="00EB7AA8" w:rsidR="00EB7AA8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 xml:space="preserve">Nad gore navedenim stečajnim dužnikom Rješenjem </w:t>
      </w:r>
      <w:r>
        <w:rPr>
          <w:rFonts w:hAnsi="Times New Roman" w:ascii="Times New Roman"/>
          <w:szCs w:val="24"/>
          <w:lang w:val="hr-HR"/>
        </w:rPr>
        <w:t>Trgovačkog</w:t>
      </w:r>
      <w:r w:rsidRPr="00CA2125">
        <w:rPr>
          <w:rFonts w:hAnsi="Times New Roman" w:ascii="Times New Roman"/>
          <w:szCs w:val="24"/>
          <w:lang w:val="hr-HR"/>
        </w:rPr>
        <w:t xml:space="preserve"> suda</w:t>
      </w:r>
      <w:r>
        <w:rPr>
          <w:rFonts w:hAnsi="Times New Roman" w:ascii="Times New Roman"/>
          <w:szCs w:val="24"/>
          <w:lang w:val="hr-HR"/>
        </w:rPr>
        <w:t xml:space="preserve">  u Zagrebu pod posl. </w:t>
      </w:r>
      <w:r w:rsidRPr="00CA2125">
        <w:rPr>
          <w:rFonts w:hAnsi="Times New Roman" w:ascii="Times New Roman"/>
          <w:szCs w:val="24"/>
          <w:lang w:val="hr-HR"/>
        </w:rPr>
        <w:t xml:space="preserve"> br. St-</w:t>
      </w:r>
      <w:r>
        <w:rPr>
          <w:rFonts w:hAnsi="Times New Roman" w:ascii="Times New Roman"/>
          <w:szCs w:val="24"/>
          <w:lang w:val="hr-HR"/>
        </w:rPr>
        <w:t>4710/16-23</w:t>
      </w:r>
      <w:r w:rsidRPr="00CA2125">
        <w:rPr>
          <w:rFonts w:hAnsi="Times New Roman" w:ascii="Times New Roman"/>
          <w:szCs w:val="24"/>
          <w:lang w:val="hr-HR"/>
        </w:rPr>
        <w:t xml:space="preserve"> od </w:t>
      </w:r>
      <w:r>
        <w:rPr>
          <w:rFonts w:hAnsi="Times New Roman" w:ascii="Times New Roman"/>
          <w:szCs w:val="24"/>
          <w:lang w:val="hr-HR"/>
        </w:rPr>
        <w:t>9</w:t>
      </w:r>
      <w:r w:rsidRPr="00CA2125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prosinca 2016</w:t>
      </w:r>
      <w:r w:rsidRPr="00CA212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</w:t>
      </w:r>
      <w:r w:rsidRPr="00CA2125">
        <w:rPr>
          <w:rFonts w:hAnsi="Times New Roman" w:ascii="Times New Roman"/>
          <w:szCs w:val="24"/>
          <w:lang w:val="hr-HR"/>
        </w:rPr>
        <w:t xml:space="preserve"> otvoren je stečajni postupak, </w:t>
      </w:r>
      <w:r w:rsidR="003212E4">
        <w:rPr>
          <w:rFonts w:hAnsi="Times New Roman" w:ascii="Times New Roman"/>
          <w:szCs w:val="24"/>
          <w:lang w:val="hr-HR"/>
        </w:rPr>
        <w:t>te je tijekom provedbe ovog postupka utvrđena naknadno pronađena imovina-nekretnine kako su iste navedene i opisane u toč. I ovog rješenja,</w:t>
      </w:r>
      <w:r w:rsidR="00994AE9">
        <w:rPr>
          <w:rFonts w:hAnsi="Times New Roman" w:ascii="Times New Roman"/>
          <w:szCs w:val="24"/>
          <w:lang w:val="hr-HR"/>
        </w:rPr>
        <w:t xml:space="preserve"> </w:t>
      </w:r>
      <w:r w:rsidR="003212E4">
        <w:rPr>
          <w:rFonts w:hAnsi="Times New Roman" w:ascii="Times New Roman"/>
          <w:szCs w:val="24"/>
          <w:lang w:val="hr-HR"/>
        </w:rPr>
        <w:t xml:space="preserve">a u odnosu na koje </w:t>
      </w:r>
      <w:r w:rsidR="00994AE9">
        <w:rPr>
          <w:rFonts w:hAnsi="Times New Roman" w:ascii="Times New Roman"/>
          <w:szCs w:val="24"/>
          <w:lang w:val="hr-HR"/>
        </w:rPr>
        <w:t>je</w:t>
      </w:r>
      <w:r w:rsidR="0052342C">
        <w:rPr>
          <w:rFonts w:hAnsi="Times New Roman" w:ascii="Times New Roman"/>
          <w:szCs w:val="24"/>
          <w:lang w:val="hr-HR"/>
        </w:rPr>
        <w:t xml:space="preserve"> potrebno donijeti </w:t>
      </w:r>
      <w:r w:rsidR="00CC4D62">
        <w:rPr>
          <w:rFonts w:hAnsi="Times New Roman" w:ascii="Times New Roman"/>
          <w:szCs w:val="24"/>
          <w:lang w:val="hr-HR"/>
        </w:rPr>
        <w:t xml:space="preserve"> daljnju odluku o unovčenju, odnosno o visini kupovnine.</w:t>
      </w:r>
    </w:p>
    <w:p w:rsidRDefault="00EB7AA8" w:rsidP="00EB7AA8" w:rsidR="00EB7AA8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>Sukladno odredbi članka 103., čl. 104., a u svezi s čl. 229. st. 2.  Stečajnog zakona (NN 71/15,104/17) po prijedlogu stečajnog upravitelja sazvana je S</w:t>
      </w:r>
      <w:r>
        <w:rPr>
          <w:rFonts w:hAnsi="Times New Roman" w:ascii="Times New Roman"/>
          <w:szCs w:val="24"/>
          <w:lang w:val="hr-HR"/>
        </w:rPr>
        <w:t>kupština</w:t>
      </w:r>
      <w:r w:rsidRPr="00CA2125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EB7AA8" w:rsidP="00EB7AA8" w:rsidR="00EB7AA8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EB7AA8" w:rsidP="00EB7AA8" w:rsidR="00EB7AA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Pr="00BF4574">
        <w:rPr>
          <w:rFonts w:hAnsi="Times New Roman" w:ascii="Times New Roman"/>
          <w:szCs w:val="24"/>
          <w:lang w:val="hr-HR"/>
        </w:rPr>
        <w:t xml:space="preserve">, </w:t>
      </w:r>
      <w:r w:rsidR="006A214C">
        <w:rPr>
          <w:rFonts w:hAnsi="Times New Roman" w:ascii="Times New Roman"/>
          <w:szCs w:val="24"/>
          <w:lang w:val="hr-HR"/>
        </w:rPr>
        <w:t>10</w:t>
      </w:r>
      <w:r w:rsidRPr="00BF4574">
        <w:rPr>
          <w:rFonts w:hAnsi="Times New Roman" w:ascii="Times New Roman"/>
          <w:szCs w:val="24"/>
          <w:lang w:val="hr-HR"/>
        </w:rPr>
        <w:t xml:space="preserve">. </w:t>
      </w:r>
      <w:r w:rsidR="00E47135">
        <w:rPr>
          <w:rFonts w:hAnsi="Times New Roman" w:ascii="Times New Roman"/>
          <w:szCs w:val="24"/>
          <w:lang w:val="hr-HR"/>
        </w:rPr>
        <w:t>svibnja</w:t>
      </w:r>
      <w:r>
        <w:rPr>
          <w:rFonts w:hAnsi="Times New Roman" w:ascii="Times New Roman"/>
          <w:szCs w:val="24"/>
          <w:lang w:val="hr-HR"/>
        </w:rPr>
        <w:t xml:space="preserve"> 2019</w:t>
      </w:r>
      <w:r w:rsidRPr="00BF4574">
        <w:rPr>
          <w:rFonts w:hAnsi="Times New Roman" w:ascii="Times New Roman"/>
          <w:szCs w:val="24"/>
          <w:lang w:val="hr-HR"/>
        </w:rPr>
        <w:t>.g.</w:t>
      </w:r>
    </w:p>
    <w:p w:rsidRDefault="00EB7AA8" w:rsidP="00EB7AA8" w:rsidR="00EB7AA8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EB7AA8" w:rsidP="00EB7AA8" w:rsidR="00EB7AA8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EB7AA8" w:rsidP="00EB7AA8" w:rsidR="00EB7AA8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5C2DDC">
        <w:rPr>
          <w:rFonts w:hAnsi="Times New Roman" w:ascii="Times New Roman"/>
          <w:szCs w:val="24"/>
          <w:lang w:val="hr-HR"/>
        </w:rPr>
        <w:t>,v.r.</w:t>
      </w:r>
    </w:p>
    <w:p w:rsidRDefault="00EB7AA8" w:rsidP="00EB7AA8" w:rsidR="00EB7AA8" w:rsidRPr="00CA2125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EB7AA8" w:rsidP="00EB7AA8" w:rsidR="00EB7AA8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EB7AA8" w:rsidP="00EB7AA8" w:rsidR="00EB7AA8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10. Stečajnog zakona).</w:t>
      </w:r>
    </w:p>
    <w:p w:rsidRDefault="00EB7AA8" w:rsidP="00EB7AA8" w:rsidR="00EB7AA8" w:rsidRPr="00CA2125">
      <w:pPr>
        <w:rPr>
          <w:rFonts w:hAnsi="Times New Roman" w:ascii="Times New Roman"/>
          <w:szCs w:val="24"/>
          <w:lang w:val="hr-HR"/>
        </w:rPr>
      </w:pPr>
    </w:p>
    <w:p w:rsidRDefault="005C2DDC" w:rsidP="006F7248" w:rsidR="005C2DDC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5C2DDC" w:rsidP="006F7248" w:rsidR="005C2DDC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EB7AA8" w:rsidP="005C2DDC" w:rsidR="00EB7AA8">
      <w:pPr>
        <w:ind w:left="720"/>
        <w:textAlignment w:val="auto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sectPr w:rsidSect="00EB7AA8" w:rsidR="00EB7AA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AA8" w:rsidP="00EB7AA8" w:rsidR="00EB7AA8">
      <w:r>
        <w:separator/>
      </w:r>
    </w:p>
  </w:endnote>
  <w:endnote w:id="0" w:type="continuationSeparator">
    <w:p w:rsidRDefault="00EB7AA8" w:rsidP="00EB7AA8" w:rsidR="00EB7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AA8" w:rsidP="00EB7AA8" w:rsidR="00EB7AA8">
      <w:r>
        <w:separator/>
      </w:r>
    </w:p>
  </w:footnote>
  <w:footnote w:id="0" w:type="continuationSeparator">
    <w:p w:rsidRDefault="00EB7AA8" w:rsidP="00EB7AA8" w:rsidR="00EB7A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AA8" w:rsidP="00EB7AA8" w:rsidR="00EB7AA8">
    <w:pPr>
      <w:pStyle w:val="Zaglavlje"/>
      <w:tabs>
        <w:tab w:pos="7371" w:val="left"/>
      </w:tabs>
    </w:pPr>
    <w:r>
      <w:tab/>
    </w:r>
    <w:sdt>
      <w:sdtPr>
        <w:id w:val="205611182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C2DDC" w:rsidRPr="005C2DDC">
          <w:rPr>
            <w:noProof/>
            <w:lang w:val="hr-HR"/>
          </w:rPr>
          <w:t>2</w:t>
        </w:r>
        <w:r>
          <w:fldChar w:fldCharType="end"/>
        </w:r>
      </w:sdtContent>
    </w:sdt>
    <w:r>
      <w:tab/>
      <w:t xml:space="preserve">   </w:t>
    </w:r>
    <w:r>
      <w:rPr>
        <w:rFonts w:hAnsi="Times New Roman" w:ascii="Times New Roman"/>
        <w:lang w:val="hr-HR"/>
      </w:rPr>
      <w:t>20. St-4710/16</w:t>
    </w:r>
  </w:p>
  <w:p w:rsidRDefault="00EB7AA8" w:rsidR="00EB7A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7AA8"/>
    <w:rsid w:val="000E1C18"/>
    <w:rsid w:val="00220FF8"/>
    <w:rsid w:val="002D6BFA"/>
    <w:rsid w:val="003212E4"/>
    <w:rsid w:val="0041706C"/>
    <w:rsid w:val="004C3D14"/>
    <w:rsid w:val="0052342C"/>
    <w:rsid w:val="005C2DDC"/>
    <w:rsid w:val="00633CA1"/>
    <w:rsid w:val="00696B29"/>
    <w:rsid w:val="006A214C"/>
    <w:rsid w:val="007E0CA8"/>
    <w:rsid w:val="0084078E"/>
    <w:rsid w:val="00875413"/>
    <w:rsid w:val="008F32F9"/>
    <w:rsid w:val="0090646B"/>
    <w:rsid w:val="009436F0"/>
    <w:rsid w:val="00974271"/>
    <w:rsid w:val="00994AE9"/>
    <w:rsid w:val="00A02AB2"/>
    <w:rsid w:val="00CC4D62"/>
    <w:rsid w:val="00CF164F"/>
    <w:rsid w:val="00D012D3"/>
    <w:rsid w:val="00D47931"/>
    <w:rsid w:val="00E47135"/>
    <w:rsid w:val="00E870CE"/>
    <w:rsid w:val="00EB7AA8"/>
    <w:rsid w:val="00F0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7AA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B7AA8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B7AA8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B7AA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B7A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7AA8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7A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7AA8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2D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2D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D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D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D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7AA8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B7AA8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rsid w:val="00EB7AA8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B7AA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B7A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7AA8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7A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7AA8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2D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2D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D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D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D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9376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St-4710/2016-88</izvorni_sadrzaj>
    <derivirana_varijabla naziv="DomainObject.Oznaka_1">St-4710/2016-88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St-4710/2016</izvorni_sadrzaj>
    <derivirana_varijabla naziv="DomainObject.Predmet.OznakaBroj_1">St-4710/2016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LATUS CENTAR d.o.o.</izvorni_sadrzaj>
    <derivirana_varijabla naziv="DomainObject.Predmet.ProtustrankaFormated_1">  LATUS CENTAR d.o.o.</derivirana_varijabla>
  </DomainObject.Predmet.ProtustrankaFormated>
  <DomainObject.Predmet.ProtustrankaFormatedOIB>
    <izvorni_sadrzaj>  LATUS CENTAR d.o.o., OIB 66751174658</izvorni_sadrzaj>
    <derivirana_varijabla naziv="DomainObject.Predmet.ProtustrankaFormatedOIB_1">  LATUS CENTAR d.o.o., OIB 66751174658</derivirana_varijabla>
  </DomainObject.Predmet.ProtustrankaFormatedOIB>
  <DomainObject.Predmet.ProtustrankaFormatedWithAdress>
    <izvorni_sadrzaj> LATUS CENTAR d.o.o., I Vidovčica 21, 10000 Zagreb</izvorni_sadrzaj>
    <derivirana_varijabla naziv="DomainObject.Predmet.ProtustrankaFormatedWithAdress_1"> LATUS CENTAR d.o.o., I Vidovčica 21, 10000 Zagreb</derivirana_varijabla>
  </DomainObject.Predmet.ProtustrankaFormatedWithAdress>
  <DomainObject.Predmet.ProtustrankaFormatedWithAdressOIB>
    <izvorni_sadrzaj> LATUS CENTAR d.o.o., OIB 66751174658, I Vidovčica 21, 10000 Zagreb</izvorni_sadrzaj>
    <derivirana_varijabla naziv="DomainObject.Predmet.ProtustrankaFormatedWithAdressOIB_1"> LATUS CENTAR d.o.o., OIB 66751174658, I Vidovčica 21, 10000 Zagreb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RAZVITAK; REPUBLIKA HRVATSKA, Ministarstvo financija, Porezna uprava, Područni ured Zagreb zastupanog po punomoćniku Županijsko državno odvjetništvo u Zagrebu, GUO</izvorni_sadrzaj>
    <derivirana_varijabla naziv="DomainObject.Predmet.StrankaFormated_1">  FINA Regionalni centar Zagreb; HRVATSKA BANKA ZA OBNOVU I RAZVITAK; REPUBLIKA HRVATSKA, Ministarstvo financija, Porezna uprava, Područni ured Zagreb zastupanog po punomoćniku Županijsko državno odvjetništvo u Zagrebu, GUO</derivirana_varijabla>
  </DomainObject.Predmet.StrankaFormated>
  <DomainObject.Predmet.StrankaFormatedOIB>
    <izvorni_sadrzaj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izvorni_sadrzaj>
    <derivirana_varijabla naziv="DomainObject.Predmet.StrankaFormatedOIB_1"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izvorni_sadrzaj>
    <derivirana_varijabla naziv="DomainObject.Predmet.StrankaFormatedWithAdress_1"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Zagreb,REPUBLIKA HRVATSKA, Ministarstvo financija, Porezna uprava, Područni ured Zagreb </izvorni_sadrzaj>
    <derivirana_varijabla naziv="DomainObject.Predmet.StrankaWithAdress_1">FINA Regionalni centar Zagreb Trg svibanjskih žrtava 1995. 1,10000 Zagreb,HRVATSKA BANKA ZA OBNOVU I RAZVITAK Strossmayerov trg 9,10000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Zagreb,HRVATSKA BANKA ZA OBNOVU I RAZVITAK,REPUBLIKA HRVATSKA, Ministarstvo financija, Porezna uprava, Područni ured Zagreb</izvorni_sadrzaj>
    <derivirana_varijabla naziv="DomainObject.Predmet.StrankaNazivFormated_1">FINA Regionalni centar Zagreb,HRVATSKA BANKA ZA OBNOVU I RAZVITAK,REPUBLIKA HRVATSKA, Ministarstvo financija, Porezna uprava, Područni ured Zagreb</derivirana_varijabla>
  </DomainObject.Predmet.StrankaNazivFormated>
  <DomainObject.Predmet.StrankaNazivFormatedOIB>
    <izvorni_sadrzaj>FINA Regionalni centar Zagreb, OIB 85821130368,HRVATSKA BANKA ZA OBNOVU I RAZVITAK, OIB 26702280390,REPUBLIKA HRVATSKA, Ministarstvo financija, Porezna uprava, Područni ured Zagreb, OIB 18683136487</izvorni_sadrzaj>
    <derivirana_varijabla naziv="DomainObject.Predmet.StrankaNazivFormatedOIB_1">FINA Regionalni centar Zagreb, OIB 85821130368,HRVATSKA BANKA ZA OBNOVU I RAZVITAK, OIB 26702280390,REPUBLIKA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_1"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HRVATSKA BANKA ZA OBNOVU I RAZVITAK</item>
      <item>REPUBLIKA HRVATSKA, Ministarstvo financija, Porezna uprava, Područni ured Zagreb</item>
    </izvorni_sadrzaj>
    <derivirana_varijabla naziv="DomainObject.Predmet.StrankaListNazivFormated_1">
      <item>FINA Regionalni centar Zagreb</item>
      <item>HRVATSKA BANKA ZA OBNOVU I RAZVITAK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HRVATSKA BANKA ZA OBNOVU I RAZVITAK, OIB 26702280390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LATUS CENTAR d.o.o.</item>
    </izvorni_sadrzaj>
    <derivirana_varijabla naziv="DomainObject.Predmet.ProtuStrankaListFormated_1">
      <item>LATUS CENTAR d.o.o.</item>
    </derivirana_varijabla>
  </DomainObject.Predmet.ProtuStrankaListFormated>
  <DomainObject.Predmet.ProtuStrankaListFormatedOIB>
    <izvorni_sadrzaj>
      <item>LATUS CENTAR d.o.o., OIB 66751174658</item>
    </izvorni_sadrzaj>
    <derivirana_varijabla naziv="DomainObject.Predmet.ProtuStrankaListFormatedOIB_1">
      <item>LATUS CENTAR d.o.o., OIB 66751174658</item>
    </derivirana_varijabla>
  </DomainObject.Predmet.ProtuStrankaListFormatedOIB>
  <DomainObject.Predmet.ProtuStrankaListFormatedWithAdress>
    <izvorni_sadrzaj>
      <item>LATUS CENTAR d.o.o., I Vidovčica 21, 10000 Zagreb</item>
    </izvorni_sadrzaj>
    <derivirana_varijabla naziv="DomainObject.Predmet.ProtuStrankaListFormatedWithAdress_1">
      <item>LATUS CENTAR d.o.o., I Vidovčica 21, 10000 Zagreb</item>
    </derivirana_varijabla>
  </DomainObject.Predmet.ProtuStrankaListFormatedWithAdress>
  <DomainObject.Predmet.ProtuStrankaListFormatedWithAdressOIB>
    <izvorni_sadrzaj>
      <item>LATUS CENTAR d.o.o., OIB 66751174658, I Vidovčica 21, 10000 Zagreb</item>
    </izvorni_sadrzaj>
    <derivirana_varijabla naziv="DomainObject.Predmet.ProtuStrankaListFormatedWithAdressOIB_1">
      <item>LATUS CENTAR d.o.o., OIB 66751174658, I Vidovčica 21, 10000 Zagreb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</izvorni_sadrzaj>
    <derivirana_varijabla naziv="DomainObject.Predmet.OstaliListFormated_1">
      <item>Tatjana Seleši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</derivirana_varijabla>
  </DomainObject.Predmet.OstaliListFormated>
  <DomainObject.Predmet.OstaliListFormatedOIB>
    <izvorni_sadrzaj>
      <item>Tatjana Seleši, OIB 67479226571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</item>
      <item>Tea Vdović, OIB 19714474183</item>
    </izvorni_sadrzaj>
    <derivirana_varijabla naziv="DomainObject.Predmet.OstaliListFormatedOIB_1">
      <item>Tatjana Seleši, OIB 67479226571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</item>
      <item>Tea Vdović, OIB 19714474183</item>
    </derivirana_varijabla>
  </DomainObject.Predmet.OstaliListFormatedOIB>
  <DomainObject.Predmet.OstaliListFormatedWithAdress>
    <izvorni_sadrzaj>
      <item>Tatjana Seleši, I. Vidovčica 21, 10000 Zagreb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  <item>Tea Vdović, Vrhi Pregradski 51a, 49218 Vrhi Pregradski</item>
    </izvorni_sadrzaj>
    <derivirana_varijabla naziv="DomainObject.Predmet.OstaliListFormatedWithAdress_1">
      <item>Tatjana Seleši, I. Vidovčica 21, 10000 Zagreb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  <item>Tea Vdović, Vrhi Pregradski 51a, 49218 Vrhi Pregradski</item>
    </derivirana_varijabla>
  </DomainObject.Predmet.OstaliListFormatedWithAdress>
  <DomainObject.Predmet.OstaliListFormatedWithAdressOIB>
    <izvorni_sadrzaj>
      <item>Tatjana Seleši, OIB 67479226571, I. Vidovčica 21, 10000 Zagreb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TŽF.1, 10290 Zaprešić</item>
      <item>Tea Vdović, OIB 19714474183, Vrhi Pregradski 51a, 49218 Vrhi Pregradski</item>
    </izvorni_sadrzaj>
    <derivirana_varijabla naziv="DomainObject.Predmet.OstaliListFormatedWithAdressOIB_1">
      <item>Tatjana Seleši, OIB 67479226571, I. Vidovčica 21, 10000 Zagreb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TŽF.1, 10290 Zaprešić</item>
      <item>Tea Vdović, OIB 19714474183, Vrhi Pregradski 51a, 49218 Vrhi Pregradski</item>
    </derivirana_varijabla>
  </DomainObject.Predmet.OstaliListFormatedWithAdressOIB>
  <DomainObject.Predmet.OstaliListNazivFormated>
    <izvorni_sadrzaj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</izvorni_sadrzaj>
    <derivirana_varijabla naziv="DomainObject.Predmet.OstaliListNazivFormated_1"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</derivirana_varijabla>
  </DomainObject.Predmet.OstaliListNazivFormated>
  <DomainObject.Predmet.OstaliListNazivFormatedOIB>
    <izvorni_sadrzaj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</item>
      <item>Tea Vdović, OIB 19714474183</item>
    </izvorni_sadrzaj>
    <derivirana_varijabla naziv="DomainObject.Predmet.OstaliListNazivFormatedOIB_1"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</item>
      <item>Tea Vdović, OIB 19714474183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St-4710/2016-88</izvorni_sadrzaj>
    <derivirana_varijabla naziv="DomainObject.PoslovniBrojDokumenta_1">St-4710/2016-88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</izvorni_sadrzaj>
    <derivirana_varijabla naziv="DomainObject.Predmet.SudioniciListNaziv_1"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  <item>Tea Vdović</item>
    </derivirana_varijabla>
  </DomainObject.Predmet.SudioniciListNaziv>
  <DomainObject.Predmet.SudioniciListAdressOIB>
    <izvorni_sadrzaj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TŽF.1,10290 Zaprešić</item>
      <item>Tea Vdović, OIB 19714474183, Vrhi Pregradski 51a,49218 Vrhi Pregradski</item>
    </izvorni_sadrzaj>
    <derivirana_varijabla naziv="DomainObject.Predmet.SudioniciListAdressOIB_1"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TŽF.1,10290 Zaprešić</item>
      <item>Tea Vdović, OIB 19714474183, Vrhi Pregradski 51a,49218 Vrhi Pregradski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null</item>
      <item>, OIB 19714474183</item>
    </izvorni_sadrzaj>
    <derivirana_varijabla naziv="DomainObject.Predmet.SudioniciListNazivOIB_1"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null</item>
      <item>, OIB 19714474183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30. travnja 2019.</izvorni_sadrzaj>
    <derivirana_varijabla naziv="DomainObject.PredzadnjaOdlukaIzPredmeta.DatumDonosenjaOdluke_1">30. travnja 2019.</derivirana_varijabla>
  </DomainObject.PredzadnjaOdlukaIzPredmeta.DatumDonosenjaOdluke>
  <DomainObject.PredzadnjaOdlukaIzPredmeta.Oznaka>
    <izvorni_sadrzaj>St-4710/2016-86</izvorni_sadrzaj>
    <derivirana_varijabla naziv="DomainObject.PredzadnjaOdlukaIzPredmeta.Oznaka_1">St-4710/2016-86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2827</properties:Characters>
  <properties:Lines>81</properties:Lines>
  <properties:Paragraphs>43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2019-05-06T08:06:00Z</dcterms:created>
  <dc:creator>Monika Grbac</dc:creator>
  <cp:lastModifiedBy>Monika Grbac</cp:lastModifiedBy>
  <dcterms:modified xmlns:xsi="http://www.w3.org/2001/XMLSchema-instance" xsi:type="dcterms:W3CDTF">2019-05-10T08:57:00Z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St-4710/2016-88 / Odluka - Rješenje - sazivanje skupštine vjerovnika (st-4710-16 LATUS CENTAR 3x (4 nekretnine).docx)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