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a7ce" w14:paraId="6d0a7ce" w:rsidRDefault="00D42AE5" w:rsidR="00085581">
      <w:pPr>
        <w:jc w:val="center"/>
        <w15:collapsed w:val="false"/>
      </w:pPr>
      <w:bookmarkStart w:name="_GoBack" w:id="0"/>
      <w:bookmarkEnd w:id="0"/>
      <w:r>
        <w:rPr>
          <w:rFonts w:cs="Gill Sans MT" w:hAnsi="Gill Sans MT" w:ascii="Gill Sans MT"/>
          <w:sz w:val="24"/>
          <w:szCs w:val="24"/>
        </w:rPr>
        <w:t>Obrazac 20</w:t>
      </w:r>
    </w:p>
    <w:p w:rsidRDefault="00085581" w:rsidR="00085581">
      <w:pPr>
        <w:rPr>
          <w:rFonts w:cs="Gill Sans MT" w:hAnsi="Gill Sans MT" w:ascii="Gill Sans MT"/>
          <w:sz w:val="24"/>
          <w:szCs w:val="24"/>
        </w:rPr>
      </w:pPr>
    </w:p>
    <w:p w:rsidRDefault="00D42AE5" w:rsidR="00085581">
      <w:pPr>
        <w:pStyle w:val="Naslov3"/>
      </w:pPr>
      <w:r>
        <w:rPr>
          <w:sz w:val="24"/>
          <w:szCs w:val="24"/>
        </w:rPr>
        <w:t>Izvješće stečajnog upravitelja  o tijeku  stečajnog postupka i stanju stečajne mase</w:t>
      </w:r>
    </w:p>
    <w:p w:rsidRDefault="00085581" w:rsidR="00085581">
      <w:pPr>
        <w:rPr>
          <w:sz w:val="24"/>
          <w:szCs w:val="24"/>
        </w:rPr>
      </w:pPr>
    </w:p>
    <w:p w:rsidRDefault="00D42AE5" w:rsidR="00085581">
      <w:r>
        <w:rPr>
          <w:sz w:val="24"/>
          <w:szCs w:val="24"/>
        </w:rPr>
        <w:t xml:space="preserve">Nadležni </w:t>
      </w:r>
      <w:proofErr w:type="spellStart"/>
      <w:r>
        <w:rPr>
          <w:sz w:val="24"/>
          <w:szCs w:val="24"/>
        </w:rPr>
        <w:t>trgovaćki</w:t>
      </w:r>
      <w:proofErr w:type="spellEnd"/>
      <w:r>
        <w:rPr>
          <w:sz w:val="24"/>
          <w:szCs w:val="24"/>
        </w:rPr>
        <w:t xml:space="preserve"> sud:   TRGOVAČKI SUD U ZAGREBU </w:t>
      </w:r>
    </w:p>
    <w:p w:rsidRDefault="00D42AE5" w:rsidR="00085581">
      <w:r>
        <w:rPr>
          <w:sz w:val="24"/>
          <w:szCs w:val="24"/>
        </w:rPr>
        <w:t xml:space="preserve">Poslovni broj spisa:        St- 3205/16      </w:t>
      </w:r>
    </w:p>
    <w:p w:rsidRDefault="00085581" w:rsidR="00085581">
      <w:pPr>
        <w:pStyle w:val="Naslov1"/>
      </w:pPr>
    </w:p>
    <w:p w:rsidRDefault="00D42AE5" w:rsidR="00085581">
      <w:pPr>
        <w:pStyle w:val="Naslov1"/>
      </w:pPr>
      <w:r>
        <w:rPr>
          <w:sz w:val="24"/>
          <w:szCs w:val="24"/>
        </w:rPr>
        <w:t>Dužnik :   GM DEVERIĆ d.o.o. Zagreb, Šibenska 8</w:t>
      </w:r>
    </w:p>
    <w:p w:rsidRDefault="00085581" w:rsidR="00085581">
      <w:pPr>
        <w:rPr>
          <w:sz w:val="24"/>
          <w:szCs w:val="24"/>
        </w:rPr>
      </w:pPr>
    </w:p>
    <w:p w:rsidRDefault="00D42AE5" w:rsidR="00085581">
      <w:r>
        <w:rPr>
          <w:sz w:val="24"/>
          <w:szCs w:val="24"/>
        </w:rPr>
        <w:t>OIB 12211160678</w:t>
      </w:r>
    </w:p>
    <w:p w:rsidRDefault="00D42AE5" w:rsidR="00085581">
      <w:pPr>
        <w:pStyle w:val="Naslov1"/>
      </w:pPr>
      <w:r>
        <w:rPr>
          <w:sz w:val="24"/>
          <w:szCs w:val="24"/>
        </w:rPr>
        <w:t xml:space="preserve">                                                    </w:t>
      </w:r>
    </w:p>
    <w:p w:rsidRDefault="00D42AE5" w:rsidR="00085581">
      <w:pPr>
        <w:pStyle w:val="Naslov1"/>
      </w:pPr>
      <w:r>
        <w:rPr>
          <w:sz w:val="24"/>
          <w:szCs w:val="24"/>
        </w:rPr>
        <w:t xml:space="preserve">                                                                            </w:t>
      </w:r>
    </w:p>
    <w:p w:rsidRDefault="00D42AE5" w:rsidR="00085581">
      <w:pPr>
        <w:pStyle w:val="Naslov1"/>
      </w:pPr>
      <w:r>
        <w:rPr>
          <w:sz w:val="24"/>
          <w:szCs w:val="24"/>
        </w:rPr>
        <w:t xml:space="preserve">                                                                               </w:t>
      </w:r>
    </w:p>
    <w:p w:rsidRDefault="00D42AE5" w:rsidR="00085581">
      <w:pPr>
        <w:numPr>
          <w:ilvl w:val="0"/>
          <w:numId w:val="2"/>
        </w:numPr>
      </w:pPr>
      <w:r>
        <w:rPr>
          <w:sz w:val="24"/>
          <w:szCs w:val="24"/>
        </w:rPr>
        <w:t xml:space="preserve">TIJEK STEČAJNOG POSTUPKA </w:t>
      </w:r>
    </w:p>
    <w:p w:rsidRDefault="00085581" w:rsidR="00085581">
      <w:pPr>
        <w:rPr>
          <w:sz w:val="24"/>
          <w:szCs w:val="24"/>
        </w:rPr>
      </w:pPr>
    </w:p>
    <w:p w:rsidRDefault="00085581" w:rsidR="00085581">
      <w:pPr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 xml:space="preserve">Rješenjem Trgovačkog suda u Zagrebu  </w:t>
      </w:r>
      <w:proofErr w:type="spellStart"/>
      <w:r>
        <w:rPr>
          <w:sz w:val="24"/>
          <w:szCs w:val="24"/>
        </w:rPr>
        <w:t>posl.broj</w:t>
      </w:r>
      <w:proofErr w:type="spellEnd"/>
      <w:r>
        <w:rPr>
          <w:sz w:val="24"/>
          <w:szCs w:val="24"/>
        </w:rPr>
        <w:t xml:space="preserve"> St- 3205/16 od 25. svibnja  2017. g. otvoren je nad dužnikom tečajni postupak po prijedlogu Republike Hrvatske.  Ministarstva financija, Porezne uprave, Područnog ureda Zagreb.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Društvo, stečajni dužnik, je osnovano je 1993 godine, a od 2005 godine kada je promijenilo vlasnika društvo se bavi prodajom građevinskih i rudarskih strojeva. Problemi u poslovanju započeli su zbog krize u graditeljstvu nakon 2008. godine. Prema izjavi člana i direktora društva, gospodina Zorana Deverića dužnik ne obavlja djelatnost od 2010 godine.</w:t>
      </w: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 xml:space="preserve">Nakon otvaranja stečaja stečajnom upravitelju nisu predani knjigovodstveni podaci niti dokumenti obzirom da društvo sedam godina ranije nije obavljalo djelatnost. </w:t>
      </w: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Gospodin Deverić je objasnio da društvo ima u vlasništvu automobil koji stoji parkiran ispred sjedišta društva kao i da nije vožen niti registriran dvije godine.</w:t>
      </w: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Obratila sam se trgovini Hyundai radi procjene  iznosa potrebnog popravka da bi se automobil doveo u stanje da može proći tehnički pregled. Na web stranicama trgovina s automobilima sam potražila tržišne cijene vozila ove kategorije.</w:t>
      </w:r>
    </w:p>
    <w:p w:rsidRDefault="00085581" w:rsidR="00085581">
      <w:pPr>
        <w:rPr>
          <w:sz w:val="24"/>
          <w:szCs w:val="24"/>
        </w:rPr>
      </w:pPr>
    </w:p>
    <w:p w:rsidRDefault="00085581" w:rsidR="00085581">
      <w:pPr>
        <w:rPr>
          <w:sz w:val="24"/>
          <w:szCs w:val="24"/>
        </w:rPr>
      </w:pPr>
    </w:p>
    <w:p w:rsidRDefault="00D42AE5" w:rsidR="00085581">
      <w:pPr>
        <w:pStyle w:val="Tijeloteksta"/>
        <w:numPr>
          <w:ilvl w:val="0"/>
          <w:numId w:val="2"/>
        </w:numPr>
        <w:jc w:val="both"/>
      </w:pPr>
      <w:r>
        <w:rPr>
          <w:sz w:val="24"/>
          <w:szCs w:val="24"/>
        </w:rPr>
        <w:t>STANJE STEČAJNE MASE</w:t>
      </w:r>
    </w:p>
    <w:p w:rsidRDefault="00085581" w:rsidR="00085581">
      <w:pPr>
        <w:pStyle w:val="Tijeloteksta"/>
        <w:ind w:left="360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b/>
          <w:sz w:val="24"/>
          <w:szCs w:val="24"/>
        </w:rPr>
        <w:t>Predmeti stečajne mase</w:t>
      </w:r>
    </w:p>
    <w:p w:rsidRDefault="00085581" w:rsidR="00085581">
      <w:pPr>
        <w:pStyle w:val="Tijeloteksta"/>
        <w:jc w:val="both"/>
        <w:rPr>
          <w:b/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 xml:space="preserve">Kao što je već rečeno društvo ima u vlasništvu Hyundai ACCENT iz 2007. godine, </w:t>
      </w:r>
      <w:proofErr w:type="spellStart"/>
      <w:r>
        <w:rPr>
          <w:sz w:val="24"/>
          <w:szCs w:val="24"/>
        </w:rPr>
        <w:t>benzinac</w:t>
      </w:r>
      <w:proofErr w:type="spellEnd"/>
      <w:r>
        <w:rPr>
          <w:sz w:val="24"/>
          <w:szCs w:val="24"/>
        </w:rPr>
        <w:t>, zapremine 1.4 litre i snage motora 71 kW koji nije vožen dvije godine. Popravak automobila je procijenjen na ukupno 21.520,38 kuna. Na tržištu se ovi automobili nude za  oko 26. 000,00 kuna.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 xml:space="preserve">Na vozilu postoji zabilježba zabrane otuđivanja – ovrhe porezne uprave Zagreb KLASA UP/I-415-02/2011-01/2344 od 01.09. 2011. Pljenidba i procjena je izvršena 21.09.2011. godine. 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 xml:space="preserve">Zatražena je ponuda za otkup na više adresa trgovaca rabljenim vozilima.  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Zaprimila sam dvije pisane ponude: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 xml:space="preserve">-   AMC </w:t>
      </w:r>
      <w:proofErr w:type="spellStart"/>
      <w:r>
        <w:rPr>
          <w:sz w:val="24"/>
          <w:szCs w:val="24"/>
        </w:rPr>
        <w:t>Imperium</w:t>
      </w:r>
      <w:proofErr w:type="spellEnd"/>
      <w:r>
        <w:rPr>
          <w:sz w:val="24"/>
          <w:szCs w:val="24"/>
        </w:rPr>
        <w:t xml:space="preserve"> d.o.o.  na iznos od 8.000,00 kuna i</w:t>
      </w: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-   AUTOPARK SESVETE d.o.o. na iznos od 5.000,00 kuna.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U Ministarstvo financija, Poreznu upravu je proslijeđena namjera otuđenja pokretnine sa dobivenim ponudama.</w:t>
      </w:r>
    </w:p>
    <w:p w:rsidRDefault="00085581" w:rsidR="00085581">
      <w:pPr>
        <w:pStyle w:val="Tijeloteksta"/>
        <w:jc w:val="both"/>
        <w:rPr>
          <w:b/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b/>
          <w:sz w:val="24"/>
          <w:szCs w:val="24"/>
        </w:rPr>
        <w:t>Troškovi stečajnog postupka i ostale obveze stečajne mase:</w:t>
      </w:r>
    </w:p>
    <w:p w:rsidRDefault="00085581" w:rsidR="00085581">
      <w:pPr>
        <w:pStyle w:val="Tijeloteksta"/>
        <w:jc w:val="both"/>
        <w:rPr>
          <w:b/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Troškovi stečajnog postupka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1. Nagrada stečajnog upravitelja ( 8.000,00kn stečajna masa).................. 1.280,00 kn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Ostale obveze stečajne mase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 xml:space="preserve">1. Knjigovodstvena usluga izrade početne bilance i završnog </w:t>
      </w:r>
      <w:proofErr w:type="spellStart"/>
      <w:r>
        <w:rPr>
          <w:sz w:val="24"/>
          <w:szCs w:val="24"/>
        </w:rPr>
        <w:t>računa......</w:t>
      </w:r>
      <w:proofErr w:type="spellEnd"/>
      <w:r>
        <w:rPr>
          <w:sz w:val="24"/>
          <w:szCs w:val="24"/>
        </w:rPr>
        <w:t>. 1.000,00 kn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2. Izrada pečata ...........................................................................................  180,00 kn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sz w:val="24"/>
          <w:szCs w:val="24"/>
        </w:rPr>
        <w:t>3. Bankarska usluga ....................................................................................   100,00 kn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b/>
          <w:sz w:val="24"/>
          <w:szCs w:val="24"/>
        </w:rPr>
        <w:t xml:space="preserve">U k u p n o ...........................................................................................      2.560,00 kn   </w:t>
      </w:r>
    </w:p>
    <w:p w:rsidRDefault="00D42AE5" w:rsidR="00085581">
      <w:pPr>
        <w:pStyle w:val="Tijeloteksta"/>
        <w:jc w:val="both"/>
      </w:pPr>
      <w:r>
        <w:rPr>
          <w:b/>
          <w:sz w:val="24"/>
          <w:szCs w:val="24"/>
        </w:rPr>
        <w:t xml:space="preserve">    </w:t>
      </w:r>
    </w:p>
    <w:p w:rsidRDefault="00085581" w:rsidR="00085581">
      <w:pPr>
        <w:pStyle w:val="Tijeloteksta"/>
        <w:jc w:val="both"/>
        <w:rPr>
          <w:sz w:val="24"/>
          <w:szCs w:val="24"/>
        </w:rPr>
      </w:pPr>
    </w:p>
    <w:p w:rsidRDefault="00085581" w:rsidR="00085581">
      <w:pPr>
        <w:pStyle w:val="Tijeloteksta"/>
        <w:jc w:val="both"/>
        <w:rPr>
          <w:b/>
          <w:sz w:val="24"/>
          <w:szCs w:val="24"/>
        </w:rPr>
      </w:pPr>
    </w:p>
    <w:p w:rsidRDefault="00085581" w:rsidR="00085581">
      <w:pPr>
        <w:pStyle w:val="Tijeloteksta"/>
        <w:jc w:val="both"/>
        <w:rPr>
          <w:b/>
          <w:sz w:val="24"/>
          <w:szCs w:val="24"/>
        </w:rPr>
      </w:pPr>
    </w:p>
    <w:p w:rsidRDefault="00D42AE5" w:rsidR="00085581">
      <w:pPr>
        <w:pStyle w:val="Tijeloteksta"/>
        <w:jc w:val="both"/>
      </w:pPr>
      <w:r>
        <w:rPr>
          <w:b/>
          <w:sz w:val="24"/>
          <w:szCs w:val="24"/>
        </w:rPr>
        <w:t xml:space="preserve">Tražbine vjerovnika i mogućnost njihovog namirenja </w:t>
      </w:r>
    </w:p>
    <w:p w:rsidRDefault="00085581" w:rsidR="00085581">
      <w:pPr>
        <w:pStyle w:val="Tijeloteksta31"/>
        <w:jc w:val="both"/>
        <w:rPr>
          <w:i w:val="false"/>
          <w:sz w:val="24"/>
          <w:szCs w:val="24"/>
        </w:rPr>
      </w:pPr>
    </w:p>
    <w:p w:rsidRDefault="00D42AE5" w:rsidR="00085581">
      <w:pPr>
        <w:pStyle w:val="Tijeloteksta31"/>
        <w:jc w:val="both"/>
      </w:pPr>
      <w:r>
        <w:rPr>
          <w:i w:val="false"/>
          <w:sz w:val="24"/>
          <w:szCs w:val="24"/>
        </w:rPr>
        <w:t xml:space="preserve">Obrađena je i priznata 1 tražbina stečajnog i </w:t>
      </w:r>
      <w:proofErr w:type="spellStart"/>
      <w:r>
        <w:rPr>
          <w:i w:val="false"/>
          <w:sz w:val="24"/>
          <w:szCs w:val="24"/>
        </w:rPr>
        <w:t>razlučnog</w:t>
      </w:r>
      <w:proofErr w:type="spellEnd"/>
      <w:r>
        <w:rPr>
          <w:i w:val="false"/>
          <w:sz w:val="24"/>
          <w:szCs w:val="24"/>
        </w:rPr>
        <w:t xml:space="preserve"> vjerovnika  drugog višeg isplatnog reda Republike Hrvatske, Ministarstva financija, Porezne uprave, Područnog ureda Zagreb na ukupan iznos od  102.375,75 kuna.    </w:t>
      </w:r>
      <w:proofErr w:type="spellStart"/>
      <w:r>
        <w:rPr>
          <w:i w:val="false"/>
          <w:sz w:val="24"/>
          <w:szCs w:val="24"/>
        </w:rPr>
        <w:t>Razlučno</w:t>
      </w:r>
      <w:proofErr w:type="spellEnd"/>
      <w:r>
        <w:rPr>
          <w:i w:val="false"/>
          <w:sz w:val="24"/>
          <w:szCs w:val="24"/>
        </w:rPr>
        <w:t xml:space="preserve"> pravo se temelji na Zapisniku o izvršenoj procjeni pokretne imovine od 21.09.2011. na iznos od 98.072.58 kn i zabilježbi zabrane otuđivanja – ovrhe porezne uprave Zagreb KLASA UP/I-415-02/2011-01/2344 od 01.09. 2011. </w:t>
      </w:r>
    </w:p>
    <w:p w:rsidRDefault="00085581" w:rsidR="00085581">
      <w:pPr>
        <w:pStyle w:val="Tijeloteksta21"/>
        <w:ind w:left="1080"/>
        <w:rPr>
          <w:i/>
          <w:sz w:val="24"/>
          <w:szCs w:val="24"/>
        </w:rPr>
      </w:pPr>
    </w:p>
    <w:p w:rsidRDefault="00D42AE5" w:rsidR="00085581">
      <w:pPr>
        <w:pStyle w:val="Tijeloteksta21"/>
        <w:numPr>
          <w:ilvl w:val="0"/>
          <w:numId w:val="2"/>
        </w:numPr>
      </w:pPr>
      <w:r>
        <w:rPr>
          <w:sz w:val="24"/>
          <w:szCs w:val="24"/>
        </w:rPr>
        <w:t>RADNJE KOJE ĆE SE PODUZETI U NAREDNOM RAZDOBLJU</w:t>
      </w:r>
    </w:p>
    <w:p w:rsidRDefault="00085581" w:rsidR="00085581">
      <w:pPr>
        <w:pStyle w:val="Tijeloteksta21"/>
        <w:ind w:left="1080"/>
        <w:rPr>
          <w:sz w:val="24"/>
          <w:szCs w:val="24"/>
        </w:rPr>
      </w:pPr>
    </w:p>
    <w:p w:rsidRDefault="00D42AE5" w:rsidR="00085581">
      <w:pPr>
        <w:pStyle w:val="Tijeloteksta21"/>
      </w:pPr>
      <w:r>
        <w:rPr>
          <w:sz w:val="24"/>
          <w:szCs w:val="24"/>
        </w:rPr>
        <w:t>Ukoliko Republika Hrvatska, Ministarstvo financija, Porezna uprave, Područni ured Zagreb pristane na  ponudu od 8.000,00 kuna, pokretnina će se unovčiti i namiriti troškovi stečaja i razlučni vjerovnik.</w:t>
      </w:r>
    </w:p>
    <w:p w:rsidRDefault="00085581" w:rsidR="00085581">
      <w:pPr>
        <w:rPr>
          <w:sz w:val="24"/>
          <w:szCs w:val="24"/>
        </w:rPr>
      </w:pPr>
    </w:p>
    <w:p w:rsidRDefault="00D42AE5" w:rsidR="00085581">
      <w:r>
        <w:rPr>
          <w:sz w:val="24"/>
          <w:szCs w:val="24"/>
        </w:rPr>
        <w:t>U Rijeci, 06.  rujna 2017.</w:t>
      </w:r>
    </w:p>
    <w:p w:rsidRDefault="00085581" w:rsidR="00085581">
      <w:pPr>
        <w:pStyle w:val="Tijeloteksta21"/>
        <w:ind w:left="3600"/>
        <w:rPr>
          <w:sz w:val="24"/>
          <w:szCs w:val="24"/>
        </w:rPr>
      </w:pPr>
    </w:p>
    <w:p w:rsidRDefault="00D42AE5" w:rsidR="00085581">
      <w:pPr>
        <w:pStyle w:val="Tijeloteksta21"/>
        <w:ind w:left="3600"/>
      </w:pPr>
      <w:r>
        <w:rPr>
          <w:sz w:val="24"/>
          <w:szCs w:val="24"/>
        </w:rPr>
        <w:t>Stečajna upraviteljica:</w:t>
      </w:r>
    </w:p>
    <w:p w:rsidRDefault="00D42AE5" w:rsidP="00651CC8" w:rsidR="00085581">
      <w:pPr>
        <w:ind w:left="3600"/>
        <w:jc w:val="both"/>
        <w:rPr>
          <w:i/>
          <w:sz w:val="24"/>
          <w:szCs w:val="24"/>
        </w:rPr>
      </w:pPr>
      <w:r>
        <w:rPr>
          <w:sz w:val="24"/>
          <w:szCs w:val="24"/>
        </w:rPr>
        <w:t>Vesna Stančić</w:t>
      </w:r>
    </w:p>
    <w:sectPr w:rsidR="00085581">
      <w:pgSz w:h="16838" w:w="11906"/>
      <w:pgMar w:gutter="0" w:footer="720" w:header="720" w:left="1800" w:bottom="1440" w:right="180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ill Sans MT">
    <w:panose1 w:val="020B05020201040202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  <w:rPr>
        <w:rFonts w:cs="Gill Sans MT" w:hAnsi="Gill Sans MT" w:ascii="Gill Sans MT" w:hint="default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proofState w:grammar="clean" w:spelling="clean"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AE5"/>
    <w:rsid w:val="00085581"/>
    <w:rsid w:val="00651CC8"/>
    <w:rsid w:val="00D4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lang w:eastAsia="zh-CN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/>
      <w:sz w:val="28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Gill Sans MT" w:hAnsi="Gill Sans MT" w:ascii="Gill Sans MT" w:hint="default"/>
      <w:sz w:val="24"/>
      <w:szCs w:val="24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3z0" w:type="character">
    <w:name w:val="WW8Num3z0"/>
    <w:rPr>
      <w:rFonts w:cs="Symbol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4z0" w:type="character">
    <w:name w:val="WW8Num4z0"/>
    <w:rPr>
      <w:rFonts w:cs="Gill Sans MT" w:hAnsi="Gill Sans MT" w:ascii="Gill Sans MT" w:hint="default"/>
      <w:sz w:val="24"/>
      <w:szCs w:val="24"/>
    </w:rPr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  <w:rPr>
      <w:rFonts w:cs="Symbol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  <w:rPr>
      <w:rFonts w:hint="default"/>
    </w:rPr>
  </w:style>
  <w:style w:customStyle="true" w:styleId="WW8Num8z0" w:type="character">
    <w:name w:val="WW8Num8z0"/>
    <w:rPr>
      <w:rFonts w:hint="default"/>
    </w:rPr>
  </w:style>
  <w:style w:customStyle="true" w:styleId="WW8Num8z1" w:type="character">
    <w:name w:val="WW8Num8z1"/>
    <w:rPr>
      <w:rFonts w:cs="Courier New" w:hAnsi="Courier New" w:ascii="Courier New" w:hint="default"/>
    </w:rPr>
  </w:style>
  <w:style w:customStyle="true" w:styleId="WW8Num8z2" w:type="character">
    <w:name w:val="WW8Num8z2"/>
    <w:rPr>
      <w:rFonts w:cs="Wingdings" w:hAnsi="Wingdings" w:ascii="Wingdings" w:hint="default"/>
    </w:rPr>
  </w:style>
  <w:style w:customStyle="true" w:styleId="WW8Num8z3" w:type="character">
    <w:name w:val="WW8Num8z3"/>
    <w:rPr>
      <w:rFonts w:cs="Symbol" w:hAnsi="Symbol" w:ascii="Symbol" w:hint="default"/>
    </w:rPr>
  </w:style>
  <w:style w:customStyle="true" w:styleId="WW8Num9z0" w:type="character">
    <w:name w:val="WW8Num9z0"/>
    <w:rPr>
      <w:rFonts w:hint="default"/>
      <w:b w:val="false"/>
    </w:rPr>
  </w:style>
  <w:style w:customStyle="true" w:styleId="WW8Num10z0" w:type="character">
    <w:name w:val="WW8Num10z0"/>
    <w:rPr>
      <w:rFonts w:hint="default"/>
    </w:rPr>
  </w:style>
  <w:style w:customStyle="true" w:styleId="WW8Num11z0" w:type="character">
    <w:name w:val="WW8Num11z0"/>
    <w:rPr>
      <w:rFonts w:hint="default"/>
    </w:rPr>
  </w:style>
  <w:style w:customStyle="true" w:styleId="WW8Num12z0" w:type="character">
    <w:name w:val="WW8Num12z0"/>
    <w:rPr>
      <w:rFonts w:hint="default"/>
    </w:rPr>
  </w:style>
  <w:style w:customStyle="true" w:styleId="WW8Num13z0" w:type="character">
    <w:name w:val="WW8Num13z0"/>
    <w:rPr>
      <w:rFonts w:cs="Times New Roman" w:eastAsia="Times New Roman" w:hAnsi="Gill Sans MT" w:ascii="Gill Sans MT" w:hint="default"/>
    </w:rPr>
  </w:style>
  <w:style w:customStyle="true" w:styleId="WW8Num13z1" w:type="character">
    <w:name w:val="WW8Num13z1"/>
    <w:rPr>
      <w:rFonts w:cs="Courier New" w:hAnsi="Courier New" w:ascii="Courier New" w:hint="default"/>
    </w:rPr>
  </w:style>
  <w:style w:customStyle="true" w:styleId="WW8Num13z2" w:type="character">
    <w:name w:val="WW8Num13z2"/>
    <w:rPr>
      <w:rFonts w:cs="Wingdings" w:hAnsi="Wingdings" w:ascii="Wingdings" w:hint="default"/>
    </w:rPr>
  </w:style>
  <w:style w:customStyle="true" w:styleId="WW8Num13z3" w:type="character">
    <w:name w:val="WW8Num13z3"/>
    <w:rPr>
      <w:rFonts w:cs="Symbol" w:hAnsi="Symbol" w:ascii="Symbol" w:hint="default"/>
    </w:rPr>
  </w:style>
  <w:style w:customStyle="true" w:styleId="WW8Num14z0" w:type="character">
    <w:name w:val="WW8Num14z0"/>
    <w:rPr>
      <w:rFonts w:hint="default"/>
    </w:rPr>
  </w:style>
  <w:style w:customStyle="true" w:styleId="WW8Num14z1" w:type="character">
    <w:name w:val="WW8Num14z1"/>
  </w:style>
  <w:style w:customStyle="true" w:styleId="WW8Num14z2" w:type="character">
    <w:name w:val="WW8Num14z2"/>
  </w:style>
  <w:style w:customStyle="true" w:styleId="WW8Num14z3" w:type="character">
    <w:name w:val="WW8Num14z3"/>
  </w:style>
  <w:style w:customStyle="true" w:styleId="WW8Num14z4" w:type="character">
    <w:name w:val="WW8Num14z4"/>
  </w:style>
  <w:style w:customStyle="true" w:styleId="WW8Num14z5" w:type="character">
    <w:name w:val="WW8Num14z5"/>
  </w:style>
  <w:style w:customStyle="true" w:styleId="WW8Num14z6" w:type="character">
    <w:name w:val="WW8Num14z6"/>
  </w:style>
  <w:style w:customStyle="true" w:styleId="WW8Num14z7" w:type="character">
    <w:name w:val="WW8Num14z7"/>
  </w:style>
  <w:style w:customStyle="true" w:styleId="WW8Num14z8" w:type="character">
    <w:name w:val="WW8Num14z8"/>
  </w:style>
  <w:style w:customStyle="true" w:styleId="Zadanifontodlomka1" w:type="character">
    <w:name w:val="Zadani font odlomka1"/>
  </w:style>
  <w:style w:customStyle="true" w:styleId="BalloonTextChar" w:type="character">
    <w:name w:val="Balloon Text Char"/>
    <w:rPr>
      <w:rFonts w:cs="Tahoma" w:hAnsi="Tahoma" w:ascii="Tahoma"/>
      <w:sz w:val="16"/>
      <w:szCs w:val="16"/>
    </w:rPr>
  </w:style>
  <w:style w:customStyle="true" w:styleId="HeaderChar" w:type="character">
    <w:name w:val="Header Char"/>
  </w:style>
  <w:style w:customStyle="true" w:styleId="FooterChar" w:type="character">
    <w:name w:val="Footer Char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rPr>
      <w:sz w:val="28"/>
    </w:r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customStyle="true" w:styleId="Tijeloteksta21" w:type="paragraph">
    <w:name w:val="Tijelo teksta 21"/>
    <w:basedOn w:val="Normal"/>
    <w:pPr>
      <w:jc w:val="both"/>
    </w:pPr>
    <w:rPr>
      <w:sz w:val="28"/>
    </w:rPr>
  </w:style>
  <w:style w:customStyle="true" w:styleId="Tijeloteksta31" w:type="paragraph">
    <w:name w:val="Tijelo teksta 31"/>
    <w:basedOn w:val="Normal"/>
    <w:rPr>
      <w:i/>
      <w:sz w:val="28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cs="Tahoma" w:hAnsi="Tahoma" w:ascii="Tahoma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51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C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CC8"/>
    <w:rPr>
      <w:rFonts w:cs="Gill Sans MT" w:hAnsi="Gill Sans MT" w:ascii="Gill Sans MT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CC8"/>
    <w:rPr>
      <w:rFonts w:cs="Gill Sans MT" w:hAnsi="Gill Sans MT" w:ascii="Gill Sans MT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CC8"/>
    <w:rPr>
      <w:rFonts w:cs="Gill Sans MT" w:hAnsi="Gill Sans MT" w:ascii="Gill Sans MT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lang w:eastAsia="zh-CN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/>
      <w:sz w:val="28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Gill Sans MT" w:cs="Gill Sans MT" w:hAnsi="Gill Sans MT" w:hint="default"/>
      <w:sz w:val="24"/>
      <w:szCs w:val="24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3z0" w:type="character">
    <w:name w:val="WW8Num3z0"/>
    <w:rPr>
      <w:rFonts w:ascii="Symbol" w:cs="Symbol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4z0" w:type="character">
    <w:name w:val="WW8Num4z0"/>
    <w:rPr>
      <w:rFonts w:ascii="Gill Sans MT" w:cs="Gill Sans MT" w:hAnsi="Gill Sans MT" w:hint="default"/>
      <w:sz w:val="24"/>
      <w:szCs w:val="24"/>
    </w:rPr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  <w:rPr>
      <w:rFonts w:ascii="Symbol" w:cs="Symbol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  <w:rPr>
      <w:rFonts w:hint="default"/>
    </w:rPr>
  </w:style>
  <w:style w:customStyle="1" w:styleId="WW8Num8z0" w:type="character">
    <w:name w:val="WW8Num8z0"/>
    <w:rPr>
      <w:rFonts w:hint="default"/>
    </w:rPr>
  </w:style>
  <w:style w:customStyle="1" w:styleId="WW8Num8z1" w:type="character">
    <w:name w:val="WW8Num8z1"/>
    <w:rPr>
      <w:rFonts w:ascii="Courier New" w:cs="Courier New" w:hAnsi="Courier New" w:hint="default"/>
    </w:rPr>
  </w:style>
  <w:style w:customStyle="1" w:styleId="WW8Num8z2" w:type="character">
    <w:name w:val="WW8Num8z2"/>
    <w:rPr>
      <w:rFonts w:ascii="Wingdings" w:cs="Wingdings" w:hAnsi="Wingdings" w:hint="default"/>
    </w:rPr>
  </w:style>
  <w:style w:customStyle="1" w:styleId="WW8Num8z3" w:type="character">
    <w:name w:val="WW8Num8z3"/>
    <w:rPr>
      <w:rFonts w:ascii="Symbol" w:cs="Symbol" w:hAnsi="Symbol" w:hint="default"/>
    </w:rPr>
  </w:style>
  <w:style w:customStyle="1" w:styleId="WW8Num9z0" w:type="character">
    <w:name w:val="WW8Num9z0"/>
    <w:rPr>
      <w:rFonts w:hint="default"/>
      <w:b w:val="0"/>
    </w:rPr>
  </w:style>
  <w:style w:customStyle="1" w:styleId="WW8Num10z0" w:type="character">
    <w:name w:val="WW8Num10z0"/>
    <w:rPr>
      <w:rFonts w:hint="default"/>
    </w:rPr>
  </w:style>
  <w:style w:customStyle="1" w:styleId="WW8Num11z0" w:type="character">
    <w:name w:val="WW8Num11z0"/>
    <w:rPr>
      <w:rFonts w:hint="default"/>
    </w:rPr>
  </w:style>
  <w:style w:customStyle="1" w:styleId="WW8Num12z0" w:type="character">
    <w:name w:val="WW8Num12z0"/>
    <w:rPr>
      <w:rFonts w:hint="default"/>
    </w:rPr>
  </w:style>
  <w:style w:customStyle="1" w:styleId="WW8Num13z0" w:type="character">
    <w:name w:val="WW8Num13z0"/>
    <w:rPr>
      <w:rFonts w:ascii="Gill Sans MT" w:cs="Times New Roman" w:eastAsia="Times New Roman" w:hAnsi="Gill Sans MT" w:hint="default"/>
    </w:rPr>
  </w:style>
  <w:style w:customStyle="1" w:styleId="WW8Num13z1" w:type="character">
    <w:name w:val="WW8Num13z1"/>
    <w:rPr>
      <w:rFonts w:ascii="Courier New" w:cs="Courier New" w:hAnsi="Courier New" w:hint="default"/>
    </w:rPr>
  </w:style>
  <w:style w:customStyle="1" w:styleId="WW8Num13z2" w:type="character">
    <w:name w:val="WW8Num13z2"/>
    <w:rPr>
      <w:rFonts w:ascii="Wingdings" w:cs="Wingdings" w:hAnsi="Wingdings" w:hint="default"/>
    </w:rPr>
  </w:style>
  <w:style w:customStyle="1" w:styleId="WW8Num13z3" w:type="character">
    <w:name w:val="WW8Num13z3"/>
    <w:rPr>
      <w:rFonts w:ascii="Symbol" w:cs="Symbol" w:hAnsi="Symbol" w:hint="default"/>
    </w:rPr>
  </w:style>
  <w:style w:customStyle="1" w:styleId="WW8Num14z0" w:type="character">
    <w:name w:val="WW8Num14z0"/>
    <w:rPr>
      <w:rFonts w:hint="default"/>
    </w:rPr>
  </w:style>
  <w:style w:customStyle="1" w:styleId="WW8Num14z1" w:type="character">
    <w:name w:val="WW8Num14z1"/>
  </w:style>
  <w:style w:customStyle="1" w:styleId="WW8Num14z2" w:type="character">
    <w:name w:val="WW8Num14z2"/>
  </w:style>
  <w:style w:customStyle="1" w:styleId="WW8Num14z3" w:type="character">
    <w:name w:val="WW8Num14z3"/>
  </w:style>
  <w:style w:customStyle="1" w:styleId="WW8Num14z4" w:type="character">
    <w:name w:val="WW8Num14z4"/>
  </w:style>
  <w:style w:customStyle="1" w:styleId="WW8Num14z5" w:type="character">
    <w:name w:val="WW8Num14z5"/>
  </w:style>
  <w:style w:customStyle="1" w:styleId="WW8Num14z6" w:type="character">
    <w:name w:val="WW8Num14z6"/>
  </w:style>
  <w:style w:customStyle="1" w:styleId="WW8Num14z7" w:type="character">
    <w:name w:val="WW8Num14z7"/>
  </w:style>
  <w:style w:customStyle="1" w:styleId="WW8Num14z8" w:type="character">
    <w:name w:val="WW8Num14z8"/>
  </w:style>
  <w:style w:customStyle="1" w:styleId="Zadanifontodlomka1" w:type="character">
    <w:name w:val="Zadani font odlomka1"/>
  </w:style>
  <w:style w:customStyle="1" w:styleId="BalloonTextChar" w:type="character">
    <w:name w:val="Balloon Text Char"/>
    <w:rPr>
      <w:rFonts w:ascii="Tahoma" w:cs="Tahoma" w:hAnsi="Tahoma"/>
      <w:sz w:val="16"/>
      <w:szCs w:val="16"/>
    </w:rPr>
  </w:style>
  <w:style w:customStyle="1" w:styleId="HeaderChar" w:type="character">
    <w:name w:val="Header Char"/>
  </w:style>
  <w:style w:customStyle="1" w:styleId="FooterChar" w:type="character">
    <w:name w:val="Footer Char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rPr>
      <w:sz w:val="28"/>
    </w:r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customStyle="1" w:styleId="Tijeloteksta21" w:type="paragraph">
    <w:name w:val="Tijelo teksta 21"/>
    <w:basedOn w:val="Normal"/>
    <w:pPr>
      <w:jc w:val="both"/>
    </w:pPr>
    <w:rPr>
      <w:sz w:val="28"/>
    </w:rPr>
  </w:style>
  <w:style w:customStyle="1" w:styleId="Tijeloteksta31" w:type="paragraph">
    <w:name w:val="Tijelo teksta 31"/>
    <w:basedOn w:val="Normal"/>
    <w:rPr>
      <w:i/>
      <w:sz w:val="28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cs="Tahoma" w:hAnsi="Tahoma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51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C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CC8"/>
    <w:rPr>
      <w:rFonts w:ascii="Gill Sans MT" w:cs="Gill Sans MT" w:hAnsi="Gill Sans MT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CC8"/>
    <w:rPr>
      <w:rFonts w:ascii="Gill Sans MT" w:cs="Gill Sans MT" w:hAnsi="Gill Sans MT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CC8"/>
    <w:rPr>
      <w:rFonts w:ascii="Gill Sans MT" w:cs="Gill Sans MT" w:hAnsi="Gill Sans MT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St-3205/2016</izvorni_sadrzaj>
    <derivirana_varijabla naziv="DomainObject.Predmet.OznakaBroj_1">St-3205/2016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>
      <item>Zoran Deverić</item>
      <item>Vlatka Nadramija</item>
    </izvorni_sadrzaj>
    <derivirana_varijabla naziv="DomainObject.Predmet.OstaliListFormated_1">
      <item>Zoran Deverić</item>
      <item>Vlatka Nadramija</item>
    </derivirana_varijabla>
  </DomainObject.Predmet.OstaliListFormated>
  <DomainObject.Predmet.OstaliListFormatedOIB>
    <izvorni_sadrzaj>
      <item>Zoran Deverić, OIB 67792882311</item>
      <item>Vlatka Nadramija, OIB 74862784665</item>
    </izvorni_sadrzaj>
    <derivirana_varijabla naziv="DomainObject.Predmet.OstaliListFormatedOIB_1">
      <item>Zoran Deverić, OIB 67792882311</item>
      <item>Vlatka Nadramija, OIB 74862784665</item>
    </derivirana_varijabla>
  </DomainObject.Predmet.OstaliListFormatedOIB>
  <DomainObject.Predmet.OstaliListFormatedWithAdress>
    <izvorni_sadrzaj>
      <item>Zoran Deverić</item>
      <item>Vlatka Nadramija, Kranjčevićeva 10, 10000 Zagreb</item>
    </izvorni_sadrzaj>
    <derivirana_varijabla naziv="DomainObject.Predmet.OstaliListFormatedWithAdress_1">
      <item>Zoran Deverić</item>
      <item>Vlatka Nadramija, Kranjčevićeva 10, 10000 Zagreb</item>
    </derivirana_varijabla>
  </DomainObject.Predmet.OstaliListFormatedWithAdress>
  <DomainObject.Predmet.OstaliListFormatedWithAdressOIB>
    <izvorni_sadrzaj>
      <item>Zoran Deverić, OIB 67792882311</item>
      <item>Vlatka Nadramija, OIB 74862784665, Kranjčevićeva 10, 10000 Zagreb</item>
    </izvorni_sadrzaj>
    <derivirana_varijabla naziv="DomainObject.Predmet.OstaliListFormatedWithAdressOIB_1">
      <item>Zoran Deverić, OIB 67792882311</item>
      <item>Vlatka Nadramija, OIB 74862784665, Kranjčevićeva 10, 10000 Zagreb</item>
    </derivirana_varijabla>
  </DomainObject.Predmet.OstaliListFormatedWithAdressOIB>
  <DomainObject.Predmet.OstaliListNazivFormated>
    <izvorni_sadrzaj>
      <item>Zoran Deverić</item>
      <item>Vlatka Nadramija</item>
    </izvorni_sadrzaj>
    <derivirana_varijabla naziv="DomainObject.Predmet.OstaliListNazivFormated_1">
      <item>Zoran Deverić</item>
      <item>Vlatka Nadramija</item>
    </derivirana_varijabla>
  </DomainObject.Predmet.OstaliListNazivFormated>
  <DomainObject.Predmet.OstaliListNazivFormatedOIB>
    <izvorni_sadrzaj>
      <item>Zoran Deverić, OIB 67792882311</item>
      <item>Vlatka Nadramija, OIB 74862784665</item>
    </izvorni_sadrzaj>
    <derivirana_varijabla naziv="DomainObject.Predmet.OstaliListNazivFormatedOIB_1">
      <item>Zoran Deverić, OIB 67792882311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  <item>Zoran Deverić</item>
      <item>Vlatka Nadramija</item>
    </izvorni_sadrzaj>
    <derivirana_varijabla naziv="DomainObject.Predmet.SudioniciListNaziv_1">
      <item>GM DEVERIĆ d.o.o.</item>
      <item>FINA Regionalni centar Zagreb</item>
      <item>Zoran Deverić</item>
      <item>Vlatka Nadramija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  <item>, OIB 67792882311</item>
      <item>, OIB 74862784665</item>
    </izvorni_sadrzaj>
    <derivirana_varijabla naziv="DomainObject.Predmet.SudioniciListNazivOIB_1">
      <item>, OIB 12211160678</item>
      <item>, OIB 85821130368</item>
      <item>, OIB 67792882311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3176</properties:Characters>
  <properties:Lines>97</properties:Lines>
  <properties:Paragraphs>36</properties:Paragraphs>
  <properties:TotalTime>1</properties:TotalTime>
  <properties:ScaleCrop>false</properties:ScaleCrop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2017-09-07T05:05:00Z</dcterms:created>
  <dc:creator>Vesna</dc:creator>
  <cp:lastModifiedBy>Sonja Pilić</cp:lastModifiedBy>
  <cp:lastPrinted>2017-09-06T15:04:00Z</cp:lastPrinted>
  <dcterms:modified xmlns:xsi="http://www.w3.org/2001/XMLSchema-instance" xsi:type="dcterms:W3CDTF">2017-09-07T08:19:00Z</dcterms:modified>
  <cp:revision>3</cp:revision>
  <dc:title>Privremena stečajna upraviteljica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