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9291"/>
      </w:tblGrid>
      <w:tr w:rsidTr="00EC27D5" w:rsidR="009D054C" w:rsidRPr="00525C75">
        <w:trPr>
          <w:trHeight w:val="2358"/>
        </w:trPr>
        <w:tc>
          <w:tcPr>
            <w:tcW w:type="dxa" w:w="9291"/>
            <w:tcMar>
              <w:top w:type="dxa" w:w="0"/>
              <w:left w:type="dxa" w:w="108"/>
              <w:bottom w:type="dxa" w:w="0"/>
              <w:right w:type="dxa" w:w="108"/>
            </w:tcMar>
          </w:tcPr>
          <w:p w:rsidRDefault="00EC27D5" w:rsidP="00EC27D5" w:rsidR="009D054C" w:rsidRPr="00525C75">
            <w:pPr>
              <w:jc w:val="left"/>
              <w:rPr>
                <w:rFonts w:hAnsi="Times New Roman" w:ascii="Times New Roman"/>
                <w:sz w:val="24"/>
              </w:rPr>
            </w:pPr>
            <w:bookmarkStart w:name="_GoBack" w:id="0"/>
            <w:bookmarkEnd w:id="0"/>
            <w:r>
              <w:rPr>
                <w:rFonts w:hAnsi="Times New Roman" w:ascii="Times New Roman"/>
                <w:noProof/>
                <w:sz w:val="24"/>
                <w:lang w:eastAsia="hr-HR"/>
              </w:rPr>
              <w:t xml:space="preserve">                                     </w:t>
            </w:r>
            <w:r w:rsidR="009D054C">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054C" w:rsidP="00EC27D5" w:rsidR="009D054C" w:rsidRPr="00525C75">
            <w:pPr>
              <w:jc w:val="left"/>
              <w:rPr>
                <w:rFonts w:hAnsi="Times New Roman" w:ascii="Times New Roman"/>
                <w:sz w:val="24"/>
              </w:rPr>
            </w:pPr>
          </w:p>
          <w:p w:rsidRDefault="00EC27D5" w:rsidP="00EC27D5" w:rsidR="009D054C" w:rsidRPr="00BD1FC8">
            <w:pPr>
              <w:jc w:val="left"/>
              <w:rPr>
                <w:rFonts w:hAnsi="Times New Roman" w:ascii="Times New Roman"/>
                <w:bCs/>
                <w:sz w:val="24"/>
              </w:rPr>
            </w:pPr>
            <w:r>
              <w:rPr>
                <w:rFonts w:hAnsi="Times New Roman" w:ascii="Times New Roman"/>
                <w:bCs/>
                <w:sz w:val="24"/>
              </w:rPr>
              <w:t xml:space="preserve">                     </w:t>
            </w:r>
            <w:r w:rsidR="009D054C" w:rsidRPr="00BD1FC8">
              <w:rPr>
                <w:rFonts w:hAnsi="Times New Roman" w:ascii="Times New Roman"/>
                <w:bCs/>
                <w:sz w:val="24"/>
              </w:rPr>
              <w:t>REPUBLIKA HRVATSKA</w:t>
            </w:r>
          </w:p>
          <w:p w:rsidRDefault="00EC27D5" w:rsidP="00EC27D5" w:rsidR="009D054C" w:rsidRPr="00BD1FC8">
            <w:pPr>
              <w:jc w:val="left"/>
              <w:rPr>
                <w:rFonts w:hAnsi="Times New Roman" w:ascii="Times New Roman"/>
                <w:bCs/>
                <w:sz w:val="24"/>
              </w:rPr>
            </w:pPr>
            <w:r>
              <w:rPr>
                <w:rFonts w:hAnsi="Times New Roman" w:ascii="Times New Roman"/>
                <w:bCs/>
                <w:sz w:val="24"/>
              </w:rPr>
              <w:t>VISOKI TRGOVAČKI SUD REPUBLIKE HRVATSKE</w:t>
            </w:r>
          </w:p>
          <w:p w:rsidRDefault="00EC27D5" w:rsidP="00EC27D5" w:rsidR="009D054C" w:rsidRPr="00525C75">
            <w:pPr>
              <w:jc w:val="left"/>
              <w:rPr>
                <w:rFonts w:hAnsi="Times New Roman" w:ascii="Times New Roman"/>
                <w:sz w:val="24"/>
              </w:rPr>
            </w:pPr>
            <w:r>
              <w:rPr>
                <w:rFonts w:hAnsi="Times New Roman" w:ascii="Times New Roman"/>
                <w:bCs/>
                <w:sz w:val="24"/>
              </w:rPr>
              <w:t xml:space="preserve">                                Z A G R E B</w:t>
            </w:r>
          </w:p>
        </w:tc>
      </w:tr>
    </w:tbl>
    <w:p w14:textId="206b978" w14:paraId="206b978" w:rsidRDefault="00EC27D5" w:rsidP="00EC27D5" w:rsidR="00EC27D5" w:rsidRPr="00EC27D5">
      <w:pPr>
        <w:jc w:val="left"/>
        <w15:collapsed w:val="false"/>
        <w:rPr>
          <w:rFonts w:hAnsi="Times New Roman" w:ascii="Times New Roman"/>
          <w:sz w:val="24"/>
        </w:rPr>
      </w:pPr>
    </w:p>
    <w:p w:rsidRDefault="00EC27D5" w:rsidP="00EC27D5" w:rsidR="00EC27D5" w:rsidRPr="00EC27D5">
      <w:pPr>
        <w:jc w:val="left"/>
        <w:rPr>
          <w:rFonts w:hAnsi="Times New Roman" w:ascii="Times New Roman"/>
          <w:b/>
          <w:sz w:val="24"/>
        </w:rPr>
      </w:pPr>
    </w:p>
    <w:p w:rsidRDefault="00EC27D5" w:rsidP="00EC27D5" w:rsidR="00EC27D5" w:rsidRPr="00EC27D5">
      <w:pPr>
        <w:jc w:val="center"/>
        <w:rPr>
          <w:rFonts w:hAnsi="Times New Roman" w:ascii="Times New Roman"/>
          <w:b/>
          <w:sz w:val="24"/>
        </w:rPr>
      </w:pPr>
      <w:r w:rsidRPr="00EC27D5">
        <w:rPr>
          <w:rFonts w:hAnsi="Times New Roman" w:ascii="Times New Roman"/>
          <w:b/>
          <w:sz w:val="24"/>
        </w:rPr>
        <w:t>R E P U B L I K A  H R V A T S K A</w:t>
      </w:r>
    </w:p>
    <w:p w:rsidRDefault="00EC27D5" w:rsidP="00EC27D5" w:rsidR="00EC27D5" w:rsidRPr="00EC27D5">
      <w:pPr>
        <w:jc w:val="center"/>
        <w:rPr>
          <w:rFonts w:hAnsi="Times New Roman" w:ascii="Times New Roman"/>
          <w:sz w:val="24"/>
        </w:rPr>
      </w:pPr>
    </w:p>
    <w:p w:rsidRDefault="00EC27D5" w:rsidP="00EC27D5" w:rsidR="00EC27D5" w:rsidRPr="00EC27D5">
      <w:pPr>
        <w:jc w:val="center"/>
        <w:rPr>
          <w:rFonts w:hAnsi="Times New Roman" w:ascii="Times New Roman"/>
          <w:b/>
          <w:sz w:val="24"/>
        </w:rPr>
      </w:pPr>
      <w:r w:rsidRPr="00EC27D5">
        <w:rPr>
          <w:rFonts w:hAnsi="Times New Roman" w:ascii="Times New Roman"/>
          <w:b/>
          <w:sz w:val="24"/>
        </w:rPr>
        <w:t>R J E Š E NJ E</w:t>
      </w:r>
    </w:p>
    <w:p w:rsidRDefault="00EC27D5" w:rsidP="00EC27D5" w:rsidR="00EC27D5" w:rsidRPr="00EC27D5">
      <w:pPr>
        <w:jc w:val="left"/>
        <w:rPr>
          <w:rFonts w:hAnsi="Times New Roman" w:ascii="Times New Roman"/>
          <w:b/>
          <w:sz w:val="24"/>
        </w:rPr>
      </w:pPr>
    </w:p>
    <w:p w:rsidRDefault="00EC27D5" w:rsidP="00EC27D5" w:rsidR="00EC27D5" w:rsidRPr="00EC27D5">
      <w:pPr>
        <w:jc w:val="left"/>
        <w:rPr>
          <w:rFonts w:hAnsi="Times New Roman" w:ascii="Times New Roman"/>
          <w:b/>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 xml:space="preserve">Visoki trgovački sud Republike Hrvatske, u vijeću sastavljenom od sudaca Dubravke Matas, predsjednika vijeća, Lenke Ćorić, suca izvjestitelja i Mladena Šimundića, člana vijeća, u stečajnom postupku nad stečajnim dužnikom SLAVIJATRANS d.d. u stečaju, Petrinja, Drenačka b.b., OIB 21878625075, kojeg zastupa stečajni upravitelj Branko Petanjek iz Tribunja, odlučujući o žalbi sudionika u dražbi AUTO PROMET SISAK d.o.o., Sisak, Zagrebačka 19, OIB 71445870691, kojeg zastupa punomoćnik Siniša Babić, odvjetnik u Zagrebu, protiv rješenja Trgovačkog suda u Zagrebu poslovni broj St-1403/11-286 od 23. listopada 2017., u sjednici vijeća održanoj 14. studenog 2017.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p>
    <w:p w:rsidRDefault="00EC27D5" w:rsidP="00EC27D5" w:rsidR="00EC27D5" w:rsidRPr="00EC27D5">
      <w:pPr>
        <w:jc w:val="center"/>
        <w:rPr>
          <w:rFonts w:hAnsi="Times New Roman" w:ascii="Times New Roman"/>
          <w:sz w:val="24"/>
        </w:rPr>
      </w:pPr>
      <w:r w:rsidRPr="00EC27D5">
        <w:rPr>
          <w:rFonts w:hAnsi="Times New Roman" w:ascii="Times New Roman"/>
          <w:sz w:val="24"/>
        </w:rPr>
        <w:t>r i j e š i o   j e</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t>Odbija se kao neosnovana žalba sudionika AUTO PROMET SISAK d.o.o., Sisak i potvrđuje rješenje Trgovačkog suda u Zagrebu poslovni broj St-1403/11-286 od 23. listopada 2017.</w:t>
      </w:r>
    </w:p>
    <w:p w:rsidRDefault="00EC27D5" w:rsidP="00EC27D5" w:rsidR="00EC27D5" w:rsidRPr="00EC27D5">
      <w:pPr>
        <w:jc w:val="left"/>
        <w:rPr>
          <w:rFonts w:hAnsi="Times New Roman" w:ascii="Times New Roman"/>
          <w:sz w:val="24"/>
        </w:rPr>
      </w:pPr>
    </w:p>
    <w:p w:rsidRDefault="00EC27D5" w:rsidP="00EC27D5" w:rsidR="00EC27D5" w:rsidRPr="00EC27D5">
      <w:pPr>
        <w:jc w:val="center"/>
        <w:rPr>
          <w:rFonts w:hAnsi="Times New Roman" w:ascii="Times New Roman"/>
          <w:sz w:val="24"/>
        </w:rPr>
      </w:pPr>
      <w:r w:rsidRPr="00EC27D5">
        <w:rPr>
          <w:rFonts w:hAnsi="Times New Roman" w:ascii="Times New Roman"/>
          <w:sz w:val="24"/>
        </w:rPr>
        <w:t>Obrazloženje</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t xml:space="preserve">Rješenjem Trgovačkog suda u Zagrebu poslovni broj St-1403/11-286 od 23. listopada 2017. dosuđene su ponuditelju Čazmatrans-nova d.o.o. Čazma nekretnine stečajnog dužnika upisane u zk. ul. 5127 k.o. Sisak stari, i to suvlasnički dio od 8/20 dijela nekretnine označene kao čkbr. 941/3 dvorište površine 1722 m2, poslovna zgrada Frankopanska površine 488 m2 i poslovna zgrada Frankopanska površine 484 m2, te čkbr. 2406/2 ulica (kolodvorski prostor) površine 2150 m2, za cijenu od 2.000.000,00 kn i naloženo ponuditelju uplata kupovnine odnosno razlike između uplaćene jamčevine i ponuđene cijene, te određeno da će sud nakon pravomoćnosti rješenja o dosudi nekretnine i nakon što kupac položi razliku kupovnine donijeti zaključak o predaji nekretnine u posjed kupcu, kao i da će se nekretnine dosuditi kupcu Auto promet Sisak d.o.o. koji je ponudio nižu cijenu, ako kupovnina ne bude položena. Također je određeno da na predmetnim nekretninama prestaju sva upisana i neupisana prava, tereti i zabilježbe i da će se nakon pravomoćnosti rješenja i uplate kupovnine od strane kupca, u zemljišne knjige upisati pravo vlasništva kupca na dosuđenim nekretninama i brisanje prava, tereta i zabilježbi koje će obaviti nadležni zemljišnoknjižni sud na temelju rješenja o dosudi i potvrde da je kupac položio kupovninu.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t>Protiv tog rješenja žalbu je podnio ponuditelj Auto promet Sisak d.o.o. zbog „svih zakonom predviđenih razloga“. U žalbi navodi kako je prvostupanjski sud nezakonito dopustio da ponuditelja Čazmatrans-nova d.o.o. zastupa njegov zaposlenik Gordana Ćaćuga zato što nije uvidom u njene osobne dokumente utvrdio da se radi upravo o toj osobi i da je doista zaposlenik ponuditelja, a k tome ta osoba nije ovlaštena zastupati ponuditelja jer nema položen pravosudni ispit s obzirom na to da vrijednost predmeta spora prelazi 50.000,00 kn. Osim toga žalitelj tvrdi kako između dvije ponude na ročištu za dražbu nije proteklo dovoljno vremena za utvrđivanje postoji li neka druga ponuda. Zbog toga žalitelj tvrdi da se treba uzeti kako ovaj ponuditelj nije ni sudjelovao na dražbi i predlaže da ovaj žalbeni sud preinači pobijano rješenje i dosudi nekretnine kupcu koji je ponudio drugu najvišu cijenu, a podredno da to rješenje ukine i predmet vrati prvostupanjskom sudu na ponovni postupak.</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t>Žalba je neosnovana.</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t xml:space="preserve">Pobijano rješenje ispitano je na temelju odredbe članka 365. stavka 2. u vezi s člankom 381. Zakona o parničnom postupku („Narodne novine“ broj 148/11 – pročišćeni tekst, 25/13 i 89/14; dalje: ZPP) i člankom 6. Stečajnog zakona („Narodne novine“ poslovni broj 44/96, 29/99, 129/00, 123/03, 197/03, 82/06, 116/10, 25/12 i 133/12) u vezi s člankom 441. Stečajnog zakona („Narodne novine“ broj 71/15) u granicama žalbenih razloga, pazeći po službenoj dužnosti na bitne povrede odredaba parničnog postupka iz članka 354. stavka 2. točaka 2., 4., 8., 9., 11., 13. i 14. ZPP-a, kao i na pravilnu primjenu materijalnog prava (članak 356. ZPP-a).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 xml:space="preserve">U obrazloženju pobijanog rješenja navedeno je kako je na javnoj dražbi za prodaju navedenih nekretnina stečajnog dužnika najbolju ponudu stavio kupac Čazmatrans-nova d.o.o. u visini od 2.000.000,00 kuna i time ispunio uvjete za dosudu nekretnine na temelju odredbe članka 103. stavka 4. Ovršnog zakona („Narodne novine“ broj 112/12) u vezi s člankom 164. Stečajnog zakona. Glede zastupanja ponuditelja Čazmatrans-nova d.o.o. navedeno je kako je sud dopustio zastupanje od strane zaposlenika jer je to u skladu s odredbom članka 89.a stavka 2. ZPP-a, ali da se ne može primijeniti odredba članka 91. </w:t>
      </w:r>
      <w:r w:rsidRPr="00EC27D5">
        <w:rPr>
          <w:rFonts w:hAnsi="Times New Roman" w:ascii="Times New Roman"/>
          <w:sz w:val="24"/>
        </w:rPr>
        <w:br/>
        <w:t xml:space="preserve">ZPP-a, jer se ne radi o „parnicama o imovinskopravnom zahtjevu“ nego o ročištu za dražbu na kojem nije bilo prepreka da sudionika pravnu osobu kao kupca na navedenom ročištu zastupa osoba koja je s njom u radnom odnosu. Pored toga, prvostupanjski sud smatra da ne postoji pravni interes drugog sudionika žalbe za protivljenje zastupanju još jednog sudionika kao kupca od strane njegovog zaposlenika, ako je ta pravna osoba uredno izdala punomoć za zastupanje.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 xml:space="preserve">Iz zapisnika s ročišta za javnu dražbu razvidno je kako je punomoćnik sudionika u dražbi Auto promet Sisak d.o.o. doveo u pitanje ovlaštenje punomoćnika drugog sudionika za zastupanje na dražbi zato što nema položen pravosudni ispit, ali je prvostupanjski sud dopustio zastupanje punomoćniku Goranki Ćaćuga i proveo dražbu.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 xml:space="preserve">Prema odredbi članka 354. stavka 3. ZPP-a zato što stranku koja je pravna osoba nije zastupala ovlaštena osoba, ili zato što parnično nesposobnu stranku nije zastupao zakonski zastupnik, ili zato što zakonski zastupnik, odnosno punomoćnik stranke nije imao potrebno ovlaštenje za vođenje parnice ili za pojedine radnje u postupku-žalbu može izjaviti samo stranka koje se ti nedostaci tiču. S obzirom na to da je očito da se eventualni nedostaci u zastupanju ne tiču žalitelja nego zastupanog Čazmatrans-nova d.o.o., pitanje je li punomoćnik </w:t>
      </w:r>
      <w:r w:rsidRPr="00EC27D5">
        <w:rPr>
          <w:rFonts w:hAnsi="Times New Roman" w:ascii="Times New Roman"/>
          <w:sz w:val="24"/>
        </w:rPr>
        <w:lastRenderedPageBreak/>
        <w:t xml:space="preserve">Čazmatrans-nova d.o.o. imao valjano ovlaštenje ne može utjecati na pravilnost i zakonitost pobijanog rješenja.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 xml:space="preserve">Suprotno žalbenim navodima, prvostupanjski sud nije bio dužan provjeravati identitet opunomoćenika Čazmatrans-nova d.o.o. uvidom u osobne dokumente, jednako kao što, na taj način, nije bio dužan utvrđivati identitet punomoćnika žalitelja. Ovo posebno zato što nitko od sudionika nije dovodio u pitanje identitet osobe koju je Čazmatrans-nova d.o.o. opunomoćio da stavi ponudu za kupnju nekretnina na usmenoj javnoj dražbi, nakon što je prethodno uplatio jamčevinu.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 xml:space="preserve">Nadalje, iz sadržaja zapisnika o usmenoj javnoj dražbi, doista se ne može utvrditi je li proteklo deset minuta nakon stavljanja najpovoljnije ponude da bi se prema odredbi članka 103. stavka 2. Ovršnog zakona dražba mogla zaključiti. Tako je u zapisniku navedeno da kupac Čazmatrans-nova d.o.o. stavlja ponudu u iznosu od 2.000.000,00 kn i da je nižu ponudu stavio kupac Auto promet Sisak d.o.o. u iznosu od 1.950.000,00 kn, a nakon toga je utvrđeno da nema drugih ponuda i da sud zaključuje dražbu. Štoviše, iz okolnosti da je ročište započelo u 10.30, a završeno u 10.35 sati, proizlazilo bi, pod uvjetom da su podaci o trajanju ročišta pravilno uneseni, da je cijelo ročište, ne samo usmena dražba, trajalo pet minuta. Međutim, svi sudionici dražbe, uključujući i žalitelja, potpisali su takav zapisnik bez primjedbi. Stoga se žalitelj ne može tek u žalbi, s uspjehom pozivati na okolnost da nakon stavljanja zadnje ponude nije proteklo dovoljno vremena da bi sud mogao utvrditi da nije stavljena povoljnija ponuda i zaključiti žalbu. Osim toga, ni sam žalitelj ne tvrdi da je on ili neki drugi sudionik htio dati povoljniju ponudu i da je u tome spriječen zaključenjem dražbe prije isteka deset minuta od stavljanja zadnje ponude. </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t xml:space="preserve">Na temelju navedenog proizlazi da svojim žalbenim navodima žalitelj nije doveo u pitanje pravilnost i zakonitost pobijanog rješenja, pa je na temelju odredbe članka 380. točke 1. ZPP-a u vezi s odredbom članka 6. Stečajnog zakona valjalo odbiti žalbu kao neosnovanu i potvrditi rješenje prvostupanjskog suda. </w:t>
      </w:r>
    </w:p>
    <w:p w:rsidRDefault="00EC27D5" w:rsidP="00EC27D5" w:rsidR="00EC27D5" w:rsidRPr="00EC27D5">
      <w:pPr>
        <w:jc w:val="left"/>
        <w:rPr>
          <w:rFonts w:hAnsi="Times New Roman" w:ascii="Times New Roman"/>
          <w:sz w:val="24"/>
        </w:rPr>
      </w:pPr>
    </w:p>
    <w:p w:rsidRDefault="00EC27D5" w:rsidP="00EC27D5" w:rsidR="00EC27D5" w:rsidRPr="00EC27D5">
      <w:pPr>
        <w:jc w:val="center"/>
        <w:rPr>
          <w:rFonts w:hAnsi="Times New Roman" w:ascii="Times New Roman"/>
          <w:sz w:val="24"/>
        </w:rPr>
      </w:pPr>
      <w:r w:rsidRPr="00EC27D5">
        <w:rPr>
          <w:rFonts w:hAnsi="Times New Roman" w:ascii="Times New Roman"/>
          <w:sz w:val="24"/>
        </w:rPr>
        <w:t>U Zagrebu 14. studenog 2017.</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t xml:space="preserve"> </w:t>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t>PREDSJEDNIK VIJEĆA</w:t>
      </w:r>
      <w:r w:rsidRPr="00EC27D5">
        <w:rPr>
          <w:rFonts w:hAnsi="Times New Roman" w:ascii="Times New Roman"/>
          <w:sz w:val="24"/>
        </w:rPr>
        <w:tab/>
      </w:r>
    </w:p>
    <w:p w:rsidRDefault="00EC27D5" w:rsidP="00EC27D5" w:rsidR="00EC27D5" w:rsidRPr="00EC27D5">
      <w:pPr>
        <w:jc w:val="left"/>
        <w:rPr>
          <w:rFonts w:hAnsi="Times New Roman" w:ascii="Times New Roman"/>
          <w:sz w:val="24"/>
        </w:rPr>
      </w:pP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r>
      <w:r w:rsidRPr="00EC27D5">
        <w:rPr>
          <w:rFonts w:hAnsi="Times New Roman" w:ascii="Times New Roman"/>
          <w:sz w:val="24"/>
        </w:rPr>
        <w:tab/>
        <w:t>DUBRAVKA MATAS, v.r.</w:t>
      </w:r>
    </w:p>
    <w:p w:rsidRDefault="00EC27D5" w:rsidP="00EC27D5" w:rsidR="00EC27D5" w:rsidRPr="00EC27D5">
      <w:pPr>
        <w:jc w:val="left"/>
        <w:rPr>
          <w:rFonts w:hAnsi="Times New Roman" w:ascii="Times New Roman"/>
          <w:sz w:val="24"/>
        </w:rPr>
      </w:pPr>
    </w:p>
    <w:p w:rsidRDefault="00EC27D5" w:rsidP="00EC27D5" w:rsidR="00EC27D5" w:rsidRPr="00EC27D5">
      <w:pPr>
        <w:ind w:firstLine="720" w:left="5040"/>
        <w:jc w:val="left"/>
        <w:rPr>
          <w:rFonts w:hAnsi="Times New Roman" w:ascii="Times New Roman"/>
          <w:sz w:val="24"/>
        </w:rPr>
      </w:pPr>
      <w:r w:rsidRPr="00EC27D5">
        <w:rPr>
          <w:rFonts w:hAnsi="Times New Roman" w:ascii="Times New Roman"/>
          <w:sz w:val="24"/>
        </w:rPr>
        <w:t>Za točnost otpravka</w:t>
      </w:r>
    </w:p>
    <w:p w:rsidRDefault="00EC27D5" w:rsidP="00EC27D5" w:rsidR="00EC27D5" w:rsidRPr="00EC27D5">
      <w:pPr>
        <w:ind w:firstLine="720" w:left="5040"/>
        <w:jc w:val="left"/>
        <w:rPr>
          <w:rFonts w:hAnsi="Times New Roman" w:ascii="Times New Roman"/>
          <w:sz w:val="24"/>
        </w:rPr>
      </w:pPr>
      <w:r w:rsidRPr="00EC27D5">
        <w:rPr>
          <w:rFonts w:hAnsi="Times New Roman" w:ascii="Times New Roman"/>
          <w:sz w:val="24"/>
        </w:rPr>
        <w:t>ovlašteni službenik</w:t>
      </w:r>
    </w:p>
    <w:p w:rsidRDefault="00EC27D5" w:rsidP="00EC27D5" w:rsidR="00EC27D5" w:rsidRPr="00EC27D5">
      <w:pPr>
        <w:jc w:val="left"/>
        <w:rPr>
          <w:rFonts w:hAnsi="Times New Roman" w:ascii="Times New Roman"/>
          <w:sz w:val="24"/>
        </w:rPr>
      </w:pPr>
    </w:p>
    <w:p w:rsidRDefault="00EC27D5" w:rsidP="00EC27D5" w:rsidR="00EC27D5" w:rsidRPr="00EC27D5">
      <w:pPr>
        <w:ind w:firstLine="720" w:left="5040"/>
        <w:jc w:val="left"/>
        <w:rPr>
          <w:rFonts w:hAnsi="Times New Roman" w:ascii="Times New Roman"/>
          <w:sz w:val="24"/>
        </w:rPr>
      </w:pPr>
      <w:r w:rsidRPr="00EC27D5">
        <w:rPr>
          <w:rFonts w:hAnsi="Times New Roman" w:ascii="Times New Roman"/>
          <w:sz w:val="24"/>
        </w:rPr>
        <w:t>Brankica Curman</w:t>
      </w:r>
    </w:p>
    <w:p w:rsidRDefault="00EC27D5" w:rsidP="00EC27D5" w:rsidR="00EC27D5" w:rsidRPr="00EC27D5">
      <w:pPr>
        <w:jc w:val="left"/>
        <w:rPr>
          <w:rFonts w:hAnsi="Times New Roman" w:ascii="Times New Roman"/>
          <w:sz w:val="24"/>
        </w:rPr>
      </w:pPr>
    </w:p>
    <w:p w:rsidRDefault="00EC27D5" w:rsidP="00EC27D5" w:rsidR="00EC27D5" w:rsidRPr="00EC27D5">
      <w:pPr>
        <w:jc w:val="left"/>
        <w:rPr>
          <w:rFonts w:hAnsi="Times New Roman" w:ascii="Times New Roman"/>
          <w:sz w:val="24"/>
        </w:rPr>
      </w:pPr>
    </w:p>
    <w:p w:rsidRDefault="00921EBB" w:rsidP="00EC27D5" w:rsidR="00921EBB" w:rsidRPr="002A1531">
      <w:pPr>
        <w:jc w:val="left"/>
        <w:rPr>
          <w:rFonts w:hAnsi="Times New Roman" w:ascii="Times New Roman"/>
          <w:color w:themeColor="background1" w:val="FFFFFF"/>
          <w:sz w:val="24"/>
        </w:rPr>
      </w:pPr>
    </w:p>
    <w:sectPr w:rsidSect="007E1268" w:rsidR="00921EBB" w:rsidRPr="002A1531">
      <w:headerReference w:type="even" r:id="rId11"/>
      <w:headerReference w:type="default" r:id="rId12"/>
      <w:headerReference w:type="firs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998" w:rsidR="00C82998">
      <w:r>
        <w:separator/>
      </w:r>
    </w:p>
  </w:endnote>
  <w:endnote w:id="0" w:type="continuationSeparator">
    <w:p w:rsidRDefault="00C82998" w:rsidR="00C829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998" w:rsidR="00C82998">
      <w:r>
        <w:separator/>
      </w:r>
    </w:p>
  </w:footnote>
  <w:footnote w:id="0" w:type="continuationSeparator">
    <w:p w:rsidRDefault="00C82998" w:rsidR="00C829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1D3A92">
      <w:rPr>
        <w:rStyle w:val="Brojstranice"/>
        <w:rFonts w:hAnsi="Times New Roman" w:ascii="Times New Roman"/>
        <w:noProof/>
      </w:rPr>
      <w:t>3</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EC27D5" w:rsidP="00EC27D5" w:rsidR="00EC27D5">
    <w:pPr>
      <w:pStyle w:val="Zaglavlje"/>
      <w:jc w:val="right"/>
    </w:pPr>
    <w:r>
      <w:t>65 Pž-6885/2017-2</w:t>
    </w:r>
  </w:p>
  <w:p w:rsidRDefault="00147B18" w:rsidR="00147B1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27D5" w:rsidP="00EC27D5" w:rsidR="00EC27D5">
    <w:pPr>
      <w:pStyle w:val="Zaglavlje"/>
      <w:jc w:val="right"/>
    </w:pPr>
    <w:r>
      <w:t>65 Pž-6885/2017-2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37791"/>
    <w:rsid w:val="00050769"/>
    <w:rsid w:val="00062DD1"/>
    <w:rsid w:val="00070CB4"/>
    <w:rsid w:val="000764D8"/>
    <w:rsid w:val="00082AF1"/>
    <w:rsid w:val="000A046A"/>
    <w:rsid w:val="000A5A68"/>
    <w:rsid w:val="000C569A"/>
    <w:rsid w:val="000D010B"/>
    <w:rsid w:val="0010635B"/>
    <w:rsid w:val="00112FA5"/>
    <w:rsid w:val="001241C1"/>
    <w:rsid w:val="00126193"/>
    <w:rsid w:val="00147B18"/>
    <w:rsid w:val="00153260"/>
    <w:rsid w:val="001566AB"/>
    <w:rsid w:val="00164FDA"/>
    <w:rsid w:val="00177A30"/>
    <w:rsid w:val="00183A0E"/>
    <w:rsid w:val="001A29C4"/>
    <w:rsid w:val="001D3A92"/>
    <w:rsid w:val="001E2529"/>
    <w:rsid w:val="001E575C"/>
    <w:rsid w:val="001F2DFA"/>
    <w:rsid w:val="002273CD"/>
    <w:rsid w:val="0024257C"/>
    <w:rsid w:val="0029553E"/>
    <w:rsid w:val="00296403"/>
    <w:rsid w:val="002A1531"/>
    <w:rsid w:val="002B0D2E"/>
    <w:rsid w:val="002B2A2A"/>
    <w:rsid w:val="002C1105"/>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D2049"/>
    <w:rsid w:val="003D21F3"/>
    <w:rsid w:val="003F42D4"/>
    <w:rsid w:val="003F6772"/>
    <w:rsid w:val="003F74DA"/>
    <w:rsid w:val="004118A2"/>
    <w:rsid w:val="00436CBD"/>
    <w:rsid w:val="00441071"/>
    <w:rsid w:val="004416EE"/>
    <w:rsid w:val="00462348"/>
    <w:rsid w:val="0047037A"/>
    <w:rsid w:val="00482439"/>
    <w:rsid w:val="0048505A"/>
    <w:rsid w:val="004B11B0"/>
    <w:rsid w:val="004B38AD"/>
    <w:rsid w:val="00535385"/>
    <w:rsid w:val="005419C8"/>
    <w:rsid w:val="0056484B"/>
    <w:rsid w:val="0057341F"/>
    <w:rsid w:val="00583628"/>
    <w:rsid w:val="00593FFA"/>
    <w:rsid w:val="005958BB"/>
    <w:rsid w:val="005A1038"/>
    <w:rsid w:val="005F3818"/>
    <w:rsid w:val="006008F9"/>
    <w:rsid w:val="006230B2"/>
    <w:rsid w:val="00642359"/>
    <w:rsid w:val="00680493"/>
    <w:rsid w:val="006B72D9"/>
    <w:rsid w:val="006D4B80"/>
    <w:rsid w:val="006E1347"/>
    <w:rsid w:val="006E52BB"/>
    <w:rsid w:val="0070227B"/>
    <w:rsid w:val="00704980"/>
    <w:rsid w:val="007160D0"/>
    <w:rsid w:val="00727D68"/>
    <w:rsid w:val="00733AB9"/>
    <w:rsid w:val="007432EE"/>
    <w:rsid w:val="007A0BB9"/>
    <w:rsid w:val="007B3918"/>
    <w:rsid w:val="007D316B"/>
    <w:rsid w:val="007E0A65"/>
    <w:rsid w:val="007E1268"/>
    <w:rsid w:val="007E3B92"/>
    <w:rsid w:val="007F048E"/>
    <w:rsid w:val="008217D5"/>
    <w:rsid w:val="00882B82"/>
    <w:rsid w:val="008A516D"/>
    <w:rsid w:val="008A51BA"/>
    <w:rsid w:val="008B6BCE"/>
    <w:rsid w:val="008C297A"/>
    <w:rsid w:val="008F620E"/>
    <w:rsid w:val="008F7361"/>
    <w:rsid w:val="0091261E"/>
    <w:rsid w:val="00917BC0"/>
    <w:rsid w:val="00921EBB"/>
    <w:rsid w:val="0092589E"/>
    <w:rsid w:val="00932E36"/>
    <w:rsid w:val="00937792"/>
    <w:rsid w:val="00955578"/>
    <w:rsid w:val="00957E52"/>
    <w:rsid w:val="009706C0"/>
    <w:rsid w:val="00971D49"/>
    <w:rsid w:val="00973546"/>
    <w:rsid w:val="00992EC0"/>
    <w:rsid w:val="0099549C"/>
    <w:rsid w:val="009B42C1"/>
    <w:rsid w:val="009D054C"/>
    <w:rsid w:val="009F6435"/>
    <w:rsid w:val="00A07B31"/>
    <w:rsid w:val="00A23DC2"/>
    <w:rsid w:val="00A425C0"/>
    <w:rsid w:val="00A57FA0"/>
    <w:rsid w:val="00A74130"/>
    <w:rsid w:val="00A91A13"/>
    <w:rsid w:val="00AB0009"/>
    <w:rsid w:val="00AB1309"/>
    <w:rsid w:val="00AC30C2"/>
    <w:rsid w:val="00AC4D83"/>
    <w:rsid w:val="00B011ED"/>
    <w:rsid w:val="00B36118"/>
    <w:rsid w:val="00B52117"/>
    <w:rsid w:val="00B5633F"/>
    <w:rsid w:val="00BC00A9"/>
    <w:rsid w:val="00BE741F"/>
    <w:rsid w:val="00C15D0D"/>
    <w:rsid w:val="00C172D4"/>
    <w:rsid w:val="00C261EB"/>
    <w:rsid w:val="00C32C1D"/>
    <w:rsid w:val="00C531B2"/>
    <w:rsid w:val="00C625AB"/>
    <w:rsid w:val="00C6777F"/>
    <w:rsid w:val="00C714AA"/>
    <w:rsid w:val="00C74110"/>
    <w:rsid w:val="00C74832"/>
    <w:rsid w:val="00C82998"/>
    <w:rsid w:val="00C93F35"/>
    <w:rsid w:val="00CC4A42"/>
    <w:rsid w:val="00CE0FA0"/>
    <w:rsid w:val="00CF419D"/>
    <w:rsid w:val="00D07094"/>
    <w:rsid w:val="00D4267A"/>
    <w:rsid w:val="00D42948"/>
    <w:rsid w:val="00D622E0"/>
    <w:rsid w:val="00D86FC5"/>
    <w:rsid w:val="00DA4059"/>
    <w:rsid w:val="00DB5644"/>
    <w:rsid w:val="00DE3115"/>
    <w:rsid w:val="00DF123A"/>
    <w:rsid w:val="00E066CE"/>
    <w:rsid w:val="00E076E3"/>
    <w:rsid w:val="00E13F3C"/>
    <w:rsid w:val="00E24AF4"/>
    <w:rsid w:val="00E33BA1"/>
    <w:rsid w:val="00E35C3A"/>
    <w:rsid w:val="00E478A9"/>
    <w:rsid w:val="00E50768"/>
    <w:rsid w:val="00E94191"/>
    <w:rsid w:val="00EA52A1"/>
    <w:rsid w:val="00EB3006"/>
    <w:rsid w:val="00EC27D5"/>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1D3A92"/>
    <w:rPr>
      <w:color w:val="808080"/>
      <w:bdr w:space="0" w:sz="0" w:color="auto" w:val="none"/>
      <w:shd w:fill="auto" w:color="auto" w:val="clear"/>
    </w:rPr>
  </w:style>
  <w:style w:customStyle="true" w:styleId="eSPISCCParagraphDefaultFont" w:type="character">
    <w:name w:val="eSPIS_CC_Paragraph Default Font"/>
    <w:basedOn w:val="Zadanifontodlomka"/>
    <w:rsid w:val="001D3A9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D3A92"/>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D3A9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3A9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1D3A92"/>
    <w:rPr>
      <w:color w:val="808080"/>
      <w:bdr w:color="auto" w:space="0" w:sz="0" w:val="none"/>
      <w:shd w:color="auto" w:fill="auto" w:val="clear"/>
    </w:rPr>
  </w:style>
  <w:style w:customStyle="1" w:styleId="eSPISCCParagraphDefaultFont" w:type="character">
    <w:name w:val="eSPIS_CC_Paragraph Default Font"/>
    <w:basedOn w:val="Zadanifontodlomka"/>
    <w:rsid w:val="001D3A9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D3A92"/>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D3A9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3A9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3889900">
      <w:bodyDiv w:val="true"/>
      <w:marLeft w:val="0"/>
      <w:marRight w:val="0"/>
      <w:marTop w:val="0"/>
      <w:marBottom w:val="0"/>
      <w:divBdr>
        <w:top w:space="0" w:sz="0" w:color="auto" w:val="none"/>
        <w:left w:space="0" w:sz="0" w:color="auto" w:val="none"/>
        <w:bottom w:space="0" w:sz="0" w:color="auto" w:val="none"/>
        <w:right w:space="0" w:sz="0" w:color="auto" w:val="none"/>
      </w:divBdr>
    </w:div>
    <w:div w:id="1967467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Pž-6885/2017 rj. VTS-a od 14.11.17. odbija se kao neosnovana žalba sudionika Auto Promet Sisak i potvrđuje rješenje od 23.10.17.</izvorni_sadrzaj>
    <derivirana_varijabla naziv="DomainObject.Primjedba_1">Pž-6885/2017 rj. VTS-a od 14.11.17. odbija se kao neosnovana žalba sudionika Auto Promet Sisak i potvrđuje rješenje od 23.10.17.</derivirana_varijabla>
  </DomainObject.Primjedba>
  <DomainObject.Oznaka>
    <izvorni_sadrzaj>St-1403/2011-291</izvorni_sadrzaj>
    <derivirana_varijabla naziv="DomainObject.Oznaka_1">St-1403/2011-291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1249</properties:Words>
  <properties:Characters>6854</properties:Characters>
  <properties:Lines>137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8206</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2017-11-24T08:32:00Z</dcterms:created>
  <dc:creator>M</dc:creator>
  <cp:lastModifiedBy>Sonja Pilić</cp:lastModifiedBy>
  <cp:lastPrinted>2017-04-24T09:29:00Z</cp:lastPrinted>
  <dcterms:modified xmlns:xsi="http://www.w3.org/2001/XMLSchema-instance" xsi:type="dcterms:W3CDTF">2017-11-24T08:33:00Z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St-1403/2011-291 / Podnesak - Rješenje - odbijena žalba kao neosnovana - potvrđeno rješenje 1.st.</vt:lpwstr>
  </prop:property>
  <prop:property name="CC_coloring" pid="4" fmtid="{D5CDD505-2E9C-101B-9397-08002B2CF9AE}">
    <vt:bool>false</vt:bool>
  </prop:property>
  <prop:property name="BrojStranica" pid="5" fmtid="{D5CDD505-2E9C-101B-9397-08002B2CF9AE}">
    <vt:i4>3</vt:i4>
  </prop:property>
</prop:Properties>
</file>