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0016a" w14:paraId="1e0016a" w:rsidRDefault="008A7A1C" w:rsidP="00D65F19" w:rsidR="00D65F19" w:rsidRPr="00C34E94">
      <w:pPr>
        <w:jc w:val="right"/>
        <w15:collapsed w:val="false"/>
      </w:pPr>
      <w:bookmarkStart w:name="_GoBack" w:id="0"/>
      <w:bookmarkEnd w:id="0"/>
      <w:r w:rsidRPr="00C34E94">
        <w:t>4 Stpn-</w:t>
      </w:r>
      <w:r w:rsidR="006C63BF">
        <w:t>2</w:t>
      </w:r>
      <w:r w:rsidR="00493C47">
        <w:t>2</w:t>
      </w:r>
      <w:r w:rsidR="00D65F19" w:rsidRPr="00C34E94">
        <w:t>/201</w:t>
      </w:r>
      <w:r w:rsidRPr="00C34E94">
        <w:t>5</w:t>
      </w:r>
      <w:r w:rsidR="00D65F19" w:rsidRPr="00C34E94">
        <w:t>-</w:t>
      </w:r>
      <w:r w:rsidR="00493C47">
        <w:t>6</w:t>
      </w:r>
      <w:r w:rsidR="00D65F19" w:rsidRPr="00C34E94">
        <w:t>.</w:t>
      </w:r>
    </w:p>
    <w:p w:rsidRDefault="00D65F19" w:rsidP="00D65F19" w:rsidR="00D65F19" w:rsidRPr="00C34E94"/>
    <w:p w:rsidRDefault="00D65F19" w:rsidP="00D65F19" w:rsidR="00D65F19" w:rsidRPr="00C34E94"/>
    <w:p w:rsidRDefault="00D65F19" w:rsidP="00D65F19" w:rsidR="00D65F19" w:rsidRPr="00C34E94">
      <w:pPr>
        <w:jc w:val="center"/>
      </w:pPr>
      <w:r w:rsidRPr="00C34E94">
        <w:t>Z A P I S N I K</w:t>
      </w:r>
    </w:p>
    <w:p w:rsidRDefault="00D65F19" w:rsidP="00D65F19" w:rsidR="00D65F19" w:rsidRPr="00C34E94">
      <w:pPr>
        <w:jc w:val="center"/>
      </w:pPr>
    </w:p>
    <w:p w:rsidRDefault="00D65F19" w:rsidP="00D65F19" w:rsidR="00D65F19" w:rsidRPr="00C34E94">
      <w:pPr>
        <w:jc w:val="center"/>
      </w:pPr>
      <w:r w:rsidRPr="00C34E94">
        <w:t>sastavljen kod TRGOVAČKOG SUDA U BJELOVARU</w:t>
      </w:r>
    </w:p>
    <w:p w:rsidRDefault="00D65F19" w:rsidP="00D65F19" w:rsidR="00D65F19" w:rsidRPr="00C34E94">
      <w:pPr>
        <w:jc w:val="center"/>
      </w:pPr>
      <w:r w:rsidRPr="00C34E94">
        <w:t xml:space="preserve">dana </w:t>
      </w:r>
      <w:r w:rsidR="0035349A" w:rsidRPr="00C34E94">
        <w:t>1</w:t>
      </w:r>
      <w:r w:rsidR="0032753A">
        <w:t>5</w:t>
      </w:r>
      <w:r w:rsidRPr="00C34E94">
        <w:t>. listopada 201</w:t>
      </w:r>
      <w:r w:rsidR="0035349A" w:rsidRPr="00C34E94">
        <w:t>5</w:t>
      </w:r>
      <w:r w:rsidRPr="00C34E94">
        <w:t>. godine</w:t>
      </w:r>
    </w:p>
    <w:p w:rsidRDefault="00D65F19" w:rsidP="00D65F19" w:rsidR="00D65F19" w:rsidRPr="00C34E94">
      <w:pPr>
        <w:jc w:val="center"/>
      </w:pPr>
      <w:r w:rsidRPr="00C34E94">
        <w:t>sa ročišta radi sklapanja predstečajne nagodbe</w:t>
      </w:r>
    </w:p>
    <w:p w:rsidRDefault="00D65F19" w:rsidP="00D65F19" w:rsidR="00D65F19" w:rsidRPr="00C34E94"/>
    <w:p w:rsidRDefault="00D65F19" w:rsidP="00D65F19" w:rsidR="00D65F19" w:rsidRPr="00C34E94"/>
    <w:p w:rsidRDefault="00D65F19" w:rsidP="00D65F19" w:rsidR="00D65F19" w:rsidRPr="00C34E94"/>
    <w:p w:rsidRDefault="00D65F19" w:rsidP="00D65F19" w:rsidR="00D65F19" w:rsidRPr="00C34E94">
      <w:r w:rsidRPr="00C34E94">
        <w:t>Nazočni od suda:</w:t>
      </w:r>
      <w:r w:rsidRPr="00C34E94">
        <w:tab/>
      </w:r>
      <w:r w:rsidRPr="00C34E94">
        <w:tab/>
      </w:r>
      <w:r w:rsidRPr="00C34E94">
        <w:tab/>
      </w:r>
      <w:r w:rsidRPr="00C34E94">
        <w:tab/>
      </w:r>
      <w:r w:rsidRPr="00C34E94">
        <w:tab/>
        <w:t>Stečajni postupak:</w:t>
      </w:r>
    </w:p>
    <w:p w:rsidRDefault="00D65F19" w:rsidP="00D65F19" w:rsidR="00D65F19" w:rsidRPr="00C34E94"/>
    <w:p w:rsidRDefault="00D65F19" w:rsidP="00D65F19" w:rsidR="00D65F19" w:rsidRPr="00C34E94">
      <w:r w:rsidRPr="00C34E94">
        <w:rPr>
          <w:u w:val="single"/>
        </w:rPr>
        <w:t>MATE IVANČIĆ</w:t>
      </w:r>
      <w:r w:rsidRPr="00C34E94">
        <w:tab/>
      </w:r>
      <w:r w:rsidRPr="00C34E94">
        <w:tab/>
        <w:t xml:space="preserve">Predlagatelj-dužnik: </w:t>
      </w:r>
      <w:r w:rsidR="008430B3">
        <w:t>LIDIJA ŠETIT, vl. obrta za strojni vez i</w:t>
      </w:r>
    </w:p>
    <w:p w:rsidRDefault="00D65F19" w:rsidP="00D65F19" w:rsidR="00D65F19" w:rsidRPr="00C34E94">
      <w:r w:rsidRPr="00C34E94">
        <w:t xml:space="preserve">       (sudac)</w:t>
      </w:r>
      <w:r w:rsidRPr="00C34E94">
        <w:tab/>
      </w:r>
      <w:r w:rsidR="008430B3">
        <w:tab/>
      </w:r>
      <w:r w:rsidR="008430B3">
        <w:tab/>
      </w:r>
      <w:r w:rsidR="008430B3">
        <w:tab/>
      </w:r>
      <w:r w:rsidR="008430B3">
        <w:tab/>
      </w:r>
      <w:r w:rsidR="008430B3">
        <w:tab/>
        <w:t>trgovinu EMA VEZ, Bjelovar</w:t>
      </w:r>
    </w:p>
    <w:p w:rsidRDefault="00D65F19" w:rsidP="00D65F19" w:rsidR="00D65F19" w:rsidRPr="00C34E94"/>
    <w:p w:rsidRDefault="00D65F19" w:rsidP="00D65F19" w:rsidR="00D65F19" w:rsidRPr="00C34E94">
      <w:r w:rsidRPr="00C34E94">
        <w:rPr>
          <w:u w:val="single"/>
        </w:rPr>
        <w:t>Romana Tremski</w:t>
      </w:r>
      <w:r w:rsidRPr="00C34E94">
        <w:tab/>
      </w:r>
      <w:r w:rsidRPr="00C34E94">
        <w:tab/>
        <w:t>Radi: predstečajne nagodbe</w:t>
      </w:r>
    </w:p>
    <w:p w:rsidRDefault="00D65F19" w:rsidP="00D65F19" w:rsidR="00D65F19" w:rsidRPr="00C34E94">
      <w:r w:rsidRPr="00C34E94">
        <w:t xml:space="preserve">  (zapisničar)</w:t>
      </w:r>
    </w:p>
    <w:p w:rsidRDefault="00D65F19" w:rsidP="00D65F19" w:rsidR="00D65F19" w:rsidRPr="00C34E94">
      <w:pPr>
        <w:jc w:val="both"/>
      </w:pPr>
    </w:p>
    <w:p w:rsidRDefault="00D65F19" w:rsidP="00D65F19" w:rsidR="00D65F19" w:rsidRPr="00C34E94">
      <w:r w:rsidRPr="00C34E94">
        <w:t xml:space="preserve">Početak u </w:t>
      </w:r>
      <w:r w:rsidR="00851327">
        <w:t>10</w:t>
      </w:r>
      <w:r w:rsidRPr="00C34E94">
        <w:t>,00 sati.</w:t>
      </w:r>
    </w:p>
    <w:p w:rsidRDefault="00D65F19" w:rsidP="00D65F19" w:rsidR="00D65F19" w:rsidRPr="00C34E94"/>
    <w:p w:rsidRDefault="00D65F19" w:rsidP="00D65F19" w:rsidR="00D65F19" w:rsidRPr="00C34E94">
      <w:r w:rsidRPr="00C34E94">
        <w:t>Utvrđuje se da su pristupili:</w:t>
      </w:r>
    </w:p>
    <w:p w:rsidRDefault="00D65F19" w:rsidP="00D65F19" w:rsidR="00D65F19" w:rsidRPr="00C34E94">
      <w:r w:rsidRPr="00C34E94">
        <w:t xml:space="preserve">Za predlagatelja i dužnika: </w:t>
      </w:r>
      <w:r w:rsidR="003347A0">
        <w:t>Lidija Šetit osobno</w:t>
      </w:r>
    </w:p>
    <w:p w:rsidRDefault="00D65F19" w:rsidP="00D65F19" w:rsidR="00D65F19">
      <w:pPr>
        <w:jc w:val="both"/>
      </w:pPr>
      <w:r w:rsidRPr="00C34E94">
        <w:t xml:space="preserve">Za vjerovnike: </w:t>
      </w:r>
    </w:p>
    <w:p w:rsidRDefault="00AE7F58" w:rsidP="00AE7F58" w:rsidR="00AE7F58">
      <w:pPr>
        <w:numPr>
          <w:ilvl w:val="0"/>
          <w:numId w:val="13"/>
        </w:numPr>
        <w:jc w:val="both"/>
      </w:pPr>
      <w:r>
        <w:t>za RH Min. financija, Porezna uprava, Područni ured Sjeverna Hrvatska pun. Snježana Ćorić</w:t>
      </w:r>
    </w:p>
    <w:p w:rsidRDefault="00AE7F58" w:rsidP="00AE7F58" w:rsidR="00AE7F58" w:rsidRPr="00C34E94">
      <w:pPr>
        <w:numPr>
          <w:ilvl w:val="0"/>
          <w:numId w:val="13"/>
        </w:numPr>
        <w:jc w:val="both"/>
      </w:pPr>
      <w:r>
        <w:t>za ZAGREBAČKA BANKA d.d. Zagreb pun. Vjekoslav Skakalo</w:t>
      </w:r>
    </w:p>
    <w:p w:rsidRDefault="00D65F19" w:rsidP="00D65F19" w:rsidR="00D65F19" w:rsidRPr="00C34E94">
      <w:pPr>
        <w:jc w:val="both"/>
      </w:pPr>
    </w:p>
    <w:p w:rsidRDefault="00D65F19" w:rsidP="00D65F19" w:rsidR="00D65F19" w:rsidRPr="00C34E94">
      <w:pPr>
        <w:jc w:val="both"/>
      </w:pPr>
      <w:r w:rsidRPr="00C34E94">
        <w:tab/>
        <w:t xml:space="preserve">Ovo ročište sazvano je rješenjem od </w:t>
      </w:r>
      <w:r w:rsidR="00B05AE2" w:rsidRPr="00C34E94">
        <w:t>1</w:t>
      </w:r>
      <w:r w:rsidR="0032753A">
        <w:t>7</w:t>
      </w:r>
      <w:r w:rsidRPr="00C34E94">
        <w:t>. rujna 201</w:t>
      </w:r>
      <w:r w:rsidR="00B05AE2" w:rsidRPr="00C34E94">
        <w:t>5</w:t>
      </w:r>
      <w:r w:rsidRPr="00C34E94">
        <w:t xml:space="preserve">. godine koje je objavljeno na </w:t>
      </w:r>
      <w:r w:rsidR="00B05AE2" w:rsidRPr="00C34E94">
        <w:t>e-</w:t>
      </w:r>
      <w:r w:rsidRPr="00C34E94">
        <w:t xml:space="preserve">oglasnoj ploči suda </w:t>
      </w:r>
      <w:r w:rsidR="00B05AE2" w:rsidRPr="00C34E94">
        <w:t>1</w:t>
      </w:r>
      <w:r w:rsidR="00A92BE3">
        <w:t>7</w:t>
      </w:r>
      <w:r w:rsidRPr="00C34E94">
        <w:t>. rujna 201</w:t>
      </w:r>
      <w:r w:rsidR="00B05AE2" w:rsidRPr="00C34E94">
        <w:t>5</w:t>
      </w:r>
      <w:r w:rsidRPr="00C34E94">
        <w:t xml:space="preserve">. godine i na web stranicama FINE </w:t>
      </w:r>
      <w:r w:rsidR="00CD7169">
        <w:t>2</w:t>
      </w:r>
      <w:r w:rsidR="00F4201C">
        <w:t>2</w:t>
      </w:r>
      <w:r w:rsidRPr="00C34E94">
        <w:t>. rujna 201</w:t>
      </w:r>
      <w:r w:rsidR="00A85C94" w:rsidRPr="00C34E94">
        <w:t>5</w:t>
      </w:r>
      <w:r w:rsidRPr="00C34E94">
        <w:t>. godine.</w:t>
      </w:r>
    </w:p>
    <w:p w:rsidRDefault="00D65F19" w:rsidP="00D65F19" w:rsidR="00D65F19" w:rsidRPr="00C34E94">
      <w:pPr>
        <w:jc w:val="both"/>
      </w:pPr>
    </w:p>
    <w:p w:rsidRDefault="00D65F19" w:rsidP="00D65F19" w:rsidR="00D65F19" w:rsidRPr="00C34E94">
      <w:pPr>
        <w:jc w:val="both"/>
      </w:pPr>
      <w:r w:rsidRPr="00C34E94">
        <w:tab/>
        <w:t xml:space="preserve">Utvrđuje se da je dužnik sukladno čl. 66. st. 1. Zakona o financijskom poslovanju i predstečajnoj nagodbi </w:t>
      </w:r>
      <w:r w:rsidR="003F3E7C">
        <w:t>02</w:t>
      </w:r>
      <w:r w:rsidRPr="00C34E94">
        <w:t xml:space="preserve">. </w:t>
      </w:r>
      <w:r w:rsidR="003F3E7C">
        <w:t>lipnja</w:t>
      </w:r>
      <w:r w:rsidRPr="00C34E94">
        <w:t xml:space="preserve"> 201</w:t>
      </w:r>
      <w:r w:rsidR="00AB4F38" w:rsidRPr="00C34E94">
        <w:t>5</w:t>
      </w:r>
      <w:r w:rsidRPr="00C34E94">
        <w:t xml:space="preserve">. godine podnio ovom sudu prijedlog za sklapanje predstečajne nagodbe, budući da je izvršnim rješenjem Nagodbenog vijeća </w:t>
      </w:r>
      <w:r w:rsidR="00270DAC">
        <w:t>ZG07</w:t>
      </w:r>
      <w:r w:rsidRPr="00C34E94">
        <w:t xml:space="preserve"> Financijske agencije, Klasa: UP-I/110/07/14-01/</w:t>
      </w:r>
      <w:r w:rsidR="00270DAC">
        <w:t>7482</w:t>
      </w:r>
      <w:r w:rsidRPr="00C34E94">
        <w:t>, Ur.br. 04-06-1</w:t>
      </w:r>
      <w:r w:rsidR="00EB4A42" w:rsidRPr="00C34E94">
        <w:t>5</w:t>
      </w:r>
      <w:r w:rsidRPr="00C34E94">
        <w:t>-</w:t>
      </w:r>
      <w:r w:rsidR="00270DAC">
        <w:t>7482</w:t>
      </w:r>
      <w:r w:rsidRPr="00C34E94">
        <w:t>-</w:t>
      </w:r>
      <w:r w:rsidR="00270DAC">
        <w:t>35</w:t>
      </w:r>
      <w:r w:rsidRPr="00C34E94">
        <w:t xml:space="preserve"> od </w:t>
      </w:r>
      <w:r w:rsidR="00270DAC">
        <w:t>30</w:t>
      </w:r>
      <w:r w:rsidRPr="00C34E94">
        <w:t xml:space="preserve">. </w:t>
      </w:r>
      <w:r w:rsidR="00270DAC">
        <w:t>travnja</w:t>
      </w:r>
      <w:r w:rsidRPr="00C34E94">
        <w:t xml:space="preserve"> 201</w:t>
      </w:r>
      <w:r w:rsidR="00270DAC">
        <w:t>5</w:t>
      </w:r>
      <w:r w:rsidRPr="00C34E94">
        <w:t xml:space="preserve">. godine utvrđeno da je u postupku predstečajne nagodbe nad dužnikom </w:t>
      </w:r>
      <w:r w:rsidR="00E00359">
        <w:t>LIDIJA ŠETIT iz Bjelovara, Celestina Medovića 1</w:t>
      </w:r>
      <w:r w:rsidRPr="00C34E94">
        <w:t xml:space="preserve">, OIB </w:t>
      </w:r>
      <w:r w:rsidR="00E00359" w:rsidRPr="00E00359">
        <w:t>20973077034</w:t>
      </w:r>
      <w:r w:rsidR="00E00359">
        <w:t xml:space="preserve">, </w:t>
      </w:r>
      <w:r w:rsidR="00D54074">
        <w:t xml:space="preserve">vl. obrta za strojni vez i trgovinu EMA VEZ, Bjelovar, </w:t>
      </w:r>
      <w:r w:rsidR="000301E3">
        <w:t>Ivana Gundulića 1</w:t>
      </w:r>
      <w:r w:rsidRPr="00C34E94">
        <w:t>, Plan financijskog restrukturiranja prihvaćen jer su za njega glasovali vjerovnici čije tražbine prelaze 2/3 vrijednosti svih utvrđenih tražbina, a postupak je proveden u skladu sa odredbama Zakona.</w:t>
      </w:r>
    </w:p>
    <w:p w:rsidRDefault="00D65F19" w:rsidP="00D65F19" w:rsidR="00D65F19" w:rsidRPr="00C34E94">
      <w:pPr>
        <w:jc w:val="both"/>
      </w:pPr>
    </w:p>
    <w:p w:rsidRDefault="00D65F19" w:rsidP="00D65F19" w:rsidR="00D65F19" w:rsidRPr="00C34E94">
      <w:pPr>
        <w:jc w:val="both"/>
      </w:pPr>
      <w:r w:rsidRPr="00C34E94">
        <w:tab/>
        <w:t>Utvrđuje se da dužnik ostaje kod prijedloga da se na ovom ročištu sklopi predstečajna nagodba i da je sud potvrdi rješenjem.</w:t>
      </w:r>
    </w:p>
    <w:p w:rsidRDefault="00D65F19" w:rsidP="00D65F19" w:rsidR="00D65F19" w:rsidRPr="00C34E94">
      <w:pPr>
        <w:jc w:val="both"/>
      </w:pPr>
    </w:p>
    <w:p w:rsidRDefault="00D65F19" w:rsidP="00D65F19" w:rsidR="00D65F19" w:rsidRPr="00C34E94">
      <w:pPr>
        <w:jc w:val="both"/>
      </w:pPr>
      <w:r w:rsidRPr="00C34E94">
        <w:tab/>
        <w:t>Utvrđuje se da je na današnjem ročištu nazoč</w:t>
      </w:r>
      <w:r w:rsidR="00483686">
        <w:t>ni</w:t>
      </w:r>
      <w:r w:rsidRPr="00C34E94">
        <w:t xml:space="preserve"> vjerovni</w:t>
      </w:r>
      <w:r w:rsidR="00483686">
        <w:t>ci RH Min. financija, Porezna uprava, Područni ured Sjeverna Hrvatska i ZAGREBAČKA BANKA d.d. Zagreb.</w:t>
      </w:r>
    </w:p>
    <w:p w:rsidRDefault="00D65F19" w:rsidP="00D65F19" w:rsidR="00D65F19" w:rsidRPr="00C34E94">
      <w:pPr>
        <w:jc w:val="both"/>
      </w:pPr>
    </w:p>
    <w:p w:rsidRDefault="00D65F19" w:rsidP="00D65F19" w:rsidR="00D65F19" w:rsidRPr="00C34E94">
      <w:pPr>
        <w:jc w:val="both"/>
      </w:pPr>
      <w:r w:rsidRPr="00C34E94">
        <w:tab/>
        <w:t xml:space="preserve">Dostava poziva je uredno obavljena putem </w:t>
      </w:r>
      <w:r w:rsidR="004A73F8" w:rsidRPr="00C34E94">
        <w:t xml:space="preserve">e-oglasne ploče ovoga suda i </w:t>
      </w:r>
      <w:r w:rsidRPr="00C34E94">
        <w:t>web stranica FINA-e.</w:t>
      </w:r>
    </w:p>
    <w:p w:rsidRDefault="00D65F19" w:rsidP="00D65F19" w:rsidR="00D65F19" w:rsidRPr="00C34E94">
      <w:pPr>
        <w:jc w:val="both"/>
      </w:pPr>
    </w:p>
    <w:p w:rsidRDefault="00D65F19" w:rsidP="00D65F19" w:rsidR="00D65F19" w:rsidRPr="00C34E94">
      <w:pPr>
        <w:jc w:val="both"/>
      </w:pPr>
      <w:r w:rsidRPr="00C34E94">
        <w:tab/>
        <w:t xml:space="preserve">Sudac utvrđuje da su za sklapanje predstečajne nagodbe svoj pristanak dali dužnik i prisutni </w:t>
      </w:r>
      <w:r w:rsidR="004A73F8" w:rsidRPr="00C34E94">
        <w:t>vjerovnici</w:t>
      </w:r>
      <w:r w:rsidRPr="00C34E94">
        <w:t xml:space="preserve">, koji </w:t>
      </w:r>
      <w:r w:rsidR="004A73F8" w:rsidRPr="00C34E94">
        <w:t>su</w:t>
      </w:r>
      <w:r w:rsidRPr="00C34E94">
        <w:t xml:space="preserve"> prihvati</w:t>
      </w:r>
      <w:r w:rsidR="004A73F8" w:rsidRPr="00C34E94">
        <w:t>li</w:t>
      </w:r>
      <w:r w:rsidRPr="00C34E94">
        <w:t xml:space="preserve"> plan financijskog restrukturiranja, a čija tražbina prelazi 2/3 vrijednosti svih utvrđenih tražbina.</w:t>
      </w:r>
    </w:p>
    <w:p w:rsidRDefault="00D65F19" w:rsidP="00D65F19" w:rsidR="00D65F19" w:rsidRPr="00C34E94">
      <w:pPr>
        <w:jc w:val="both"/>
      </w:pPr>
    </w:p>
    <w:p w:rsidRDefault="00D65F19" w:rsidP="00D65F19" w:rsidR="00D65F19" w:rsidRPr="00C34E94">
      <w:pPr>
        <w:jc w:val="both"/>
      </w:pPr>
      <w:r w:rsidRPr="00C34E94">
        <w:tab/>
        <w:t>Sud donosi</w:t>
      </w:r>
    </w:p>
    <w:p w:rsidRDefault="00D65F19" w:rsidP="00D65F19" w:rsidR="00D65F19" w:rsidRPr="00C34E94">
      <w:pPr>
        <w:jc w:val="both"/>
      </w:pPr>
    </w:p>
    <w:p w:rsidRDefault="00D65F19" w:rsidP="00D65F19" w:rsidR="00D65F19" w:rsidRPr="00C34E94">
      <w:pPr>
        <w:jc w:val="center"/>
      </w:pPr>
      <w:r w:rsidRPr="00C34E94">
        <w:t>r j e š e n j e</w:t>
      </w:r>
    </w:p>
    <w:p w:rsidRDefault="00D65F19" w:rsidP="00D65F19" w:rsidR="00D65F19" w:rsidRPr="00C34E94">
      <w:pPr>
        <w:jc w:val="both"/>
      </w:pPr>
    </w:p>
    <w:p w:rsidRDefault="00D65F19" w:rsidP="00D65F19" w:rsidR="00D65F19" w:rsidRPr="00C34E94">
      <w:pPr>
        <w:jc w:val="both"/>
      </w:pPr>
      <w:r w:rsidRPr="00C34E94">
        <w:tab/>
        <w:t>Odobrava se sklapanje predstečajne nagodbe.</w:t>
      </w:r>
    </w:p>
    <w:p w:rsidRDefault="00D65F19" w:rsidP="00D65F19" w:rsidR="00D65F19" w:rsidRPr="00C34E94">
      <w:pPr>
        <w:jc w:val="both"/>
      </w:pPr>
    </w:p>
    <w:p w:rsidRDefault="00D65F19" w:rsidP="00D65F19" w:rsidR="00D65F19" w:rsidRPr="00C34E94">
      <w:pPr>
        <w:jc w:val="center"/>
      </w:pPr>
      <w:r w:rsidRPr="00C34E94">
        <w:t>Obrazloženje</w:t>
      </w:r>
    </w:p>
    <w:p w:rsidRDefault="00D65F19" w:rsidP="00D65F19" w:rsidR="00D65F19" w:rsidRPr="00C34E94">
      <w:pPr>
        <w:jc w:val="both"/>
      </w:pPr>
    </w:p>
    <w:p w:rsidRDefault="00D65F19" w:rsidP="00D65F19" w:rsidR="00D65F19" w:rsidRPr="00C34E94">
      <w:pPr>
        <w:jc w:val="both"/>
      </w:pPr>
      <w:r w:rsidRPr="00C34E94">
        <w:tab/>
        <w:t xml:space="preserve">U ovom postupku utvrđeno je da je dužnik podnio nadležnom organu prijedlog za sklapanje predstečajne nagodbe, te da je FINA regionalni centar Zagreb rješenjem Klasa: </w:t>
      </w:r>
      <w:r w:rsidR="000301E3" w:rsidRPr="00C34E94">
        <w:t>UP-I/110/07/14-01/</w:t>
      </w:r>
      <w:r w:rsidR="000301E3">
        <w:t>7482</w:t>
      </w:r>
      <w:r w:rsidR="000301E3" w:rsidRPr="00C34E94">
        <w:t>, Ur.br. 04-06-15-</w:t>
      </w:r>
      <w:r w:rsidR="000301E3">
        <w:t>7482</w:t>
      </w:r>
      <w:r w:rsidR="000301E3" w:rsidRPr="00C34E94">
        <w:t>-</w:t>
      </w:r>
      <w:r w:rsidR="000301E3">
        <w:t>35</w:t>
      </w:r>
      <w:r w:rsidR="000301E3" w:rsidRPr="00C34E94">
        <w:t xml:space="preserve"> od </w:t>
      </w:r>
      <w:r w:rsidR="000301E3">
        <w:t>30</w:t>
      </w:r>
      <w:r w:rsidR="000301E3" w:rsidRPr="00C34E94">
        <w:t xml:space="preserve">. </w:t>
      </w:r>
      <w:r w:rsidR="000301E3">
        <w:t>travnja</w:t>
      </w:r>
      <w:r w:rsidR="000301E3" w:rsidRPr="00C34E94">
        <w:t xml:space="preserve"> 201</w:t>
      </w:r>
      <w:r w:rsidR="000301E3">
        <w:t>5</w:t>
      </w:r>
      <w:r w:rsidR="000301E3" w:rsidRPr="00C34E94">
        <w:t>. godine</w:t>
      </w:r>
      <w:r w:rsidRPr="00C34E94">
        <w:t xml:space="preserve"> utvrdilo da su vjerovnici prihvatili plan financijskog restrukturiranja dužnika i da su glasovali tako da njihove tražbine prelaze 2/3 vrijednosti svih utvrđenih tražbina, te da se plan smatra prihvaćenim.</w:t>
      </w:r>
    </w:p>
    <w:p w:rsidRDefault="00D65F19" w:rsidP="00D65F19" w:rsidR="00D65F19" w:rsidRPr="00C34E94">
      <w:pPr>
        <w:jc w:val="both"/>
      </w:pPr>
      <w:r w:rsidRPr="00C34E94">
        <w:tab/>
        <w:t>Uvidom u e-spis predstečajnih nagodbi kod FINA-e sud je utvrdio da su vjerovnici prihvatili plan financijskog restrukturiranja dužnika.</w:t>
      </w:r>
    </w:p>
    <w:p w:rsidRDefault="00D65F19" w:rsidP="00D65F19" w:rsidR="00D65F19" w:rsidRPr="00C34E94">
      <w:pPr>
        <w:jc w:val="both"/>
      </w:pPr>
      <w:r w:rsidRPr="00C34E94">
        <w:tab/>
        <w:t>Stoga je sud temeljem čl. 66. Zakona o financijskom poslovanju i predstečajnoj nagodbi (NN  br. 108/12, 144/12, 81/13 i 112/13) odobrio sklapanje predstečajne nagodbe.</w:t>
      </w:r>
    </w:p>
    <w:p w:rsidRDefault="00D65F19" w:rsidP="00D65F19" w:rsidR="00D65F19" w:rsidRPr="00C34E94">
      <w:pPr>
        <w:jc w:val="both"/>
      </w:pPr>
    </w:p>
    <w:p w:rsidRDefault="00D65F19" w:rsidP="00D65F19" w:rsidR="00D65F19" w:rsidRPr="00C34E94">
      <w:pPr>
        <w:jc w:val="both"/>
      </w:pPr>
      <w:r w:rsidRPr="00C34E94">
        <w:tab/>
        <w:t>Protiv ovog rješenja dopuštena je žalba.</w:t>
      </w:r>
    </w:p>
    <w:p w:rsidRDefault="00D65F19" w:rsidP="00D65F19" w:rsidR="00D65F19" w:rsidRPr="00C34E94">
      <w:pPr>
        <w:jc w:val="both"/>
      </w:pPr>
      <w:r w:rsidRPr="00C34E94">
        <w:tab/>
        <w:t>Žalba se podnosi putem ovog suda Visokom trgovačkom sudu u Zagrebu u 3 primjerka u roku od 8 dana od dana objave na web stranicama FINA-e.</w:t>
      </w:r>
    </w:p>
    <w:p w:rsidRDefault="00D65F19" w:rsidP="00D65F19" w:rsidR="00D65F19" w:rsidRPr="00C34E94">
      <w:pPr>
        <w:jc w:val="both"/>
      </w:pPr>
      <w:r w:rsidRPr="00C34E94">
        <w:tab/>
        <w:t>Žalba ne odgađa provedbu ovog rješenja.</w:t>
      </w:r>
    </w:p>
    <w:p w:rsidRDefault="00D65F19" w:rsidP="00D65F19" w:rsidR="00D65F19" w:rsidRPr="00C34E94">
      <w:pPr>
        <w:jc w:val="both"/>
      </w:pPr>
    </w:p>
    <w:p w:rsidRDefault="00D65F19" w:rsidP="00D65F19" w:rsidR="00D65F19" w:rsidRPr="00C34E94">
      <w:pPr>
        <w:jc w:val="both"/>
      </w:pPr>
      <w:r w:rsidRPr="00C34E94">
        <w:tab/>
        <w:t>Nakon toga stranke zaključuju slijedeću:</w:t>
      </w:r>
    </w:p>
    <w:p w:rsidRDefault="00D65F19" w:rsidP="00D65F19" w:rsidR="00D65F19" w:rsidRPr="00C34E94">
      <w:pPr>
        <w:jc w:val="both"/>
      </w:pPr>
    </w:p>
    <w:p w:rsidRDefault="00D65F19" w:rsidP="00D65F19" w:rsidR="00D65F19" w:rsidRPr="00C34E94">
      <w:pPr>
        <w:jc w:val="both"/>
      </w:pPr>
    </w:p>
    <w:p w:rsidRDefault="00D65F19" w:rsidP="00D65F19" w:rsidR="00D65F19" w:rsidRPr="00C34E94">
      <w:pPr>
        <w:jc w:val="center"/>
      </w:pPr>
      <w:r w:rsidRPr="00C34E94">
        <w:t>P R E D S T E Č A J N A   N A G O D B A</w:t>
      </w:r>
    </w:p>
    <w:p w:rsidRDefault="00D65F19" w:rsidP="00D65F19" w:rsidR="00D65F19" w:rsidRPr="00C34E94">
      <w:pPr>
        <w:jc w:val="both"/>
      </w:pPr>
    </w:p>
    <w:p w:rsidRDefault="00D65F19" w:rsidP="00D65F19" w:rsidR="00D65F19" w:rsidRPr="00C34E94">
      <w:pPr>
        <w:jc w:val="both"/>
      </w:pPr>
    </w:p>
    <w:p w:rsidRDefault="004E61E9" w:rsidP="004E61E9" w:rsidR="004E61E9" w:rsidRPr="004E61E9">
      <w:pPr>
        <w:pStyle w:val="Odlomakpopisa"/>
        <w:ind w:left="360"/>
        <w:jc w:val="both"/>
        <w:rPr>
          <w:rFonts w:cs="Times New Roman" w:hAnsi="Times New Roman" w:ascii="Times New Roman"/>
          <w:sz w:val="24"/>
          <w:szCs w:val="24"/>
        </w:rPr>
      </w:pPr>
      <w:r>
        <w:rPr>
          <w:rFonts w:cs="Times New Roman" w:hAnsi="Times New Roman" w:ascii="Times New Roman"/>
          <w:b/>
          <w:sz w:val="24"/>
          <w:szCs w:val="24"/>
        </w:rPr>
        <w:t xml:space="preserve">I. </w:t>
      </w:r>
      <w:r w:rsidRPr="004E61E9">
        <w:rPr>
          <w:rFonts w:cs="Times New Roman" w:hAnsi="Times New Roman" w:ascii="Times New Roman"/>
          <w:sz w:val="24"/>
          <w:szCs w:val="24"/>
        </w:rPr>
        <w:t xml:space="preserve">U postupku predstečajne nagodbe koji se pod poslovnim brojem KLASA: UP-I/110/07/14-01/7482 vodio pred FINANCIJSKOM AGENCIJOM, Regionalni centar: Zagreb, Nagodbeno vijeće: ZG07 nad dužnikom </w:t>
      </w:r>
      <w:r w:rsidRPr="004E61E9">
        <w:rPr>
          <w:rFonts w:cs="Times New Roman" w:hAnsi="Times New Roman" w:ascii="Times New Roman"/>
          <w:b/>
          <w:sz w:val="24"/>
          <w:szCs w:val="24"/>
        </w:rPr>
        <w:t>„EMA VEZ“ Obrt za strojni vez i trgovinu, Vl. Lidija Šetit, I. Gundulića 1, 43 000 Bjelovar</w:t>
      </w:r>
      <w:r w:rsidRPr="004E61E9">
        <w:rPr>
          <w:rFonts w:cs="Times New Roman" w:hAnsi="Times New Roman" w:ascii="Times New Roman"/>
          <w:sz w:val="24"/>
          <w:szCs w:val="24"/>
        </w:rPr>
        <w:t>,</w:t>
      </w:r>
      <w:r w:rsidRPr="004E61E9">
        <w:rPr>
          <w:rFonts w:cs="Times New Roman" w:hAnsi="Times New Roman" w:ascii="Times New Roman"/>
          <w:b/>
          <w:sz w:val="24"/>
          <w:szCs w:val="24"/>
        </w:rPr>
        <w:t xml:space="preserve"> OIB 20973077034, MBO: 92346111</w:t>
      </w:r>
      <w:r w:rsidRPr="004E61E9">
        <w:rPr>
          <w:rFonts w:cs="Times New Roman" w:hAnsi="Times New Roman" w:ascii="Times New Roman"/>
          <w:sz w:val="24"/>
          <w:szCs w:val="24"/>
        </w:rPr>
        <w:t xml:space="preserve">  na ročištu 30.04.2015. godine provedeno je glasovanje o dužnikovu Izmijenjenom planu financijskog restrukturiranja za dužnika </w:t>
      </w:r>
      <w:r w:rsidRPr="004E61E9">
        <w:rPr>
          <w:rFonts w:cs="Times New Roman" w:hAnsi="Times New Roman" w:ascii="Times New Roman"/>
          <w:b/>
          <w:sz w:val="24"/>
          <w:szCs w:val="24"/>
        </w:rPr>
        <w:t>„EMA VEZ“ Obrt za strojni vez i trgovinu, Vl. Lidija Šetit, I. Gundulića 1, 43 000 Bjelovar,</w:t>
      </w:r>
      <w:r w:rsidRPr="004E61E9">
        <w:rPr>
          <w:rFonts w:cs="Times New Roman" w:hAnsi="Times New Roman" w:ascii="Times New Roman"/>
          <w:sz w:val="24"/>
          <w:szCs w:val="24"/>
        </w:rPr>
        <w:t xml:space="preserve"> </w:t>
      </w:r>
      <w:r w:rsidRPr="004E61E9">
        <w:rPr>
          <w:rFonts w:cs="Times New Roman" w:hAnsi="Times New Roman" w:ascii="Times New Roman"/>
          <w:b/>
          <w:sz w:val="24"/>
          <w:szCs w:val="24"/>
        </w:rPr>
        <w:t>OIB 20973077034, MBO: 92346111</w:t>
      </w:r>
      <w:r w:rsidRPr="004E61E9">
        <w:rPr>
          <w:rFonts w:cs="Times New Roman" w:hAnsi="Times New Roman" w:ascii="Times New Roman"/>
          <w:sz w:val="24"/>
          <w:szCs w:val="24"/>
        </w:rPr>
        <w:t xml:space="preserve"> (u daljnjem tekstu: Plan financijskog restrukturiranja), o čemu je 30.04.2015. godine, FINANCIJSKA AGENCIJA, Regionalni centar: Zagreb, Nagodbeno vijeće: ZG07, na temelju članka 60. St. 13. Zakona o financijskom poslovanju i predstečajnoj nagodbi (NN 112/2013, NN 81/2013, NN114/2012, NN108/2012, u daljnjem tekstu Zakon) donijelo Rješenje KLASA: UP-I/110/07/14-01/7482, Ur. Br.: 04-06-14-7482-35 (u daljnjem tekstu Rješenje), kojim je utvrdilo da je na tom ročištu postignuta potrebna </w:t>
      </w:r>
      <w:r w:rsidRPr="004E61E9">
        <w:rPr>
          <w:rFonts w:cs="Times New Roman" w:hAnsi="Times New Roman" w:ascii="Times New Roman"/>
          <w:sz w:val="24"/>
          <w:szCs w:val="24"/>
        </w:rPr>
        <w:lastRenderedPageBreak/>
        <w:t>većina za prihvaćanje Plana financijskog restrukturiranja, tako da su za dužnikov Plan financijskog restrukturiranja glasovali vjerovnici čije tražbine prelaze dvije trećine vrijednosti svih utvrđenih tražbina svih vjerovnika i to kako slijedi:</w:t>
      </w:r>
    </w:p>
    <w:p w:rsidRDefault="004E61E9" w:rsidP="004E61E9" w:rsidR="004E61E9" w:rsidRPr="004E61E9">
      <w:pPr>
        <w:pStyle w:val="Odlomakpopisa"/>
        <w:jc w:val="both"/>
        <w:rPr>
          <w:rFonts w:cs="Times New Roman" w:hAnsi="Times New Roman" w:ascii="Times New Roman"/>
          <w:sz w:val="24"/>
          <w:szCs w:val="24"/>
        </w:rPr>
      </w:pPr>
    </w:p>
    <w:p w:rsidRDefault="004E61E9" w:rsidP="004E61E9" w:rsidR="004E61E9" w:rsidRPr="004E61E9">
      <w:pPr>
        <w:pStyle w:val="Odlomakpopisa"/>
        <w:numPr>
          <w:ilvl w:val="0"/>
          <w:numId w:val="7"/>
        </w:numPr>
        <w:jc w:val="both"/>
        <w:rPr>
          <w:rFonts w:cs="Times New Roman" w:hAnsi="Times New Roman" w:ascii="Times New Roman"/>
          <w:sz w:val="24"/>
          <w:szCs w:val="24"/>
        </w:rPr>
      </w:pPr>
      <w:r w:rsidRPr="004E61E9">
        <w:rPr>
          <w:rFonts w:cs="Times New Roman" w:hAnsi="Times New Roman" w:ascii="Times New Roman"/>
          <w:b/>
          <w:sz w:val="24"/>
          <w:szCs w:val="24"/>
        </w:rPr>
        <w:t>Grupa Tijela javne uprave i trgovačka društva u većinskom državnom vlasništvu</w:t>
      </w:r>
      <w:r w:rsidRPr="004E61E9">
        <w:rPr>
          <w:rFonts w:cs="Times New Roman" w:hAnsi="Times New Roman" w:ascii="Times New Roman"/>
          <w:sz w:val="24"/>
          <w:szCs w:val="24"/>
        </w:rPr>
        <w:t xml:space="preserve"> – iznos tražbine za koju vjerovnici imaju pravo glasa iznosi 59.403,18 kuna, od čega je ukupan iznos glasova ZA 56.858,88 kuna, a ukupan iznos glasova protiv iznosi 2.544,30 kune što znači da je ZA prihvaćanje Plana glasovalo 95,72%, a PROTIV Plana 4,28%</w:t>
      </w:r>
    </w:p>
    <w:p w:rsidRDefault="004E61E9" w:rsidP="004E61E9" w:rsidR="004E61E9" w:rsidRPr="004E61E9">
      <w:pPr>
        <w:pStyle w:val="Odlomakpopisa"/>
        <w:ind w:left="1440"/>
        <w:jc w:val="both"/>
        <w:rPr>
          <w:rFonts w:cs="Times New Roman" w:hAnsi="Times New Roman" w:ascii="Times New Roman"/>
          <w:sz w:val="24"/>
          <w:szCs w:val="24"/>
        </w:rPr>
      </w:pPr>
    </w:p>
    <w:p w:rsidRDefault="004E61E9" w:rsidP="004E61E9" w:rsidR="004E61E9" w:rsidRPr="004E61E9">
      <w:pPr>
        <w:pStyle w:val="Odlomakpopisa"/>
        <w:numPr>
          <w:ilvl w:val="0"/>
          <w:numId w:val="7"/>
        </w:numPr>
        <w:jc w:val="both"/>
        <w:rPr>
          <w:rFonts w:cs="Times New Roman" w:hAnsi="Times New Roman" w:ascii="Times New Roman"/>
          <w:sz w:val="24"/>
          <w:szCs w:val="24"/>
        </w:rPr>
      </w:pPr>
      <w:r w:rsidRPr="004E61E9">
        <w:rPr>
          <w:rFonts w:cs="Times New Roman" w:hAnsi="Times New Roman" w:ascii="Times New Roman"/>
          <w:b/>
          <w:sz w:val="24"/>
          <w:szCs w:val="24"/>
        </w:rPr>
        <w:t>Grupa Financijske institucije</w:t>
      </w:r>
      <w:r w:rsidRPr="004E61E9">
        <w:rPr>
          <w:rFonts w:cs="Times New Roman" w:hAnsi="Times New Roman" w:ascii="Times New Roman"/>
          <w:sz w:val="24"/>
          <w:szCs w:val="24"/>
        </w:rPr>
        <w:t xml:space="preserve"> - iznos tražbine za koju vjerovnici imaju pravo glasa iznosi 34.324,96 kuna, od čega je ukupan iznos glasova ZA 34.324,96 kuna, a ukupan iznos glasova protiv iznosi 0,00 kuna što znači da je ZA prihvaćanje Plana glasovalo 100,00%, a PROTIV Plana 0,00%</w:t>
      </w:r>
    </w:p>
    <w:p w:rsidRDefault="004E61E9" w:rsidP="004E61E9" w:rsidR="004E61E9" w:rsidRPr="004E61E9">
      <w:pPr>
        <w:jc w:val="both"/>
      </w:pPr>
    </w:p>
    <w:p w:rsidRDefault="004E61E9" w:rsidP="004E61E9" w:rsidR="004E61E9" w:rsidRPr="004E61E9">
      <w:pPr>
        <w:pStyle w:val="Odlomakpopisa"/>
        <w:numPr>
          <w:ilvl w:val="0"/>
          <w:numId w:val="7"/>
        </w:numPr>
        <w:jc w:val="both"/>
        <w:rPr>
          <w:rFonts w:cs="Times New Roman" w:hAnsi="Times New Roman" w:ascii="Times New Roman"/>
          <w:sz w:val="24"/>
          <w:szCs w:val="24"/>
        </w:rPr>
      </w:pPr>
      <w:r w:rsidRPr="004E61E9">
        <w:rPr>
          <w:rFonts w:cs="Times New Roman" w:hAnsi="Times New Roman" w:ascii="Times New Roman"/>
          <w:b/>
          <w:sz w:val="24"/>
          <w:szCs w:val="24"/>
        </w:rPr>
        <w:t>Grupa Ostali vjerovnici</w:t>
      </w:r>
      <w:r w:rsidRPr="004E61E9">
        <w:rPr>
          <w:rFonts w:cs="Times New Roman" w:hAnsi="Times New Roman" w:ascii="Times New Roman"/>
          <w:sz w:val="24"/>
          <w:szCs w:val="24"/>
        </w:rPr>
        <w:t xml:space="preserve"> – dužnik nema obveza prema vjerovnicima ove skupine.</w:t>
      </w:r>
    </w:p>
    <w:p w:rsidRDefault="004E61E9" w:rsidP="004E61E9" w:rsidR="004E61E9" w:rsidRPr="004E61E9">
      <w:pPr>
        <w:pStyle w:val="Odlomakpopisa"/>
        <w:ind w:left="1440"/>
        <w:jc w:val="both"/>
        <w:rPr>
          <w:rFonts w:cs="Times New Roman" w:hAnsi="Times New Roman" w:ascii="Times New Roman"/>
          <w:sz w:val="24"/>
          <w:szCs w:val="24"/>
        </w:rPr>
      </w:pPr>
    </w:p>
    <w:p w:rsidRDefault="004E61E9" w:rsidP="004E61E9" w:rsidR="004E61E9" w:rsidRPr="004E61E9">
      <w:pPr>
        <w:pStyle w:val="Odlomakpopisa"/>
        <w:numPr>
          <w:ilvl w:val="0"/>
          <w:numId w:val="7"/>
        </w:numPr>
        <w:jc w:val="both"/>
        <w:rPr>
          <w:rFonts w:cs="Times New Roman" w:hAnsi="Times New Roman" w:ascii="Times New Roman"/>
          <w:sz w:val="24"/>
          <w:szCs w:val="24"/>
        </w:rPr>
      </w:pPr>
      <w:r w:rsidRPr="004E61E9">
        <w:rPr>
          <w:rFonts w:cs="Times New Roman" w:hAnsi="Times New Roman" w:ascii="Times New Roman"/>
          <w:b/>
          <w:sz w:val="24"/>
          <w:szCs w:val="24"/>
        </w:rPr>
        <w:t>UKUPAN OMJER GLASOVA</w:t>
      </w:r>
      <w:r w:rsidRPr="004E61E9">
        <w:rPr>
          <w:rFonts w:cs="Times New Roman" w:hAnsi="Times New Roman" w:ascii="Times New Roman"/>
          <w:sz w:val="24"/>
          <w:szCs w:val="24"/>
        </w:rPr>
        <w:t xml:space="preserve"> – iznos tražbine za koju vjerovnici imaju pravo glasa je 93.728,14 kuna, od čega je ukupan iznos glasova ZA 91.183,84 kuna, a ukupan iznos glasova protiv iznosi 2.544,30 kn što znači da je za prihvaćanje Plana glasovalo 97,29%, a PROTIV Plana 2,71%</w:t>
      </w:r>
    </w:p>
    <w:p w:rsidRDefault="004E61E9" w:rsidP="004E61E9" w:rsidR="004E61E9" w:rsidRPr="004E61E9">
      <w:pPr>
        <w:pStyle w:val="Odlomakpopisa"/>
        <w:rPr>
          <w:rFonts w:cs="Times New Roman" w:hAnsi="Times New Roman" w:ascii="Times New Roman"/>
          <w:sz w:val="24"/>
          <w:szCs w:val="24"/>
        </w:rPr>
      </w:pPr>
    </w:p>
    <w:p w:rsidRDefault="004E61E9" w:rsidP="004E61E9" w:rsidR="004E61E9" w:rsidRPr="004E61E9">
      <w:pPr>
        <w:jc w:val="both"/>
      </w:pPr>
      <w:r w:rsidRPr="004E61E9">
        <w:t xml:space="preserve">S obzirom da su za Plan financijskog restrukturiranja glasovali vjerovnici čije tražbine iznose 97,29% svih utvrđenih tražbina odnosno da su za Plan financijskog restrukturiranja glasovali vjerovnici čije tražbine prelaze 2/3 vrijednosti svih utvrđenih tražbina, </w:t>
      </w:r>
      <w:r w:rsidRPr="004E61E9">
        <w:rPr>
          <w:b/>
        </w:rPr>
        <w:t>Plan financijskog restrukturiranja smatra se prihvaćenim</w:t>
      </w:r>
      <w:r w:rsidRPr="004E61E9">
        <w:t>.</w:t>
      </w:r>
    </w:p>
    <w:p w:rsidRDefault="004E61E9" w:rsidP="004E61E9" w:rsidR="004E61E9" w:rsidRPr="004E61E9">
      <w:pPr>
        <w:jc w:val="both"/>
      </w:pPr>
      <w:r w:rsidRPr="004E61E9">
        <w:t>S obzirom na rezultate glasovanja Nagodbeno vijeće je konstatiralo da se Izmijenjeni Plan financijskog restrukturiranja za dužnika „EMA VEZ“ Vl. Lidija Šetit smatra prihvaćenim, budući da su za njega glasovali vjerovnici čiji glasovi sukladno članku 63. st. 2. Zakona predstavljaju 97,29%, vrijednosti od ukupno utvrđenih tražbina svih vjerovnika, odnosno onih vjerovnika čije tražbine prelaze 2/3 vrijednosti svih utvrđenih tražbina i uputilo dužnika da u roku od 15 dana od izvršnosti Rješenja podnese nadležnom Trgovačkom sudu Prijedlog za sklapanje predstečajne nagodbe.</w:t>
      </w:r>
    </w:p>
    <w:p w:rsidRDefault="004E61E9" w:rsidP="004E61E9" w:rsidR="004E61E9" w:rsidRPr="004E61E9">
      <w:pPr>
        <w:pStyle w:val="Odlomakpopisa"/>
        <w:numPr>
          <w:ilvl w:val="0"/>
          <w:numId w:val="6"/>
        </w:numPr>
        <w:jc w:val="both"/>
        <w:rPr>
          <w:rFonts w:cs="Times New Roman" w:hAnsi="Times New Roman" w:ascii="Times New Roman"/>
          <w:sz w:val="24"/>
          <w:szCs w:val="24"/>
        </w:rPr>
      </w:pPr>
      <w:r w:rsidRPr="004E61E9">
        <w:rPr>
          <w:rFonts w:cs="Times New Roman" w:hAnsi="Times New Roman" w:ascii="Times New Roman"/>
          <w:sz w:val="24"/>
          <w:szCs w:val="24"/>
        </w:rPr>
        <w:t xml:space="preserve">Prihvaćenim Planom financijskog restrukturiranja dužnik je predložio, a vjerovnici pristali i prihvatili da se svim vjerovnicima otpišu kamate, te da im dužnik </w:t>
      </w:r>
      <w:r w:rsidRPr="004E61E9">
        <w:rPr>
          <w:rFonts w:cs="Times New Roman" w:hAnsi="Times New Roman" w:ascii="Times New Roman"/>
          <w:b/>
          <w:sz w:val="24"/>
          <w:szCs w:val="24"/>
        </w:rPr>
        <w:t>„EMA VEZ“ Obrt za strojni vez i trgovinu, Vl. Lidija Šetit, I. Gundulića 1, 43 000 Bjelovar, OIB 20973077034, MBO: 92346111</w:t>
      </w:r>
      <w:r w:rsidRPr="004E61E9">
        <w:rPr>
          <w:rFonts w:cs="Times New Roman" w:hAnsi="Times New Roman" w:ascii="Times New Roman"/>
          <w:sz w:val="24"/>
          <w:szCs w:val="24"/>
        </w:rPr>
        <w:t xml:space="preserve"> isplati dug u iznosima, rokovima i na način sukladno prihvaćenome Izmijenjenom planu financijskog restrukturiranja, a kako je nastavno iskazano u tabeli:</w:t>
      </w:r>
    </w:p>
    <w:p w:rsidRDefault="004E61E9" w:rsidP="004E61E9" w:rsidR="004E61E9" w:rsidRPr="004E61E9"/>
    <w:p w:rsidRDefault="004E61E9" w:rsidP="004E61E9" w:rsidR="004E61E9" w:rsidRPr="004E61E9">
      <w:pPr>
        <w:pBdr>
          <w:bottom w:space="1" w:sz="4" w:color="auto" w:val="single"/>
        </w:pBdr>
        <w:jc w:val="both"/>
        <w:rPr>
          <w:b/>
        </w:rPr>
      </w:pPr>
      <w:r w:rsidRPr="004E61E9">
        <w:rPr>
          <w:b/>
        </w:rPr>
        <w:t>I.GRUPA: TIJELA JAVNE UPRAVE I TRGOVAČKA DRUŠTVA U VEĆINSKOM DRŽAVNOM VLASNIŠTVU</w:t>
      </w:r>
    </w:p>
    <w:p w:rsidRDefault="004E61E9" w:rsidP="004E61E9" w:rsidR="004E61E9" w:rsidRPr="004E61E9">
      <w:pPr>
        <w:jc w:val="both"/>
        <w:rPr>
          <w:b/>
        </w:rPr>
      </w:pPr>
    </w:p>
    <w:tbl>
      <w:tblPr>
        <w:tblW w:type="dxa" w:w="9070"/>
        <w:tblInd w:type="dxa" w:w="93"/>
        <w:tblLook w:val="04A0" w:noVBand="1" w:noHBand="0" w:lastColumn="0" w:firstColumn="1" w:lastRow="0" w:firstRow="1"/>
      </w:tblPr>
      <w:tblGrid>
        <w:gridCol w:w="723"/>
        <w:gridCol w:w="1713"/>
        <w:gridCol w:w="2288"/>
        <w:gridCol w:w="1563"/>
        <w:gridCol w:w="1310"/>
        <w:gridCol w:w="1662"/>
      </w:tblGrid>
      <w:tr w:rsidTr="00512B35" w:rsidR="004E61E9" w:rsidRPr="004E61E9">
        <w:trPr>
          <w:trHeight w:val="282"/>
        </w:trPr>
        <w:tc>
          <w:tcPr>
            <w:tcW w:type="dxa" w:w="658"/>
            <w:vMerge w:val="restart"/>
            <w:tcBorders>
              <w:top w:space="0" w:sz="4" w:color="auto" w:val="single"/>
              <w:left w:space="0" w:sz="4" w:color="auto" w:val="single"/>
              <w:bottom w:space="0" w:sz="4" w:color="auto" w:val="single"/>
              <w:right w:space="0" w:sz="4" w:color="auto" w:val="single"/>
            </w:tcBorders>
            <w:shd w:fill="CCC0DA" w:color="000000" w:val="clear"/>
            <w:noWrap/>
            <w:vAlign w:val="center"/>
            <w:hideMark/>
          </w:tcPr>
          <w:p w:rsidRDefault="004E61E9" w:rsidP="00512B35" w:rsidR="004E61E9" w:rsidRPr="004E61E9">
            <w:pPr>
              <w:jc w:val="center"/>
              <w:rPr>
                <w:b/>
                <w:bCs/>
                <w:color w:val="000000"/>
                <w:lang w:eastAsia="hr-HR"/>
              </w:rPr>
            </w:pPr>
            <w:r w:rsidRPr="004E61E9">
              <w:rPr>
                <w:b/>
                <w:bCs/>
                <w:color w:val="000000"/>
                <w:lang w:eastAsia="hr-HR"/>
              </w:rPr>
              <w:lastRenderedPageBreak/>
              <w:t>RBR</w:t>
            </w:r>
          </w:p>
        </w:tc>
        <w:tc>
          <w:tcPr>
            <w:tcW w:type="dxa" w:w="1713"/>
            <w:vMerge w:val="restart"/>
            <w:tcBorders>
              <w:top w:space="0" w:sz="4" w:color="auto" w:val="single"/>
              <w:left w:space="0" w:sz="4" w:color="auto" w:val="single"/>
              <w:bottom w:space="0" w:sz="4" w:color="auto" w:val="single"/>
              <w:right w:space="0" w:sz="4" w:color="auto" w:val="single"/>
            </w:tcBorders>
            <w:shd w:fill="CCC0DA" w:color="000000" w:val="clear"/>
            <w:noWrap/>
            <w:vAlign w:val="center"/>
            <w:hideMark/>
          </w:tcPr>
          <w:p w:rsidRDefault="004E61E9" w:rsidP="00512B35" w:rsidR="004E61E9" w:rsidRPr="004E61E9">
            <w:pPr>
              <w:jc w:val="center"/>
              <w:rPr>
                <w:b/>
                <w:bCs/>
                <w:color w:val="000000"/>
                <w:lang w:eastAsia="hr-HR"/>
              </w:rPr>
            </w:pPr>
            <w:r w:rsidRPr="004E61E9">
              <w:rPr>
                <w:b/>
                <w:bCs/>
                <w:color w:val="000000"/>
                <w:lang w:eastAsia="hr-HR"/>
              </w:rPr>
              <w:t>OIB</w:t>
            </w:r>
          </w:p>
        </w:tc>
        <w:tc>
          <w:tcPr>
            <w:tcW w:type="dxa" w:w="2354"/>
            <w:vMerge w:val="restart"/>
            <w:tcBorders>
              <w:top w:space="0" w:sz="4" w:color="auto" w:val="single"/>
              <w:left w:space="0" w:sz="4" w:color="auto" w:val="single"/>
              <w:bottom w:space="0" w:sz="4" w:color="auto" w:val="single"/>
              <w:right w:space="0" w:sz="4" w:color="auto" w:val="single"/>
            </w:tcBorders>
            <w:shd w:fill="CCC0DA" w:color="000000" w:val="clear"/>
            <w:vAlign w:val="center"/>
            <w:hideMark/>
          </w:tcPr>
          <w:p w:rsidRDefault="004E61E9" w:rsidP="00512B35" w:rsidR="004E61E9" w:rsidRPr="004E61E9">
            <w:pPr>
              <w:jc w:val="center"/>
              <w:rPr>
                <w:b/>
                <w:bCs/>
                <w:color w:val="000000"/>
                <w:lang w:eastAsia="hr-HR"/>
              </w:rPr>
            </w:pPr>
            <w:r w:rsidRPr="004E61E9">
              <w:rPr>
                <w:b/>
                <w:bCs/>
                <w:color w:val="000000"/>
                <w:lang w:eastAsia="hr-HR"/>
              </w:rPr>
              <w:t>NAZIV VJEROVNIKA</w:t>
            </w:r>
          </w:p>
        </w:tc>
        <w:tc>
          <w:tcPr>
            <w:tcW w:type="dxa" w:w="1377"/>
            <w:vMerge w:val="restart"/>
            <w:tcBorders>
              <w:top w:space="0" w:sz="4" w:color="auto" w:val="single"/>
              <w:left w:space="0" w:sz="4" w:color="auto" w:val="single"/>
              <w:bottom w:space="0" w:sz="4" w:color="auto" w:val="single"/>
              <w:right w:space="0" w:sz="4" w:color="auto" w:val="single"/>
            </w:tcBorders>
            <w:shd w:fill="CCC0DA" w:color="000000" w:val="clear"/>
            <w:vAlign w:val="center"/>
            <w:hideMark/>
          </w:tcPr>
          <w:p w:rsidRDefault="004E61E9" w:rsidP="00512B35" w:rsidR="004E61E9" w:rsidRPr="004E61E9">
            <w:pPr>
              <w:jc w:val="center"/>
              <w:rPr>
                <w:b/>
                <w:bCs/>
                <w:color w:val="000000"/>
                <w:lang w:eastAsia="hr-HR"/>
              </w:rPr>
            </w:pPr>
            <w:r w:rsidRPr="004E61E9">
              <w:rPr>
                <w:b/>
                <w:bCs/>
                <w:color w:val="000000"/>
                <w:lang w:eastAsia="hr-HR"/>
              </w:rPr>
              <w:t>IZNOS UTVRĐENE TRAŽBINE</w:t>
            </w:r>
          </w:p>
        </w:tc>
        <w:tc>
          <w:tcPr>
            <w:tcW w:type="dxa" w:w="1306"/>
            <w:vMerge w:val="restart"/>
            <w:tcBorders>
              <w:top w:space="0" w:sz="4" w:color="auto" w:val="single"/>
              <w:left w:space="0" w:sz="4" w:color="auto" w:val="single"/>
              <w:bottom w:space="0" w:sz="4" w:color="auto" w:val="single"/>
              <w:right w:space="0" w:sz="4" w:color="auto" w:val="single"/>
            </w:tcBorders>
            <w:shd w:fill="CCC0DA" w:color="000000" w:val="clear"/>
            <w:vAlign w:val="center"/>
            <w:hideMark/>
          </w:tcPr>
          <w:p w:rsidRDefault="004E61E9" w:rsidP="00512B35" w:rsidR="004E61E9" w:rsidRPr="004E61E9">
            <w:pPr>
              <w:jc w:val="center"/>
              <w:rPr>
                <w:b/>
                <w:bCs/>
                <w:color w:val="000000"/>
                <w:lang w:eastAsia="hr-HR"/>
              </w:rPr>
            </w:pPr>
            <w:r w:rsidRPr="004E61E9">
              <w:rPr>
                <w:b/>
                <w:bCs/>
                <w:color w:val="000000"/>
                <w:lang w:eastAsia="hr-HR"/>
              </w:rPr>
              <w:t>OTPIS  KAMATA</w:t>
            </w:r>
          </w:p>
        </w:tc>
        <w:tc>
          <w:tcPr>
            <w:tcW w:type="dxa" w:w="1662"/>
            <w:vMerge w:val="restart"/>
            <w:tcBorders>
              <w:top w:space="0" w:sz="4" w:color="auto" w:val="single"/>
              <w:left w:space="0" w:sz="4" w:color="auto" w:val="single"/>
              <w:bottom w:space="0" w:sz="4" w:color="auto" w:val="single"/>
              <w:right w:space="0" w:sz="4" w:color="auto" w:val="single"/>
            </w:tcBorders>
            <w:shd w:fill="CCC0DA" w:color="000000" w:val="clear"/>
            <w:vAlign w:val="center"/>
            <w:hideMark/>
          </w:tcPr>
          <w:p w:rsidRDefault="004E61E9" w:rsidP="00512B35" w:rsidR="004E61E9" w:rsidRPr="004E61E9">
            <w:pPr>
              <w:jc w:val="center"/>
              <w:rPr>
                <w:b/>
                <w:bCs/>
                <w:color w:val="000000"/>
                <w:lang w:eastAsia="hr-HR"/>
              </w:rPr>
            </w:pPr>
            <w:r w:rsidRPr="004E61E9">
              <w:rPr>
                <w:b/>
                <w:bCs/>
                <w:color w:val="000000"/>
                <w:lang w:eastAsia="hr-HR"/>
              </w:rPr>
              <w:t>OSTAJE ZA OTPLATITI</w:t>
            </w:r>
          </w:p>
        </w:tc>
      </w:tr>
      <w:tr w:rsidTr="00512B35" w:rsidR="004E61E9" w:rsidRPr="004E61E9">
        <w:trPr>
          <w:trHeight w:val="714"/>
        </w:trPr>
        <w:tc>
          <w:tcPr>
            <w:tcW w:type="dxa" w:w="658"/>
            <w:vMerge/>
            <w:tcBorders>
              <w:top w:space="0" w:sz="4" w:color="auto" w:val="single"/>
              <w:left w:space="0" w:sz="4" w:color="auto" w:val="single"/>
              <w:bottom w:space="0" w:sz="4" w:color="auto" w:val="single"/>
              <w:right w:space="0" w:sz="4" w:color="auto" w:val="single"/>
            </w:tcBorders>
            <w:vAlign w:val="center"/>
            <w:hideMark/>
          </w:tcPr>
          <w:p w:rsidRDefault="004E61E9" w:rsidP="00512B35" w:rsidR="004E61E9" w:rsidRPr="004E61E9">
            <w:pPr>
              <w:rPr>
                <w:b/>
                <w:bCs/>
                <w:color w:val="000000"/>
                <w:lang w:eastAsia="hr-HR"/>
              </w:rPr>
            </w:pPr>
          </w:p>
        </w:tc>
        <w:tc>
          <w:tcPr>
            <w:tcW w:type="dxa" w:w="1713"/>
            <w:vMerge/>
            <w:tcBorders>
              <w:top w:space="0" w:sz="4" w:color="auto" w:val="single"/>
              <w:left w:space="0" w:sz="4" w:color="auto" w:val="single"/>
              <w:bottom w:space="0" w:sz="4" w:color="auto" w:val="single"/>
              <w:right w:space="0" w:sz="4" w:color="auto" w:val="single"/>
            </w:tcBorders>
            <w:vAlign w:val="center"/>
            <w:hideMark/>
          </w:tcPr>
          <w:p w:rsidRDefault="004E61E9" w:rsidP="00512B35" w:rsidR="004E61E9" w:rsidRPr="004E61E9">
            <w:pPr>
              <w:rPr>
                <w:b/>
                <w:bCs/>
                <w:color w:val="000000"/>
                <w:lang w:eastAsia="hr-HR"/>
              </w:rPr>
            </w:pPr>
          </w:p>
        </w:tc>
        <w:tc>
          <w:tcPr>
            <w:tcW w:type="dxa" w:w="2354"/>
            <w:vMerge/>
            <w:tcBorders>
              <w:top w:space="0" w:sz="4" w:color="auto" w:val="single"/>
              <w:left w:space="0" w:sz="4" w:color="auto" w:val="single"/>
              <w:bottom w:space="0" w:sz="4" w:color="auto" w:val="single"/>
              <w:right w:space="0" w:sz="4" w:color="auto" w:val="single"/>
            </w:tcBorders>
            <w:vAlign w:val="center"/>
            <w:hideMark/>
          </w:tcPr>
          <w:p w:rsidRDefault="004E61E9" w:rsidP="00512B35" w:rsidR="004E61E9" w:rsidRPr="004E61E9">
            <w:pPr>
              <w:rPr>
                <w:b/>
                <w:bCs/>
                <w:color w:val="000000"/>
                <w:lang w:eastAsia="hr-HR"/>
              </w:rPr>
            </w:pPr>
          </w:p>
        </w:tc>
        <w:tc>
          <w:tcPr>
            <w:tcW w:type="dxa" w:w="1377"/>
            <w:vMerge/>
            <w:tcBorders>
              <w:top w:space="0" w:sz="4" w:color="auto" w:val="single"/>
              <w:left w:space="0" w:sz="4" w:color="auto" w:val="single"/>
              <w:bottom w:space="0" w:sz="4" w:color="auto" w:val="single"/>
              <w:right w:space="0" w:sz="4" w:color="auto" w:val="single"/>
            </w:tcBorders>
            <w:vAlign w:val="center"/>
            <w:hideMark/>
          </w:tcPr>
          <w:p w:rsidRDefault="004E61E9" w:rsidP="00512B35" w:rsidR="004E61E9" w:rsidRPr="004E61E9">
            <w:pPr>
              <w:rPr>
                <w:b/>
                <w:bCs/>
                <w:color w:val="000000"/>
                <w:lang w:eastAsia="hr-HR"/>
              </w:rPr>
            </w:pPr>
          </w:p>
        </w:tc>
        <w:tc>
          <w:tcPr>
            <w:tcW w:type="dxa" w:w="1306"/>
            <w:vMerge/>
            <w:tcBorders>
              <w:top w:space="0" w:sz="4" w:color="auto" w:val="single"/>
              <w:left w:space="0" w:sz="4" w:color="auto" w:val="single"/>
              <w:bottom w:space="0" w:sz="4" w:color="auto" w:val="single"/>
              <w:right w:space="0" w:sz="4" w:color="auto" w:val="single"/>
            </w:tcBorders>
            <w:vAlign w:val="center"/>
            <w:hideMark/>
          </w:tcPr>
          <w:p w:rsidRDefault="004E61E9" w:rsidP="00512B35" w:rsidR="004E61E9" w:rsidRPr="004E61E9">
            <w:pPr>
              <w:rPr>
                <w:b/>
                <w:bCs/>
                <w:color w:val="000000"/>
                <w:lang w:eastAsia="hr-HR"/>
              </w:rPr>
            </w:pPr>
          </w:p>
        </w:tc>
        <w:tc>
          <w:tcPr>
            <w:tcW w:type="dxa" w:w="1662"/>
            <w:vMerge/>
            <w:tcBorders>
              <w:top w:space="0" w:sz="4" w:color="auto" w:val="single"/>
              <w:left w:space="0" w:sz="4" w:color="auto" w:val="single"/>
              <w:bottom w:space="0" w:sz="4" w:color="auto" w:val="single"/>
              <w:right w:space="0" w:sz="4" w:color="auto" w:val="single"/>
            </w:tcBorders>
            <w:vAlign w:val="center"/>
            <w:hideMark/>
          </w:tcPr>
          <w:p w:rsidRDefault="004E61E9" w:rsidP="00512B35" w:rsidR="004E61E9" w:rsidRPr="004E61E9">
            <w:pPr>
              <w:rPr>
                <w:b/>
                <w:bCs/>
                <w:color w:val="000000"/>
                <w:lang w:eastAsia="hr-HR"/>
              </w:rPr>
            </w:pPr>
          </w:p>
        </w:tc>
      </w:tr>
      <w:tr w:rsidTr="00512B35" w:rsidR="004E61E9" w:rsidRPr="004E61E9">
        <w:trPr>
          <w:trHeight w:val="332"/>
        </w:trPr>
        <w:tc>
          <w:tcPr>
            <w:tcW w:type="dxa" w:w="658"/>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w:t>
            </w:r>
          </w:p>
        </w:tc>
        <w:tc>
          <w:tcPr>
            <w:tcW w:type="dxa" w:w="1713"/>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18970641692</w:t>
            </w:r>
          </w:p>
        </w:tc>
        <w:tc>
          <w:tcPr>
            <w:tcW w:type="dxa" w:w="2354"/>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rPr>
                <w:color w:val="000000"/>
                <w:lang w:eastAsia="hr-HR"/>
              </w:rPr>
            </w:pPr>
            <w:r w:rsidRPr="004E61E9">
              <w:rPr>
                <w:color w:val="000000"/>
                <w:lang w:eastAsia="hr-HR"/>
              </w:rPr>
              <w:t>GRAD BJELOVAR</w:t>
            </w:r>
          </w:p>
        </w:tc>
        <w:tc>
          <w:tcPr>
            <w:tcW w:type="dxa" w:w="1377"/>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right"/>
              <w:rPr>
                <w:color w:val="000000"/>
                <w:lang w:eastAsia="hr-HR"/>
              </w:rPr>
            </w:pPr>
            <w:r w:rsidRPr="004E61E9">
              <w:rPr>
                <w:color w:val="000000"/>
                <w:lang w:eastAsia="hr-HR"/>
              </w:rPr>
              <w:t>2.544,30</w:t>
            </w:r>
          </w:p>
        </w:tc>
        <w:tc>
          <w:tcPr>
            <w:tcW w:type="dxa" w:w="1306"/>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right"/>
              <w:rPr>
                <w:color w:val="000000"/>
                <w:lang w:eastAsia="hr-HR"/>
              </w:rPr>
            </w:pPr>
            <w:r w:rsidRPr="004E61E9">
              <w:rPr>
                <w:color w:val="000000"/>
                <w:lang w:eastAsia="hr-HR"/>
              </w:rPr>
              <w:t>76,96</w:t>
            </w:r>
          </w:p>
        </w:tc>
        <w:tc>
          <w:tcPr>
            <w:tcW w:type="dxa" w:w="1662"/>
            <w:tcBorders>
              <w:top w:val="nil"/>
              <w:left w:val="nil"/>
              <w:bottom w:space="0" w:sz="4" w:color="auto" w:val="single"/>
              <w:right w:space="0" w:sz="4" w:color="auto" w:val="single"/>
            </w:tcBorders>
            <w:shd w:fill="FFFFFF" w:color="000000" w:val="clear"/>
            <w:noWrap/>
            <w:vAlign w:val="center"/>
            <w:hideMark/>
          </w:tcPr>
          <w:p w:rsidRDefault="004E61E9" w:rsidP="00512B35" w:rsidR="004E61E9" w:rsidRPr="004E61E9">
            <w:pPr>
              <w:jc w:val="right"/>
              <w:rPr>
                <w:color w:val="000000"/>
                <w:lang w:eastAsia="hr-HR"/>
              </w:rPr>
            </w:pPr>
            <w:r w:rsidRPr="004E61E9">
              <w:rPr>
                <w:color w:val="000000"/>
                <w:lang w:eastAsia="hr-HR"/>
              </w:rPr>
              <w:t>2.467,34</w:t>
            </w:r>
          </w:p>
        </w:tc>
      </w:tr>
      <w:tr w:rsidTr="00512B35" w:rsidR="004E61E9" w:rsidRPr="004E61E9">
        <w:trPr>
          <w:trHeight w:val="564"/>
        </w:trPr>
        <w:tc>
          <w:tcPr>
            <w:tcW w:type="dxa" w:w="658"/>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w:t>
            </w:r>
          </w:p>
        </w:tc>
        <w:tc>
          <w:tcPr>
            <w:tcW w:type="dxa" w:w="1713"/>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18683136487</w:t>
            </w:r>
          </w:p>
        </w:tc>
        <w:tc>
          <w:tcPr>
            <w:tcW w:type="dxa" w:w="2354"/>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rPr>
                <w:color w:val="000000"/>
                <w:lang w:eastAsia="hr-HR"/>
              </w:rPr>
            </w:pPr>
            <w:r w:rsidRPr="004E61E9">
              <w:rPr>
                <w:color w:val="000000"/>
                <w:lang w:eastAsia="hr-HR"/>
              </w:rPr>
              <w:t>Ministarstvo financija, Porezna uprava</w:t>
            </w:r>
          </w:p>
        </w:tc>
        <w:tc>
          <w:tcPr>
            <w:tcW w:type="dxa" w:w="1377"/>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right"/>
              <w:rPr>
                <w:color w:val="000000"/>
                <w:lang w:eastAsia="hr-HR"/>
              </w:rPr>
            </w:pPr>
            <w:r w:rsidRPr="004E61E9">
              <w:rPr>
                <w:color w:val="000000"/>
                <w:lang w:eastAsia="hr-HR"/>
              </w:rPr>
              <w:t>56.858,88</w:t>
            </w:r>
          </w:p>
        </w:tc>
        <w:tc>
          <w:tcPr>
            <w:tcW w:type="dxa" w:w="1306"/>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right"/>
              <w:rPr>
                <w:color w:val="000000"/>
                <w:lang w:eastAsia="hr-HR"/>
              </w:rPr>
            </w:pPr>
            <w:r w:rsidRPr="004E61E9">
              <w:rPr>
                <w:color w:val="000000"/>
                <w:lang w:eastAsia="hr-HR"/>
              </w:rPr>
              <w:t>7.952,90</w:t>
            </w:r>
          </w:p>
        </w:tc>
        <w:tc>
          <w:tcPr>
            <w:tcW w:type="dxa" w:w="1662"/>
            <w:tcBorders>
              <w:top w:val="nil"/>
              <w:left w:val="nil"/>
              <w:bottom w:space="0" w:sz="4" w:color="auto" w:val="single"/>
              <w:right w:space="0" w:sz="4" w:color="auto" w:val="single"/>
            </w:tcBorders>
            <w:shd w:fill="FFFFFF" w:color="000000" w:val="clear"/>
            <w:noWrap/>
            <w:vAlign w:val="center"/>
            <w:hideMark/>
          </w:tcPr>
          <w:p w:rsidRDefault="004E61E9" w:rsidP="00512B35" w:rsidR="004E61E9" w:rsidRPr="004E61E9">
            <w:pPr>
              <w:jc w:val="right"/>
              <w:rPr>
                <w:color w:val="000000"/>
                <w:lang w:eastAsia="hr-HR"/>
              </w:rPr>
            </w:pPr>
            <w:r w:rsidRPr="004E61E9">
              <w:rPr>
                <w:color w:val="000000"/>
                <w:lang w:eastAsia="hr-HR"/>
              </w:rPr>
              <w:t>48.905,98</w:t>
            </w:r>
          </w:p>
        </w:tc>
      </w:tr>
      <w:tr w:rsidTr="00512B35" w:rsidR="004E61E9" w:rsidRPr="004E61E9">
        <w:trPr>
          <w:trHeight w:val="481"/>
        </w:trPr>
        <w:tc>
          <w:tcPr>
            <w:tcW w:type="dxa" w:w="4724"/>
            <w:gridSpan w:val="3"/>
            <w:tcBorders>
              <w:top w:space="0" w:sz="4" w:color="auto" w:val="single"/>
              <w:left w:space="0" w:sz="4" w:color="auto" w:val="single"/>
              <w:bottom w:space="0" w:sz="4" w:color="auto" w:val="single"/>
              <w:right w:space="0" w:sz="4" w:color="auto" w:val="single"/>
            </w:tcBorders>
            <w:shd w:fill="CCC0DA" w:color="000000" w:val="clear"/>
            <w:noWrap/>
            <w:vAlign w:val="center"/>
            <w:hideMark/>
          </w:tcPr>
          <w:p w:rsidRDefault="004E61E9" w:rsidP="00512B35" w:rsidR="004E61E9" w:rsidRPr="004E61E9">
            <w:pPr>
              <w:jc w:val="center"/>
              <w:rPr>
                <w:b/>
                <w:bCs/>
                <w:color w:val="000000"/>
                <w:lang w:eastAsia="hr-HR"/>
              </w:rPr>
            </w:pPr>
            <w:r w:rsidRPr="004E61E9">
              <w:rPr>
                <w:b/>
                <w:bCs/>
                <w:color w:val="000000"/>
                <w:lang w:eastAsia="hr-HR"/>
              </w:rPr>
              <w:t>UKUPNO:</w:t>
            </w:r>
          </w:p>
        </w:tc>
        <w:tc>
          <w:tcPr>
            <w:tcW w:type="dxa" w:w="1377"/>
            <w:tcBorders>
              <w:top w:val="nil"/>
              <w:left w:val="nil"/>
              <w:bottom w:space="0" w:sz="4" w:color="auto" w:val="single"/>
              <w:right w:space="0" w:sz="4" w:color="auto" w:val="single"/>
            </w:tcBorders>
            <w:shd w:fill="CCC0DA" w:color="000000" w:val="clear"/>
            <w:noWrap/>
            <w:vAlign w:val="center"/>
            <w:hideMark/>
          </w:tcPr>
          <w:p w:rsidRDefault="004E61E9" w:rsidP="00512B35" w:rsidR="004E61E9" w:rsidRPr="004E61E9">
            <w:pPr>
              <w:jc w:val="right"/>
              <w:rPr>
                <w:b/>
                <w:bCs/>
                <w:color w:val="000000"/>
                <w:lang w:eastAsia="hr-HR"/>
              </w:rPr>
            </w:pPr>
            <w:r w:rsidRPr="004E61E9">
              <w:rPr>
                <w:b/>
                <w:bCs/>
                <w:color w:val="000000"/>
                <w:lang w:eastAsia="hr-HR"/>
              </w:rPr>
              <w:t>59.403,18</w:t>
            </w:r>
          </w:p>
        </w:tc>
        <w:tc>
          <w:tcPr>
            <w:tcW w:type="dxa" w:w="1306"/>
            <w:tcBorders>
              <w:top w:val="nil"/>
              <w:left w:val="nil"/>
              <w:bottom w:space="0" w:sz="4" w:color="auto" w:val="single"/>
              <w:right w:space="0" w:sz="4" w:color="auto" w:val="single"/>
            </w:tcBorders>
            <w:shd w:fill="CCC0DA" w:color="000000" w:val="clear"/>
            <w:noWrap/>
            <w:vAlign w:val="center"/>
            <w:hideMark/>
          </w:tcPr>
          <w:p w:rsidRDefault="004E61E9" w:rsidP="00512B35" w:rsidR="004E61E9" w:rsidRPr="004E61E9">
            <w:pPr>
              <w:jc w:val="right"/>
              <w:rPr>
                <w:b/>
                <w:bCs/>
                <w:color w:val="000000"/>
                <w:lang w:eastAsia="hr-HR"/>
              </w:rPr>
            </w:pPr>
            <w:r w:rsidRPr="004E61E9">
              <w:rPr>
                <w:b/>
                <w:bCs/>
                <w:color w:val="000000"/>
                <w:lang w:eastAsia="hr-HR"/>
              </w:rPr>
              <w:t>8.029,86</w:t>
            </w:r>
          </w:p>
        </w:tc>
        <w:tc>
          <w:tcPr>
            <w:tcW w:type="dxa" w:w="1662"/>
            <w:tcBorders>
              <w:top w:val="nil"/>
              <w:left w:val="nil"/>
              <w:bottom w:space="0" w:sz="4" w:color="auto" w:val="single"/>
              <w:right w:space="0" w:sz="4" w:color="auto" w:val="single"/>
            </w:tcBorders>
            <w:shd w:fill="CCC0DA" w:color="000000" w:val="clear"/>
            <w:noWrap/>
            <w:vAlign w:val="center"/>
            <w:hideMark/>
          </w:tcPr>
          <w:p w:rsidRDefault="004E61E9" w:rsidP="00512B35" w:rsidR="004E61E9" w:rsidRPr="004E61E9">
            <w:pPr>
              <w:jc w:val="right"/>
              <w:rPr>
                <w:b/>
                <w:bCs/>
                <w:color w:val="000000"/>
                <w:lang w:eastAsia="hr-HR"/>
              </w:rPr>
            </w:pPr>
            <w:r w:rsidRPr="004E61E9">
              <w:rPr>
                <w:b/>
                <w:bCs/>
                <w:color w:val="000000"/>
                <w:lang w:eastAsia="hr-HR"/>
              </w:rPr>
              <w:t>51.373,32</w:t>
            </w:r>
          </w:p>
        </w:tc>
      </w:tr>
    </w:tbl>
    <w:p w:rsidRDefault="004E61E9" w:rsidP="004E61E9" w:rsidR="004E61E9" w:rsidRPr="004E61E9">
      <w:pPr>
        <w:rPr>
          <w:b/>
        </w:rPr>
      </w:pPr>
    </w:p>
    <w:p w:rsidRDefault="004E61E9" w:rsidP="004E61E9" w:rsidR="004E61E9" w:rsidRPr="004E61E9">
      <w:pPr>
        <w:rPr>
          <w:b/>
        </w:rPr>
      </w:pPr>
      <w:r w:rsidRPr="004E61E9">
        <w:rPr>
          <w:b/>
        </w:rPr>
        <w:t>Dužnik „EMA VEZ“ Vl. Lidija Šetit obvezuje se namiriti:</w:t>
      </w:r>
    </w:p>
    <w:p w:rsidRDefault="004E61E9" w:rsidP="004E61E9" w:rsidR="004E61E9" w:rsidRPr="004E61E9"/>
    <w:p w:rsidRDefault="004E61E9" w:rsidP="004E61E9" w:rsidR="004E61E9" w:rsidRPr="004E61E9">
      <w:pPr>
        <w:pStyle w:val="Odlomakpopisa"/>
        <w:numPr>
          <w:ilvl w:val="0"/>
          <w:numId w:val="8"/>
        </w:numPr>
        <w:jc w:val="both"/>
        <w:rPr>
          <w:rFonts w:cs="Times New Roman" w:hAnsi="Times New Roman" w:ascii="Times New Roman"/>
          <w:sz w:val="24"/>
          <w:szCs w:val="24"/>
        </w:rPr>
      </w:pPr>
      <w:r w:rsidRPr="004E61E9">
        <w:rPr>
          <w:rFonts w:cs="Times New Roman" w:hAnsi="Times New Roman" w:ascii="Times New Roman"/>
          <w:b/>
          <w:sz w:val="24"/>
          <w:szCs w:val="24"/>
        </w:rPr>
        <w:t>GRAD BJELOVAR</w:t>
      </w:r>
      <w:r w:rsidRPr="004E61E9">
        <w:rPr>
          <w:rFonts w:cs="Times New Roman" w:hAnsi="Times New Roman" w:ascii="Times New Roman"/>
          <w:sz w:val="24"/>
          <w:szCs w:val="24"/>
        </w:rPr>
        <w:t xml:space="preserve">, Trg Eugena Kvaternika 2, 43 000 Bjelovar, OIB: 18970641692, utvrđeni iznos tražbine iznosi 2.544,30 kn. Predstečajni vjerovnik otpušta dužniku dio utvrđene tražbine, što iznosi 76,96 kn. Preostali iznos tražbine od 2.467,34 kn otplatiti će se na 24 mjeseca, u jednakim mjesečnim anuitetima, uz kamatnu stopu od 4,5% godišnje. Prvi obrok dospijeva od pravomoćnosti Rješenja Trgovačkog suda o sklopljenoj nagodbi, 30 dana u mjesecu za prethodni mjesec. Svaki sljedeći mjesečni obrok dospijeva 30 dana u mjesecu do isteka razdoblja od 24 mjeseca. </w:t>
      </w:r>
    </w:p>
    <w:p w:rsidRDefault="004E61E9" w:rsidP="004E61E9" w:rsidR="004E61E9" w:rsidRPr="004E61E9">
      <w:pPr>
        <w:pStyle w:val="Odlomakpopisa"/>
        <w:jc w:val="both"/>
        <w:rPr>
          <w:rFonts w:cs="Times New Roman" w:hAnsi="Times New Roman" w:ascii="Times New Roman"/>
          <w:sz w:val="24"/>
          <w:szCs w:val="24"/>
        </w:rPr>
      </w:pPr>
      <w:r w:rsidRPr="004E61E9">
        <w:rPr>
          <w:rFonts w:cs="Times New Roman" w:hAnsi="Times New Roman" w:ascii="Times New Roman"/>
          <w:sz w:val="24"/>
          <w:szCs w:val="24"/>
        </w:rPr>
        <w:t>Ukoliko se Ročište za sklapanje predstečajne nagodbe održi u srpnju 2015. godine nakon kojeg će prvostupanjski sud tj. Trgovački sud u Bjelovaru donijeti Rješenje o potvrdi predstečajne nagodbe nad dužnikom, te isto postane pravomoćno; prvi anuitet u iznosu od 107,69 kn platiti će se 30.08.2015. godine, dok će se posljednji anuitet platiti 30.07.2017. godine.</w:t>
      </w:r>
    </w:p>
    <w:p w:rsidRDefault="004E61E9" w:rsidP="004E61E9" w:rsidR="004E61E9" w:rsidRPr="004E61E9">
      <w:pPr>
        <w:pStyle w:val="Odlomakpopisa"/>
        <w:jc w:val="both"/>
        <w:rPr>
          <w:rFonts w:cs="Times New Roman" w:hAnsi="Times New Roman" w:ascii="Times New Roman"/>
          <w:sz w:val="24"/>
          <w:szCs w:val="24"/>
        </w:rPr>
      </w:pPr>
    </w:p>
    <w:tbl>
      <w:tblPr>
        <w:tblW w:type="dxa" w:w="906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3"/>
        <w:gridCol w:w="1356"/>
        <w:gridCol w:w="1056"/>
        <w:gridCol w:w="1060"/>
        <w:gridCol w:w="1056"/>
        <w:gridCol w:w="960"/>
        <w:gridCol w:w="1220"/>
        <w:gridCol w:w="1920"/>
      </w:tblGrid>
      <w:tr w:rsidTr="00512B35" w:rsidR="004E61E9" w:rsidRPr="004E61E9">
        <w:trPr>
          <w:trHeight w:val="750"/>
        </w:trPr>
        <w:tc>
          <w:tcPr>
            <w:tcW w:type="dxa" w:w="640"/>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Red. Br.</w:t>
            </w:r>
          </w:p>
        </w:tc>
        <w:tc>
          <w:tcPr>
            <w:tcW w:type="dxa" w:w="1180"/>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Datum</w:t>
            </w:r>
          </w:p>
        </w:tc>
        <w:tc>
          <w:tcPr>
            <w:tcW w:type="dxa" w:w="1040"/>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Iznos glavnice</w:t>
            </w:r>
          </w:p>
        </w:tc>
        <w:tc>
          <w:tcPr>
            <w:tcW w:type="dxa" w:w="1060"/>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Otplatni obrok</w:t>
            </w:r>
          </w:p>
        </w:tc>
        <w:tc>
          <w:tcPr>
            <w:tcW w:type="dxa" w:w="1040"/>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Otplatna kvota</w:t>
            </w:r>
          </w:p>
        </w:tc>
        <w:tc>
          <w:tcPr>
            <w:tcW w:type="dxa" w:w="960"/>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Uplata kamate</w:t>
            </w:r>
          </w:p>
        </w:tc>
        <w:tc>
          <w:tcPr>
            <w:tcW w:type="dxa" w:w="1220"/>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Stanje glavnice</w:t>
            </w:r>
          </w:p>
        </w:tc>
        <w:tc>
          <w:tcPr>
            <w:tcW w:type="dxa" w:w="1920"/>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Napomena</w:t>
            </w:r>
          </w:p>
        </w:tc>
      </w:tr>
      <w:tr w:rsidTr="00512B35" w:rsidR="004E61E9" w:rsidRPr="004E61E9">
        <w:trPr>
          <w:trHeight w:val="300"/>
        </w:trPr>
        <w:tc>
          <w:tcPr>
            <w:tcW w:type="dxa" w:w="64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0</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30.07.2015.</w:t>
            </w:r>
          </w:p>
        </w:tc>
        <w:tc>
          <w:tcPr>
            <w:tcW w:type="dxa" w:w="1040"/>
            <w:shd w:fill="auto" w:color="auto" w:val="clear"/>
            <w:vAlign w:val="bottom"/>
            <w:hideMark/>
          </w:tcPr>
          <w:p w:rsidRDefault="004E61E9" w:rsidP="00512B35" w:rsidR="004E61E9" w:rsidRPr="004E61E9">
            <w:pPr>
              <w:jc w:val="right"/>
              <w:rPr>
                <w:color w:val="000000"/>
                <w:lang w:eastAsia="hr-HR"/>
              </w:rPr>
            </w:pPr>
            <w:r w:rsidRPr="004E61E9">
              <w:rPr>
                <w:color w:val="000000"/>
                <w:lang w:eastAsia="hr-HR"/>
              </w:rPr>
              <w:t>2.467,34</w:t>
            </w:r>
          </w:p>
        </w:tc>
        <w:tc>
          <w:tcPr>
            <w:tcW w:type="dxa" w:w="1060"/>
            <w:shd w:fill="auto" w:color="auto" w:val="clear"/>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40"/>
            <w:shd w:fill="auto" w:color="auto" w:val="clear"/>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960"/>
            <w:shd w:fill="auto" w:color="auto" w:val="clear"/>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220"/>
            <w:shd w:fill="auto" w:color="auto" w:val="clear"/>
            <w:vAlign w:val="bottom"/>
            <w:hideMark/>
          </w:tcPr>
          <w:p w:rsidRDefault="004E61E9" w:rsidP="00512B35" w:rsidR="004E61E9" w:rsidRPr="004E61E9">
            <w:pPr>
              <w:jc w:val="right"/>
              <w:rPr>
                <w:color w:val="000000"/>
                <w:lang w:eastAsia="hr-HR"/>
              </w:rPr>
            </w:pPr>
            <w:r w:rsidRPr="004E61E9">
              <w:rPr>
                <w:color w:val="000000"/>
                <w:lang w:eastAsia="hr-HR"/>
              </w:rPr>
              <w:t>2.467,34</w:t>
            </w:r>
          </w:p>
        </w:tc>
        <w:tc>
          <w:tcPr>
            <w:tcW w:type="dxa" w:w="192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 </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30.08.2015.</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98,44</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9,25</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2.368,90</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30.09.2015.</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98,81</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8,88</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2.270,10</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3</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30.10.2015.</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99,18</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8,51</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2.170,92</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3.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4</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30.11.2015.</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99,55</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8,14</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2.071,37</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4.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5</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30.12.2015</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99,92</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7,77</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1.971,45</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5.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6</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30.01.2016.</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100,30</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7,39</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1.871,15</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6.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7</w:t>
            </w:r>
          </w:p>
        </w:tc>
        <w:tc>
          <w:tcPr>
            <w:tcW w:type="dxa" w:w="1180"/>
            <w:shd w:fill="auto" w:color="auto" w:val="clear"/>
            <w:noWrap/>
            <w:vAlign w:val="bottom"/>
            <w:hideMark/>
          </w:tcPr>
          <w:p w:rsidRDefault="004E61E9" w:rsidP="00512B35" w:rsidR="004E61E9" w:rsidRPr="004E61E9">
            <w:pPr>
              <w:jc w:val="center"/>
              <w:rPr>
                <w:color w:val="000000"/>
                <w:lang w:eastAsia="hr-HR"/>
              </w:rPr>
            </w:pPr>
            <w:r w:rsidRPr="004E61E9">
              <w:rPr>
                <w:color w:val="000000"/>
                <w:lang w:eastAsia="hr-HR"/>
              </w:rPr>
              <w:t>29.02.2015.</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100,67</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7,02</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1.770,48</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7.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8</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30.03.2016.</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101,05</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6,64</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1.669,43</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8.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9</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30.04.2016.</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101,43</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6,26</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1.568,00</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9.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10</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30.05.2016.</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101,81</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5,88</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1.466,19</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10.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11</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30.06.2016.</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102,19</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5,50</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1.363,99</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11.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12</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30.07.2016.</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102,58</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5,11</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1.261,42</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12.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13</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30.08.2016.</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102,96</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4,73</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1.158,46</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13.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14</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30.09.2016.</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103,35</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4,34</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1.055,11</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14.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15</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30.10.2016.</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103,73</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3,96</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951,38</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15.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lastRenderedPageBreak/>
              <w:t>16</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30.11.2016.</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104,12</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3,57</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847,26</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16.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17</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30.12.2016.</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104,51</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3,18</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742,75</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17.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18</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30.01.2017.</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104,90</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2,79</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637,84</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18.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19</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28.02.2017.</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105,30</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2,39</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532,54</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19.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20</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30.03.2017.</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105,69</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2,00</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426,85</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20.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21</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30.04.2017.</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106,09</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1,60</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320,76</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21.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22</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30.05.2017.</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106,49</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1,20</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214,27</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22. rata otplate</w:t>
            </w:r>
          </w:p>
        </w:tc>
      </w:tr>
      <w:tr w:rsidTr="00512B35" w:rsidR="004E61E9" w:rsidRPr="004E61E9">
        <w:trPr>
          <w:trHeight w:val="255"/>
        </w:trPr>
        <w:tc>
          <w:tcPr>
            <w:tcW w:type="dxa" w:w="64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23</w:t>
            </w:r>
          </w:p>
        </w:tc>
        <w:tc>
          <w:tcPr>
            <w:tcW w:type="dxa" w:w="1180"/>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30.06.2017.</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106,89</w:t>
            </w:r>
          </w:p>
        </w:tc>
        <w:tc>
          <w:tcPr>
            <w:tcW w:type="dxa" w:w="96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0,80</w:t>
            </w:r>
          </w:p>
        </w:tc>
        <w:tc>
          <w:tcPr>
            <w:tcW w:type="dxa" w:w="1220"/>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107,39</w:t>
            </w:r>
          </w:p>
        </w:tc>
        <w:tc>
          <w:tcPr>
            <w:tcW w:type="dxa" w:w="1920"/>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23. rata otplate</w:t>
            </w:r>
          </w:p>
        </w:tc>
      </w:tr>
      <w:tr w:rsidTr="00512B35" w:rsidR="004E61E9" w:rsidRPr="004E61E9">
        <w:trPr>
          <w:trHeight w:val="255"/>
        </w:trPr>
        <w:tc>
          <w:tcPr>
            <w:tcW w:type="dxa" w:w="640"/>
            <w:tcBorders>
              <w:bottom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24</w:t>
            </w:r>
          </w:p>
        </w:tc>
        <w:tc>
          <w:tcPr>
            <w:tcW w:type="dxa" w:w="1180"/>
            <w:tcBorders>
              <w:bottom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30.07.2017.</w:t>
            </w:r>
          </w:p>
        </w:tc>
        <w:tc>
          <w:tcPr>
            <w:tcW w:type="dxa" w:w="1040"/>
            <w:tcBorders>
              <w:bottom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bottom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107,69</w:t>
            </w:r>
          </w:p>
        </w:tc>
        <w:tc>
          <w:tcPr>
            <w:tcW w:type="dxa" w:w="1040"/>
            <w:tcBorders>
              <w:bottom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107,39</w:t>
            </w:r>
          </w:p>
        </w:tc>
        <w:tc>
          <w:tcPr>
            <w:tcW w:type="dxa" w:w="960"/>
            <w:tcBorders>
              <w:bottom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0,30</w:t>
            </w:r>
          </w:p>
        </w:tc>
        <w:tc>
          <w:tcPr>
            <w:tcW w:type="dxa" w:w="1220"/>
            <w:tcBorders>
              <w:bottom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920"/>
            <w:tcBorders>
              <w:bottom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24. rata otplate</w:t>
            </w:r>
          </w:p>
        </w:tc>
      </w:tr>
      <w:tr w:rsidTr="00512B35" w:rsidR="004E61E9" w:rsidRPr="004E61E9">
        <w:trPr>
          <w:trHeight w:val="390"/>
        </w:trPr>
        <w:tc>
          <w:tcPr>
            <w:tcW w:type="dxa" w:w="640"/>
            <w:tcBorders>
              <w:top w:space="0" w:sz="4" w:color="auto" w:val="single"/>
              <w:left w:val="nil"/>
              <w:bottom w:val="nil"/>
              <w:right w:val="nil"/>
            </w:tcBorders>
            <w:shd w:fill="auto" w:color="auto" w:val="clear"/>
            <w:noWrap/>
            <w:vAlign w:val="bottom"/>
            <w:hideMark/>
          </w:tcPr>
          <w:p w:rsidRDefault="004E61E9" w:rsidP="00512B35" w:rsidR="004E61E9" w:rsidRPr="004E61E9">
            <w:pPr>
              <w:rPr>
                <w:color w:val="000000"/>
                <w:lang w:eastAsia="hr-HR"/>
              </w:rPr>
            </w:pPr>
          </w:p>
        </w:tc>
        <w:tc>
          <w:tcPr>
            <w:tcW w:type="dxa" w:w="1180"/>
            <w:tcBorders>
              <w:top w:space="0" w:sz="4" w:color="auto" w:val="single"/>
              <w:left w:val="nil"/>
              <w:bottom w:val="nil"/>
              <w:right w:val="nil"/>
            </w:tcBorders>
            <w:shd w:fill="auto" w:color="auto" w:val="clear"/>
            <w:noWrap/>
            <w:vAlign w:val="bottom"/>
            <w:hideMark/>
          </w:tcPr>
          <w:p w:rsidRDefault="004E61E9" w:rsidP="00512B35" w:rsidR="004E61E9" w:rsidRPr="004E61E9">
            <w:pPr>
              <w:rPr>
                <w:color w:val="000000"/>
                <w:lang w:eastAsia="hr-HR"/>
              </w:rPr>
            </w:pPr>
          </w:p>
        </w:tc>
        <w:tc>
          <w:tcPr>
            <w:tcW w:type="dxa" w:w="1040"/>
            <w:tcBorders>
              <w:top w:space="0" w:sz="4" w:color="auto" w:val="single"/>
              <w:left w:val="nil"/>
              <w:bottom w:space="0" w:sz="4" w:color="auto" w:val="single"/>
              <w:right w:val="nil"/>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2.467,34</w:t>
            </w:r>
          </w:p>
        </w:tc>
        <w:tc>
          <w:tcPr>
            <w:tcW w:type="dxa" w:w="1060"/>
            <w:tcBorders>
              <w:top w:space="0" w:sz="4" w:color="auto" w:val="single"/>
              <w:left w:val="nil"/>
              <w:bottom w:space="0" w:sz="4" w:color="auto" w:val="single"/>
              <w:right w:val="nil"/>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2.584,56</w:t>
            </w:r>
          </w:p>
        </w:tc>
        <w:tc>
          <w:tcPr>
            <w:tcW w:type="dxa" w:w="1040"/>
            <w:tcBorders>
              <w:top w:space="0" w:sz="4" w:color="auto" w:val="single"/>
              <w:left w:val="nil"/>
              <w:bottom w:space="0" w:sz="4" w:color="auto" w:val="single"/>
              <w:right w:val="nil"/>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2.467,34</w:t>
            </w:r>
          </w:p>
        </w:tc>
        <w:tc>
          <w:tcPr>
            <w:tcW w:type="dxa" w:w="960"/>
            <w:tcBorders>
              <w:top w:space="0" w:sz="4" w:color="auto" w:val="single"/>
              <w:left w:val="nil"/>
              <w:bottom w:space="0" w:sz="4" w:color="auto" w:val="single"/>
              <w:right w:val="nil"/>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117,22</w:t>
            </w:r>
          </w:p>
        </w:tc>
        <w:tc>
          <w:tcPr>
            <w:tcW w:type="dxa" w:w="1220"/>
            <w:tcBorders>
              <w:top w:space="0" w:sz="4" w:color="auto" w:val="single"/>
              <w:left w:val="nil"/>
              <w:bottom w:val="nil"/>
              <w:right w:val="nil"/>
            </w:tcBorders>
            <w:shd w:fill="auto" w:color="auto" w:val="clear"/>
            <w:noWrap/>
            <w:vAlign w:val="bottom"/>
            <w:hideMark/>
          </w:tcPr>
          <w:p w:rsidRDefault="004E61E9" w:rsidP="00512B35" w:rsidR="004E61E9" w:rsidRPr="004E61E9">
            <w:pPr>
              <w:jc w:val="right"/>
              <w:rPr>
                <w:color w:val="000000"/>
                <w:lang w:eastAsia="hr-HR"/>
              </w:rPr>
            </w:pPr>
          </w:p>
        </w:tc>
        <w:tc>
          <w:tcPr>
            <w:tcW w:type="dxa" w:w="1920"/>
            <w:tcBorders>
              <w:top w:space="0" w:sz="4" w:color="auto" w:val="single"/>
              <w:left w:val="nil"/>
              <w:bottom w:val="nil"/>
              <w:right w:val="nil"/>
            </w:tcBorders>
            <w:shd w:fill="auto" w:color="auto" w:val="clear"/>
            <w:noWrap/>
            <w:vAlign w:val="center"/>
            <w:hideMark/>
          </w:tcPr>
          <w:p w:rsidRDefault="004E61E9" w:rsidP="00512B35" w:rsidR="004E61E9" w:rsidRPr="004E61E9">
            <w:pPr>
              <w:jc w:val="center"/>
              <w:rPr>
                <w:color w:val="000000"/>
                <w:lang w:eastAsia="hr-HR"/>
              </w:rPr>
            </w:pPr>
          </w:p>
        </w:tc>
      </w:tr>
    </w:tbl>
    <w:p w:rsidRDefault="004E61E9" w:rsidP="004E61E9" w:rsidR="004E61E9" w:rsidRPr="004E61E9">
      <w:pPr>
        <w:jc w:val="both"/>
      </w:pPr>
    </w:p>
    <w:p w:rsidRDefault="004E61E9" w:rsidP="001266ED" w:rsidR="004E61E9" w:rsidRPr="004E61E9"/>
    <w:p w:rsidRDefault="004E61E9" w:rsidP="004E61E9" w:rsidR="004E61E9" w:rsidRPr="004E61E9">
      <w:pPr>
        <w:pStyle w:val="Odlomakpopisa"/>
        <w:numPr>
          <w:ilvl w:val="0"/>
          <w:numId w:val="8"/>
        </w:numPr>
        <w:jc w:val="both"/>
        <w:rPr>
          <w:rFonts w:cs="Times New Roman" w:hAnsi="Times New Roman" w:ascii="Times New Roman"/>
          <w:sz w:val="24"/>
          <w:szCs w:val="24"/>
        </w:rPr>
      </w:pPr>
      <w:r w:rsidRPr="004E61E9">
        <w:rPr>
          <w:rFonts w:cs="Times New Roman" w:hAnsi="Times New Roman" w:ascii="Times New Roman"/>
          <w:b/>
          <w:sz w:val="24"/>
          <w:szCs w:val="24"/>
        </w:rPr>
        <w:t xml:space="preserve">MINISTARSTVO FINANCIJA – POREZNA UPRAVA </w:t>
      </w:r>
      <w:r w:rsidRPr="004E61E9">
        <w:rPr>
          <w:rFonts w:cs="Times New Roman" w:hAnsi="Times New Roman" w:ascii="Times New Roman"/>
          <w:sz w:val="24"/>
          <w:szCs w:val="24"/>
        </w:rPr>
        <w:t>Katančićeva</w:t>
      </w:r>
      <w:r w:rsidRPr="004E61E9">
        <w:rPr>
          <w:rFonts w:cs="Times New Roman" w:eastAsia="Times New Roman" w:hAnsi="Times New Roman" w:ascii="Times New Roman"/>
          <w:color w:val="000000"/>
          <w:sz w:val="24"/>
          <w:szCs w:val="24"/>
          <w:lang w:eastAsia="hr-HR"/>
        </w:rPr>
        <w:t>, 10 000 ZAGREB,</w:t>
      </w:r>
      <w:r w:rsidRPr="004E61E9">
        <w:rPr>
          <w:rFonts w:cs="Times New Roman" w:hAnsi="Times New Roman" w:ascii="Times New Roman"/>
          <w:sz w:val="24"/>
          <w:szCs w:val="24"/>
        </w:rPr>
        <w:t xml:space="preserve"> OIB: 18683136487, utvrđeni iznos tražbine iznosi 56.858,88 kn. Predstečajni vjerovnik otpušta dužniku dio utvrđene tražbine, što iznosi 7.952,90 kn. Preostali iznos tražbine od 48.905,98 kn otplatiti će se na 24 mjeseca, u jednakim mjesečnim anuitetima, uz kamatnu stopu od 4,5% godišnje. Prvi obrok dospijeva od pravomoćnosti Rješenja Trgovačkog suda o sklopljenoj nagodbi, 30 dana u mjesecu za prethodni mjesec. Svaki sljedeći mjesečni obrok dospijeva 30 dana u mjesecu do isteka razdoblja od 24 mjeseca. </w:t>
      </w:r>
    </w:p>
    <w:p w:rsidRDefault="004E61E9" w:rsidP="004E61E9" w:rsidR="004E61E9" w:rsidRPr="004E61E9">
      <w:pPr>
        <w:pStyle w:val="Odlomakpopisa"/>
        <w:jc w:val="both"/>
        <w:rPr>
          <w:rFonts w:cs="Times New Roman" w:hAnsi="Times New Roman" w:ascii="Times New Roman"/>
          <w:sz w:val="24"/>
          <w:szCs w:val="24"/>
        </w:rPr>
      </w:pPr>
      <w:r w:rsidRPr="004E61E9">
        <w:rPr>
          <w:rFonts w:cs="Times New Roman" w:hAnsi="Times New Roman" w:ascii="Times New Roman"/>
          <w:sz w:val="24"/>
          <w:szCs w:val="24"/>
        </w:rPr>
        <w:t>Ukoliko se Ročište za sklapanje predstečajne nagodbe održi u srpnju 2015. godine nakon kojeg će prvostupanjski sud tj. Trgovački sud u Bjelovaru donijeti Rješenje o potvrdi predstečajne nagodbe nad dužnikom, te isto postane pravomoćno; prvi anuitet u iznosu od 2.134,64 kn platiti će se 30.08.2015. godine, dok će se posljednji anuitet platiti 30.07.2017. godine.</w:t>
      </w:r>
    </w:p>
    <w:p w:rsidRDefault="004E61E9" w:rsidP="004E61E9" w:rsidR="004E61E9" w:rsidRPr="004E61E9">
      <w:pPr>
        <w:pStyle w:val="Odlomakpopisa"/>
        <w:jc w:val="both"/>
        <w:rPr>
          <w:rFonts w:cs="Times New Roman" w:hAnsi="Times New Roman" w:ascii="Times New Roman"/>
          <w:sz w:val="24"/>
          <w:szCs w:val="24"/>
        </w:rPr>
      </w:pPr>
    </w:p>
    <w:tbl>
      <w:tblPr>
        <w:tblW w:type="dxa" w:w="9060"/>
        <w:tblInd w:type="dxa" w:w="93"/>
        <w:tblLook w:val="04A0" w:noVBand="1" w:noHBand="0" w:lastColumn="0" w:firstColumn="1" w:lastRow="0" w:firstRow="1"/>
      </w:tblPr>
      <w:tblGrid>
        <w:gridCol w:w="663"/>
        <w:gridCol w:w="1356"/>
        <w:gridCol w:w="1176"/>
        <w:gridCol w:w="1176"/>
        <w:gridCol w:w="1176"/>
        <w:gridCol w:w="1056"/>
        <w:gridCol w:w="1220"/>
        <w:gridCol w:w="1920"/>
      </w:tblGrid>
      <w:tr w:rsidTr="00512B35" w:rsidR="004E61E9" w:rsidRPr="004E61E9">
        <w:trPr>
          <w:trHeight w:val="750"/>
        </w:trPr>
        <w:tc>
          <w:tcPr>
            <w:tcW w:type="dxa" w:w="640"/>
            <w:tcBorders>
              <w:top w:space="0" w:sz="4" w:color="auto" w:val="single"/>
              <w:left w:space="0" w:sz="4" w:color="auto" w:val="single"/>
              <w:bottom w:space="0" w:sz="4" w:color="auto" w:val="single"/>
              <w:right w:space="0" w:sz="4" w:color="auto" w:val="single"/>
            </w:tcBorders>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Red. Br.</w:t>
            </w:r>
          </w:p>
        </w:tc>
        <w:tc>
          <w:tcPr>
            <w:tcW w:type="dxa" w:w="1180"/>
            <w:tcBorders>
              <w:top w:space="0" w:sz="4" w:color="auto" w:val="single"/>
              <w:left w:val="nil"/>
              <w:bottom w:space="0" w:sz="4" w:color="auto" w:val="single"/>
              <w:right w:space="0" w:sz="4" w:color="auto" w:val="single"/>
            </w:tcBorders>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Datum</w:t>
            </w:r>
          </w:p>
        </w:tc>
        <w:tc>
          <w:tcPr>
            <w:tcW w:type="dxa" w:w="1040"/>
            <w:tcBorders>
              <w:top w:space="0" w:sz="4" w:color="auto" w:val="single"/>
              <w:left w:val="nil"/>
              <w:bottom w:space="0" w:sz="4" w:color="auto" w:val="single"/>
              <w:right w:space="0" w:sz="4" w:color="auto" w:val="single"/>
            </w:tcBorders>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Iznos glavnice</w:t>
            </w:r>
          </w:p>
        </w:tc>
        <w:tc>
          <w:tcPr>
            <w:tcW w:type="dxa" w:w="1060"/>
            <w:tcBorders>
              <w:top w:space="0" w:sz="4" w:color="auto" w:val="single"/>
              <w:left w:val="nil"/>
              <w:bottom w:space="0" w:sz="4" w:color="auto" w:val="single"/>
              <w:right w:space="0" w:sz="4" w:color="auto" w:val="single"/>
            </w:tcBorders>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Otplatni obrok</w:t>
            </w:r>
          </w:p>
        </w:tc>
        <w:tc>
          <w:tcPr>
            <w:tcW w:type="dxa" w:w="1040"/>
            <w:tcBorders>
              <w:top w:space="0" w:sz="4" w:color="auto" w:val="single"/>
              <w:left w:val="nil"/>
              <w:bottom w:space="0" w:sz="4" w:color="auto" w:val="single"/>
              <w:right w:space="0" w:sz="4" w:color="auto" w:val="single"/>
            </w:tcBorders>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Otplatna kvota</w:t>
            </w:r>
          </w:p>
        </w:tc>
        <w:tc>
          <w:tcPr>
            <w:tcW w:type="dxa" w:w="960"/>
            <w:tcBorders>
              <w:top w:space="0" w:sz="4" w:color="auto" w:val="single"/>
              <w:left w:val="nil"/>
              <w:bottom w:space="0" w:sz="4" w:color="auto" w:val="single"/>
              <w:right w:space="0" w:sz="4" w:color="auto" w:val="single"/>
            </w:tcBorders>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Uplata kamate</w:t>
            </w:r>
          </w:p>
        </w:tc>
        <w:tc>
          <w:tcPr>
            <w:tcW w:type="dxa" w:w="1220"/>
            <w:tcBorders>
              <w:top w:space="0" w:sz="4" w:color="auto" w:val="single"/>
              <w:left w:val="nil"/>
              <w:bottom w:space="0" w:sz="4" w:color="auto" w:val="single"/>
              <w:right w:space="0" w:sz="4" w:color="auto" w:val="single"/>
            </w:tcBorders>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Stanje glavnice</w:t>
            </w:r>
          </w:p>
        </w:tc>
        <w:tc>
          <w:tcPr>
            <w:tcW w:type="dxa" w:w="1920"/>
            <w:tcBorders>
              <w:top w:space="0" w:sz="4" w:color="auto" w:val="single"/>
              <w:left w:val="nil"/>
              <w:bottom w:space="0" w:sz="4" w:color="auto" w:val="single"/>
              <w:right w:space="0" w:sz="4" w:color="auto" w:val="single"/>
            </w:tcBorders>
            <w:shd w:fill="CCC0DA" w:color="000000" w:val="clear"/>
            <w:vAlign w:val="center"/>
            <w:hideMark/>
          </w:tcPr>
          <w:p w:rsidRDefault="004E61E9" w:rsidP="00512B35" w:rsidR="004E61E9" w:rsidRPr="004E61E9">
            <w:pPr>
              <w:jc w:val="center"/>
              <w:rPr>
                <w:color w:val="000000"/>
                <w:lang w:eastAsia="hr-HR"/>
              </w:rPr>
            </w:pPr>
            <w:r w:rsidRPr="004E61E9">
              <w:rPr>
                <w:color w:val="000000"/>
                <w:lang w:eastAsia="hr-HR"/>
              </w:rPr>
              <w:t>Napomena</w:t>
            </w:r>
          </w:p>
        </w:tc>
      </w:tr>
      <w:tr w:rsidTr="00512B35" w:rsidR="004E61E9" w:rsidRPr="004E61E9">
        <w:trPr>
          <w:trHeight w:val="300"/>
        </w:trPr>
        <w:tc>
          <w:tcPr>
            <w:tcW w:type="dxa" w:w="640"/>
            <w:tcBorders>
              <w:top w:val="nil"/>
              <w:left w:space="0" w:sz="4" w:color="auto" w:val="single"/>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0</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30.07.2015.</w:t>
            </w:r>
          </w:p>
        </w:tc>
        <w:tc>
          <w:tcPr>
            <w:tcW w:type="dxa" w:w="1040"/>
            <w:tcBorders>
              <w:top w:val="nil"/>
              <w:left w:val="nil"/>
              <w:bottom w:space="0" w:sz="4" w:color="auto" w:val="single"/>
              <w:right w:space="0" w:sz="4" w:color="auto" w:val="single"/>
            </w:tcBorders>
            <w:shd w:fill="auto" w:color="auto" w:val="clear"/>
            <w:vAlign w:val="bottom"/>
            <w:hideMark/>
          </w:tcPr>
          <w:p w:rsidRDefault="004E61E9" w:rsidP="00512B35" w:rsidR="004E61E9" w:rsidRPr="004E61E9">
            <w:pPr>
              <w:jc w:val="right"/>
              <w:rPr>
                <w:color w:val="000000"/>
                <w:lang w:eastAsia="hr-HR"/>
              </w:rPr>
            </w:pPr>
            <w:r w:rsidRPr="004E61E9">
              <w:rPr>
                <w:color w:val="000000"/>
                <w:lang w:eastAsia="hr-HR"/>
              </w:rPr>
              <w:t>48.905,98</w:t>
            </w:r>
          </w:p>
        </w:tc>
        <w:tc>
          <w:tcPr>
            <w:tcW w:type="dxa" w:w="1060"/>
            <w:tcBorders>
              <w:top w:val="nil"/>
              <w:left w:val="nil"/>
              <w:bottom w:space="0" w:sz="4" w:color="auto" w:val="single"/>
              <w:right w:space="0" w:sz="4" w:color="auto" w:val="single"/>
            </w:tcBorders>
            <w:shd w:fill="auto" w:color="auto" w:val="clear"/>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40"/>
            <w:tcBorders>
              <w:top w:val="nil"/>
              <w:left w:val="nil"/>
              <w:bottom w:space="0" w:sz="4" w:color="auto" w:val="single"/>
              <w:right w:space="0" w:sz="4" w:color="auto" w:val="single"/>
            </w:tcBorders>
            <w:shd w:fill="auto" w:color="auto" w:val="clear"/>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960"/>
            <w:tcBorders>
              <w:top w:val="nil"/>
              <w:left w:val="nil"/>
              <w:bottom w:space="0" w:sz="4" w:color="auto" w:val="single"/>
              <w:right w:space="0" w:sz="4" w:color="auto" w:val="single"/>
            </w:tcBorders>
            <w:shd w:fill="auto" w:color="auto" w:val="clear"/>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220"/>
            <w:tcBorders>
              <w:top w:val="nil"/>
              <w:left w:val="nil"/>
              <w:bottom w:space="0" w:sz="4" w:color="auto" w:val="single"/>
              <w:right w:space="0" w:sz="4" w:color="auto" w:val="single"/>
            </w:tcBorders>
            <w:shd w:fill="auto" w:color="auto" w:val="clear"/>
            <w:vAlign w:val="bottom"/>
            <w:hideMark/>
          </w:tcPr>
          <w:p w:rsidRDefault="004E61E9" w:rsidP="00512B35" w:rsidR="004E61E9" w:rsidRPr="004E61E9">
            <w:pPr>
              <w:jc w:val="right"/>
              <w:rPr>
                <w:color w:val="000000"/>
                <w:lang w:eastAsia="hr-HR"/>
              </w:rPr>
            </w:pPr>
            <w:r w:rsidRPr="004E61E9">
              <w:rPr>
                <w:color w:val="000000"/>
                <w:lang w:eastAsia="hr-HR"/>
              </w:rPr>
              <w:t>48.905,98</w:t>
            </w:r>
          </w:p>
        </w:tc>
        <w:tc>
          <w:tcPr>
            <w:tcW w:type="dxa" w:w="192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 </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30.08.2015.</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1.951,24</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183,40</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46.954,74</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30.09.2015.</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1.958,56</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176,08</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44.996,18</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3</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30.10.2015.</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1.965,90</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168,74</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43.030,27</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3.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4</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30.11.2015.</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1.973,28</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161,36</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41.057,00</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4.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5</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30.12.2015</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1.980,68</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153,96</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39.076,32</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5.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6</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30.01.2016.</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1.988,10</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146,54</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37.088,22</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6.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7</w:t>
            </w:r>
          </w:p>
        </w:tc>
        <w:tc>
          <w:tcPr>
            <w:tcW w:type="dxa" w:w="118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center"/>
              <w:rPr>
                <w:color w:val="000000"/>
                <w:lang w:eastAsia="hr-HR"/>
              </w:rPr>
            </w:pPr>
            <w:r w:rsidRPr="004E61E9">
              <w:rPr>
                <w:color w:val="000000"/>
                <w:lang w:eastAsia="hr-HR"/>
              </w:rPr>
              <w:t>29.02.2015.</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1.995,56</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139,08</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35.092,66</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7.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8</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30.03.2016.</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2.003,04</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131,60</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33.089,62</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8.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9</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30.04.2016.</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2.010,55</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124,09</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31.079,06</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9.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10</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30.05.2016.</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2.018,09</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116,55</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29.060,97</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10.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11</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30.06.2016.</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2.025,66</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108,98</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27.035,31</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11.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12</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30.07.2016.</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2.033,26</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101,38</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25.002,05</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12.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13</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30.08.2016.</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2.040,88</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93,76</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22.961,17</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13.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14</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30.09.2016.</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2.048,54</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86,10</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20.912,63</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14.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15</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30.10.2016.</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2.056,22</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78,42</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18.856,41</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15. rata otplate</w:t>
            </w:r>
          </w:p>
        </w:tc>
      </w:tr>
      <w:tr w:rsidTr="00512B35" w:rsidR="004E61E9" w:rsidRPr="004E61E9">
        <w:trPr>
          <w:trHeight w:val="255"/>
        </w:trPr>
        <w:tc>
          <w:tcPr>
            <w:tcW w:type="dxa" w:w="64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lastRenderedPageBreak/>
              <w:t>16</w:t>
            </w:r>
          </w:p>
        </w:tc>
        <w:tc>
          <w:tcPr>
            <w:tcW w:type="dxa" w:w="11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30.11.2016.</w:t>
            </w:r>
          </w:p>
        </w:tc>
        <w:tc>
          <w:tcPr>
            <w:tcW w:type="dxa" w:w="10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2.063,93</w:t>
            </w:r>
          </w:p>
        </w:tc>
        <w:tc>
          <w:tcPr>
            <w:tcW w:type="dxa" w:w="9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70,71</w:t>
            </w:r>
          </w:p>
        </w:tc>
        <w:tc>
          <w:tcPr>
            <w:tcW w:type="dxa" w:w="122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16.792,48</w:t>
            </w:r>
          </w:p>
        </w:tc>
        <w:tc>
          <w:tcPr>
            <w:tcW w:type="dxa" w:w="192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16. rata otplate</w:t>
            </w:r>
          </w:p>
        </w:tc>
      </w:tr>
      <w:tr w:rsidTr="00512B35" w:rsidR="004E61E9" w:rsidRPr="004E61E9">
        <w:trPr>
          <w:trHeight w:val="255"/>
        </w:trPr>
        <w:tc>
          <w:tcPr>
            <w:tcW w:type="dxa" w:w="64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17</w:t>
            </w:r>
          </w:p>
        </w:tc>
        <w:tc>
          <w:tcPr>
            <w:tcW w:type="dxa" w:w="1180"/>
            <w:tcBorders>
              <w:top w:space="0" w:sz="4" w:color="auto" w:val="single"/>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30.12.2016.</w:t>
            </w:r>
          </w:p>
        </w:tc>
        <w:tc>
          <w:tcPr>
            <w:tcW w:type="dxa" w:w="1040"/>
            <w:tcBorders>
              <w:top w:space="0" w:sz="4" w:color="auto" w:val="single"/>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space="0" w:sz="4" w:color="auto" w:val="single"/>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space="0" w:sz="4" w:color="auto" w:val="single"/>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2.071,67</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62,97</w:t>
            </w:r>
          </w:p>
        </w:tc>
        <w:tc>
          <w:tcPr>
            <w:tcW w:type="dxa" w:w="1220"/>
            <w:tcBorders>
              <w:top w:space="0" w:sz="4" w:color="auto" w:val="single"/>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14.720,82</w:t>
            </w:r>
          </w:p>
        </w:tc>
        <w:tc>
          <w:tcPr>
            <w:tcW w:type="dxa" w:w="1920"/>
            <w:tcBorders>
              <w:top w:space="0" w:sz="4" w:color="auto" w:val="single"/>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17.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18</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30.01.2017.</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2.079,44</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55,20</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12.641,38</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18.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19</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28.02.2017.</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2.087,23</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47,41</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10.554,14</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19.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20</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30.03.2017.</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2.095,06</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39,58</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8.459,08</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20.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21</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30.04.2017.</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2.102,92</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31,72</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6.356,16</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21.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22</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30.05.2017.</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2.110,80</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23,84</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4.245,36</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22.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23</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30.06.2017.</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2.118,72</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15,92</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2.126,64</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23. rata otplate</w:t>
            </w:r>
          </w:p>
        </w:tc>
      </w:tr>
      <w:tr w:rsidTr="00512B35" w:rsidR="004E61E9" w:rsidRPr="004E61E9">
        <w:trPr>
          <w:trHeight w:val="255"/>
        </w:trPr>
        <w:tc>
          <w:tcPr>
            <w:tcW w:type="dxa" w:w="64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24</w:t>
            </w:r>
          </w:p>
        </w:tc>
        <w:tc>
          <w:tcPr>
            <w:tcW w:type="dxa" w:w="1180"/>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jc w:val="center"/>
              <w:rPr>
                <w:color w:val="000000"/>
                <w:lang w:eastAsia="hr-HR"/>
              </w:rPr>
            </w:pPr>
            <w:r w:rsidRPr="004E61E9">
              <w:rPr>
                <w:color w:val="000000"/>
                <w:lang w:eastAsia="hr-HR"/>
              </w:rPr>
              <w:t>30.07.2017.</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0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2.134,64</w:t>
            </w:r>
          </w:p>
        </w:tc>
        <w:tc>
          <w:tcPr>
            <w:tcW w:type="dxa" w:w="104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2.126,64</w:t>
            </w:r>
          </w:p>
        </w:tc>
        <w:tc>
          <w:tcPr>
            <w:tcW w:type="dxa" w:w="96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7,97</w:t>
            </w:r>
          </w:p>
        </w:tc>
        <w:tc>
          <w:tcPr>
            <w:tcW w:type="dxa" w:w="1220"/>
            <w:tcBorders>
              <w:top w:val="nil"/>
              <w:left w:val="nil"/>
              <w:bottom w:space="0" w:sz="4" w:color="auto" w:val="single"/>
              <w:right w:space="0" w:sz="4" w:color="auto" w:val="single"/>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0,00</w:t>
            </w:r>
          </w:p>
        </w:tc>
        <w:tc>
          <w:tcPr>
            <w:tcW w:type="dxa" w:w="192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24. rata otplate</w:t>
            </w:r>
          </w:p>
        </w:tc>
      </w:tr>
      <w:tr w:rsidTr="00512B35" w:rsidR="004E61E9" w:rsidRPr="004E61E9">
        <w:trPr>
          <w:trHeight w:val="390"/>
        </w:trPr>
        <w:tc>
          <w:tcPr>
            <w:tcW w:type="dxa" w:w="640"/>
            <w:tcBorders>
              <w:top w:val="nil"/>
              <w:left w:val="nil"/>
              <w:bottom w:val="nil"/>
              <w:right w:val="nil"/>
            </w:tcBorders>
            <w:shd w:fill="auto" w:color="auto" w:val="clear"/>
            <w:noWrap/>
            <w:vAlign w:val="bottom"/>
            <w:hideMark/>
          </w:tcPr>
          <w:p w:rsidRDefault="004E61E9" w:rsidP="00512B35" w:rsidR="004E61E9" w:rsidRPr="004E61E9">
            <w:pPr>
              <w:rPr>
                <w:color w:val="000000"/>
                <w:lang w:eastAsia="hr-HR"/>
              </w:rPr>
            </w:pPr>
          </w:p>
        </w:tc>
        <w:tc>
          <w:tcPr>
            <w:tcW w:type="dxa" w:w="1180"/>
            <w:tcBorders>
              <w:top w:val="nil"/>
              <w:left w:val="nil"/>
              <w:bottom w:val="nil"/>
              <w:right w:val="nil"/>
            </w:tcBorders>
            <w:shd w:fill="auto" w:color="auto" w:val="clear"/>
            <w:noWrap/>
            <w:vAlign w:val="bottom"/>
            <w:hideMark/>
          </w:tcPr>
          <w:p w:rsidRDefault="004E61E9" w:rsidP="00512B35" w:rsidR="004E61E9" w:rsidRPr="004E61E9">
            <w:pPr>
              <w:rPr>
                <w:color w:val="000000"/>
                <w:lang w:eastAsia="hr-HR"/>
              </w:rPr>
            </w:pPr>
          </w:p>
        </w:tc>
        <w:tc>
          <w:tcPr>
            <w:tcW w:type="dxa" w:w="1040"/>
            <w:tcBorders>
              <w:top w:val="nil"/>
              <w:left w:val="nil"/>
              <w:bottom w:space="0" w:sz="8" w:color="auto" w:val="single"/>
              <w:right w:val="nil"/>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48.905,98</w:t>
            </w:r>
          </w:p>
        </w:tc>
        <w:tc>
          <w:tcPr>
            <w:tcW w:type="dxa" w:w="1060"/>
            <w:tcBorders>
              <w:top w:val="nil"/>
              <w:left w:val="nil"/>
              <w:bottom w:space="0" w:sz="8" w:color="auto" w:val="single"/>
              <w:right w:val="nil"/>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51.231,36</w:t>
            </w:r>
          </w:p>
        </w:tc>
        <w:tc>
          <w:tcPr>
            <w:tcW w:type="dxa" w:w="1040"/>
            <w:tcBorders>
              <w:top w:val="nil"/>
              <w:left w:val="nil"/>
              <w:bottom w:space="0" w:sz="8" w:color="auto" w:val="single"/>
              <w:right w:val="nil"/>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48.905,98</w:t>
            </w:r>
          </w:p>
        </w:tc>
        <w:tc>
          <w:tcPr>
            <w:tcW w:type="dxa" w:w="960"/>
            <w:tcBorders>
              <w:top w:val="nil"/>
              <w:left w:val="nil"/>
              <w:bottom w:space="0" w:sz="8" w:color="auto" w:val="single"/>
              <w:right w:val="nil"/>
            </w:tcBorders>
            <w:shd w:fill="auto" w:color="auto" w:val="clear"/>
            <w:noWrap/>
            <w:vAlign w:val="bottom"/>
            <w:hideMark/>
          </w:tcPr>
          <w:p w:rsidRDefault="004E61E9" w:rsidP="00512B35" w:rsidR="004E61E9" w:rsidRPr="004E61E9">
            <w:pPr>
              <w:jc w:val="right"/>
              <w:rPr>
                <w:color w:val="000000"/>
                <w:lang w:eastAsia="hr-HR"/>
              </w:rPr>
            </w:pPr>
            <w:r w:rsidRPr="004E61E9">
              <w:rPr>
                <w:color w:val="000000"/>
                <w:lang w:eastAsia="hr-HR"/>
              </w:rPr>
              <w:t>2.325,38</w:t>
            </w:r>
          </w:p>
        </w:tc>
        <w:tc>
          <w:tcPr>
            <w:tcW w:type="dxa" w:w="1220"/>
            <w:tcBorders>
              <w:top w:val="nil"/>
              <w:left w:val="nil"/>
              <w:bottom w:val="nil"/>
              <w:right w:val="nil"/>
            </w:tcBorders>
            <w:shd w:fill="auto" w:color="auto" w:val="clear"/>
            <w:noWrap/>
            <w:vAlign w:val="bottom"/>
            <w:hideMark/>
          </w:tcPr>
          <w:p w:rsidRDefault="004E61E9" w:rsidP="00512B35" w:rsidR="004E61E9" w:rsidRPr="004E61E9">
            <w:pPr>
              <w:jc w:val="right"/>
              <w:rPr>
                <w:color w:val="000000"/>
                <w:lang w:eastAsia="hr-HR"/>
              </w:rPr>
            </w:pPr>
          </w:p>
        </w:tc>
        <w:tc>
          <w:tcPr>
            <w:tcW w:type="dxa" w:w="1920"/>
            <w:tcBorders>
              <w:top w:val="nil"/>
              <w:left w:val="nil"/>
              <w:bottom w:val="nil"/>
              <w:right w:val="nil"/>
            </w:tcBorders>
            <w:shd w:fill="auto" w:color="auto" w:val="clear"/>
            <w:noWrap/>
            <w:vAlign w:val="center"/>
            <w:hideMark/>
          </w:tcPr>
          <w:p w:rsidRDefault="004E61E9" w:rsidP="00512B35" w:rsidR="004E61E9" w:rsidRPr="004E61E9">
            <w:pPr>
              <w:jc w:val="center"/>
              <w:rPr>
                <w:color w:val="000000"/>
                <w:lang w:eastAsia="hr-HR"/>
              </w:rPr>
            </w:pPr>
          </w:p>
        </w:tc>
      </w:tr>
    </w:tbl>
    <w:p w:rsidRDefault="004E61E9" w:rsidP="004E61E9" w:rsidR="004E61E9" w:rsidRPr="004E61E9">
      <w:pPr>
        <w:jc w:val="both"/>
      </w:pPr>
    </w:p>
    <w:p w:rsidRDefault="004E61E9" w:rsidP="004E61E9" w:rsidR="004E61E9" w:rsidRPr="004E61E9">
      <w:pPr>
        <w:jc w:val="both"/>
      </w:pPr>
    </w:p>
    <w:p w:rsidRDefault="001266ED" w:rsidP="004E61E9" w:rsidR="001266ED">
      <w:pPr>
        <w:pBdr>
          <w:bottom w:space="1" w:sz="4" w:color="auto" w:val="single"/>
        </w:pBdr>
        <w:jc w:val="both"/>
      </w:pPr>
    </w:p>
    <w:p w:rsidRDefault="004E61E9" w:rsidP="004E61E9" w:rsidR="004E61E9" w:rsidRPr="001266ED">
      <w:pPr>
        <w:pBdr>
          <w:bottom w:space="1" w:sz="4" w:color="auto" w:val="single"/>
        </w:pBdr>
        <w:jc w:val="both"/>
        <w:rPr>
          <w:b/>
        </w:rPr>
      </w:pPr>
      <w:r w:rsidRPr="001266ED">
        <w:rPr>
          <w:b/>
        </w:rPr>
        <w:t>II.GRUPA: FINANCIJSKE INSTITUCIJE</w:t>
      </w:r>
    </w:p>
    <w:p w:rsidRDefault="004E61E9" w:rsidP="004E61E9" w:rsidR="004E61E9" w:rsidRPr="004E61E9">
      <w:pPr>
        <w:jc w:val="both"/>
        <w:rPr>
          <w:b/>
        </w:rPr>
      </w:pPr>
    </w:p>
    <w:tbl>
      <w:tblPr>
        <w:tblW w:type="dxa" w:w="9092"/>
        <w:tblInd w:type="dxa" w:w="93"/>
        <w:tblLook w:val="04A0" w:noVBand="1" w:noHBand="0" w:lastColumn="0" w:firstColumn="1" w:lastRow="0" w:firstRow="1"/>
      </w:tblPr>
      <w:tblGrid>
        <w:gridCol w:w="723"/>
        <w:gridCol w:w="1595"/>
        <w:gridCol w:w="2556"/>
        <w:gridCol w:w="1360"/>
        <w:gridCol w:w="1290"/>
        <w:gridCol w:w="1641"/>
      </w:tblGrid>
      <w:tr w:rsidTr="00512B35" w:rsidR="004E61E9" w:rsidRPr="004E61E9">
        <w:trPr>
          <w:trHeight w:val="1077"/>
        </w:trPr>
        <w:tc>
          <w:tcPr>
            <w:tcW w:type="dxa" w:w="650"/>
            <w:tcBorders>
              <w:top w:space="0" w:sz="4" w:color="auto" w:val="single"/>
              <w:left w:space="0" w:sz="4" w:color="auto" w:val="single"/>
              <w:bottom w:space="0" w:sz="4" w:color="auto" w:val="single"/>
              <w:right w:space="0" w:sz="4" w:color="auto" w:val="single"/>
            </w:tcBorders>
            <w:shd w:fill="CCC0DA" w:color="000000" w:val="clear"/>
            <w:noWrap/>
            <w:vAlign w:val="center"/>
            <w:hideMark/>
          </w:tcPr>
          <w:p w:rsidRDefault="004E61E9" w:rsidP="00512B35" w:rsidR="004E61E9" w:rsidRPr="004E61E9">
            <w:pPr>
              <w:jc w:val="center"/>
              <w:rPr>
                <w:b/>
                <w:bCs/>
                <w:color w:val="000000"/>
                <w:lang w:eastAsia="hr-HR"/>
              </w:rPr>
            </w:pPr>
            <w:r w:rsidRPr="004E61E9">
              <w:rPr>
                <w:b/>
                <w:bCs/>
                <w:color w:val="000000"/>
                <w:lang w:eastAsia="hr-HR"/>
              </w:rPr>
              <w:t>RBR</w:t>
            </w:r>
          </w:p>
        </w:tc>
        <w:tc>
          <w:tcPr>
            <w:tcW w:type="dxa" w:w="1595"/>
            <w:tcBorders>
              <w:top w:space="0" w:sz="4" w:color="auto" w:val="single"/>
              <w:left w:val="nil"/>
              <w:bottom w:space="0" w:sz="4" w:color="auto" w:val="single"/>
              <w:right w:space="0" w:sz="4" w:color="auto" w:val="single"/>
            </w:tcBorders>
            <w:shd w:fill="CCC0DA" w:color="000000" w:val="clear"/>
            <w:noWrap/>
            <w:vAlign w:val="center"/>
            <w:hideMark/>
          </w:tcPr>
          <w:p w:rsidRDefault="004E61E9" w:rsidP="00512B35" w:rsidR="004E61E9" w:rsidRPr="004E61E9">
            <w:pPr>
              <w:jc w:val="center"/>
              <w:rPr>
                <w:b/>
                <w:bCs/>
                <w:color w:val="000000"/>
                <w:lang w:eastAsia="hr-HR"/>
              </w:rPr>
            </w:pPr>
            <w:r w:rsidRPr="004E61E9">
              <w:rPr>
                <w:b/>
                <w:bCs/>
                <w:color w:val="000000"/>
                <w:lang w:eastAsia="hr-HR"/>
              </w:rPr>
              <w:t>OIB</w:t>
            </w:r>
          </w:p>
        </w:tc>
        <w:tc>
          <w:tcPr>
            <w:tcW w:type="dxa" w:w="2556"/>
            <w:tcBorders>
              <w:top w:space="0" w:sz="4" w:color="auto" w:val="single"/>
              <w:left w:val="nil"/>
              <w:bottom w:space="0" w:sz="4" w:color="auto" w:val="single"/>
              <w:right w:space="0" w:sz="4" w:color="auto" w:val="single"/>
            </w:tcBorders>
            <w:shd w:fill="CCC0DA" w:color="000000" w:val="clear"/>
            <w:noWrap/>
            <w:vAlign w:val="center"/>
            <w:hideMark/>
          </w:tcPr>
          <w:p w:rsidRDefault="004E61E9" w:rsidP="00512B35" w:rsidR="004E61E9" w:rsidRPr="004E61E9">
            <w:pPr>
              <w:jc w:val="center"/>
              <w:rPr>
                <w:b/>
                <w:bCs/>
                <w:color w:val="000000"/>
                <w:lang w:eastAsia="hr-HR"/>
              </w:rPr>
            </w:pPr>
            <w:r w:rsidRPr="004E61E9">
              <w:rPr>
                <w:b/>
                <w:bCs/>
                <w:color w:val="000000"/>
                <w:lang w:eastAsia="hr-HR"/>
              </w:rPr>
              <w:t>NAZIV VJEROVNIKA</w:t>
            </w:r>
          </w:p>
        </w:tc>
        <w:tc>
          <w:tcPr>
            <w:tcW w:type="dxa" w:w="1360"/>
            <w:tcBorders>
              <w:top w:space="0" w:sz="4" w:color="auto" w:val="single"/>
              <w:left w:val="nil"/>
              <w:bottom w:space="0" w:sz="4" w:color="auto" w:val="single"/>
              <w:right w:space="0" w:sz="4" w:color="auto" w:val="single"/>
            </w:tcBorders>
            <w:shd w:fill="CCC0DA" w:color="000000" w:val="clear"/>
            <w:noWrap/>
            <w:vAlign w:val="center"/>
            <w:hideMark/>
          </w:tcPr>
          <w:p w:rsidRDefault="004E61E9" w:rsidP="00512B35" w:rsidR="004E61E9" w:rsidRPr="004E61E9">
            <w:pPr>
              <w:jc w:val="center"/>
              <w:rPr>
                <w:b/>
                <w:bCs/>
                <w:color w:val="000000"/>
                <w:lang w:eastAsia="hr-HR"/>
              </w:rPr>
            </w:pPr>
            <w:r w:rsidRPr="004E61E9">
              <w:rPr>
                <w:b/>
                <w:bCs/>
                <w:color w:val="000000"/>
                <w:lang w:eastAsia="hr-HR"/>
              </w:rPr>
              <w:t>IZNOS</w:t>
            </w:r>
          </w:p>
        </w:tc>
        <w:tc>
          <w:tcPr>
            <w:tcW w:type="dxa" w:w="1290"/>
            <w:tcBorders>
              <w:top w:space="0" w:sz="4" w:color="auto" w:val="single"/>
              <w:left w:val="nil"/>
              <w:bottom w:space="0" w:sz="4" w:color="auto" w:val="single"/>
              <w:right w:space="0" w:sz="4" w:color="auto" w:val="single"/>
            </w:tcBorders>
            <w:shd w:fill="CCC0DA" w:color="000000" w:val="clear"/>
            <w:vAlign w:val="center"/>
            <w:hideMark/>
          </w:tcPr>
          <w:p w:rsidRDefault="004E61E9" w:rsidP="00512B35" w:rsidR="004E61E9" w:rsidRPr="004E61E9">
            <w:pPr>
              <w:jc w:val="center"/>
              <w:rPr>
                <w:b/>
                <w:bCs/>
                <w:color w:val="000000"/>
                <w:lang w:eastAsia="hr-HR"/>
              </w:rPr>
            </w:pPr>
            <w:r w:rsidRPr="004E61E9">
              <w:rPr>
                <w:b/>
                <w:bCs/>
                <w:color w:val="000000"/>
                <w:lang w:eastAsia="hr-HR"/>
              </w:rPr>
              <w:t xml:space="preserve">Otpis </w:t>
            </w:r>
          </w:p>
        </w:tc>
        <w:tc>
          <w:tcPr>
            <w:tcW w:type="dxa" w:w="1641"/>
            <w:tcBorders>
              <w:top w:space="0" w:sz="4" w:color="auto" w:val="single"/>
              <w:left w:val="nil"/>
              <w:bottom w:space="0" w:sz="4" w:color="auto" w:val="single"/>
              <w:right w:space="0" w:sz="4" w:color="auto" w:val="single"/>
            </w:tcBorders>
            <w:shd w:fill="CCC0DA" w:color="000000" w:val="clear"/>
            <w:vAlign w:val="center"/>
            <w:hideMark/>
          </w:tcPr>
          <w:p w:rsidRDefault="004E61E9" w:rsidP="00512B35" w:rsidR="004E61E9" w:rsidRPr="004E61E9">
            <w:pPr>
              <w:jc w:val="center"/>
              <w:rPr>
                <w:b/>
                <w:bCs/>
                <w:color w:val="000000"/>
                <w:lang w:eastAsia="hr-HR"/>
              </w:rPr>
            </w:pPr>
            <w:r w:rsidRPr="004E61E9">
              <w:rPr>
                <w:b/>
                <w:bCs/>
                <w:color w:val="000000"/>
                <w:lang w:eastAsia="hr-HR"/>
              </w:rPr>
              <w:t>OSTAJE ZA OTPLATITI</w:t>
            </w:r>
          </w:p>
        </w:tc>
      </w:tr>
      <w:tr w:rsidTr="00512B35" w:rsidR="004E61E9" w:rsidRPr="004E61E9">
        <w:trPr>
          <w:trHeight w:val="654"/>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1</w:t>
            </w:r>
          </w:p>
        </w:tc>
        <w:tc>
          <w:tcPr>
            <w:tcW w:type="dxa" w:w="1595"/>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center"/>
              <w:rPr>
                <w:color w:val="000000"/>
                <w:lang w:eastAsia="hr-HR"/>
              </w:rPr>
            </w:pPr>
            <w:r w:rsidRPr="004E61E9">
              <w:rPr>
                <w:color w:val="000000"/>
                <w:lang w:eastAsia="hr-HR"/>
              </w:rPr>
              <w:t>92963223473</w:t>
            </w:r>
          </w:p>
        </w:tc>
        <w:tc>
          <w:tcPr>
            <w:tcW w:type="dxa" w:w="2556"/>
            <w:tcBorders>
              <w:top w:val="nil"/>
              <w:left w:val="nil"/>
              <w:bottom w:space="0" w:sz="4" w:color="auto" w:val="single"/>
              <w:right w:space="0" w:sz="4" w:color="auto" w:val="single"/>
            </w:tcBorders>
            <w:shd w:fill="auto" w:color="auto" w:val="clear"/>
            <w:vAlign w:val="center"/>
            <w:hideMark/>
          </w:tcPr>
          <w:p w:rsidRDefault="004E61E9" w:rsidP="00512B35" w:rsidR="004E61E9" w:rsidRPr="004E61E9">
            <w:pPr>
              <w:rPr>
                <w:color w:val="000000"/>
                <w:lang w:eastAsia="hr-HR"/>
              </w:rPr>
            </w:pPr>
            <w:r w:rsidRPr="004E61E9">
              <w:rPr>
                <w:color w:val="000000"/>
                <w:lang w:eastAsia="hr-HR"/>
              </w:rPr>
              <w:t>ZAGREBAČKA BANKA d.d.</w:t>
            </w:r>
          </w:p>
        </w:tc>
        <w:tc>
          <w:tcPr>
            <w:tcW w:type="dxa" w:w="1360"/>
            <w:tcBorders>
              <w:top w:val="nil"/>
              <w:left w:val="nil"/>
              <w:bottom w:space="0" w:sz="4" w:color="auto" w:val="single"/>
              <w:right w:space="0" w:sz="4" w:color="auto" w:val="single"/>
            </w:tcBorders>
            <w:shd w:fill="auto" w:color="auto" w:val="clear"/>
            <w:noWrap/>
            <w:vAlign w:val="center"/>
            <w:hideMark/>
          </w:tcPr>
          <w:p w:rsidRDefault="004E61E9" w:rsidP="00512B35" w:rsidR="004E61E9" w:rsidRPr="004E61E9">
            <w:pPr>
              <w:jc w:val="right"/>
              <w:rPr>
                <w:color w:val="000000"/>
                <w:lang w:eastAsia="hr-HR"/>
              </w:rPr>
            </w:pPr>
            <w:r w:rsidRPr="004E61E9">
              <w:rPr>
                <w:color w:val="000000"/>
                <w:lang w:eastAsia="hr-HR"/>
              </w:rPr>
              <w:t>34.324,96</w:t>
            </w:r>
          </w:p>
        </w:tc>
        <w:tc>
          <w:tcPr>
            <w:tcW w:type="dxa" w:w="1290"/>
            <w:tcBorders>
              <w:top w:val="nil"/>
              <w:left w:val="nil"/>
              <w:bottom w:space="0" w:sz="4" w:color="auto" w:val="single"/>
              <w:right w:space="0" w:sz="4" w:color="auto" w:val="single"/>
            </w:tcBorders>
            <w:shd w:fill="FFFFFF" w:color="000000" w:val="clear"/>
            <w:noWrap/>
            <w:vAlign w:val="center"/>
            <w:hideMark/>
          </w:tcPr>
          <w:p w:rsidRDefault="004E61E9" w:rsidP="00512B35" w:rsidR="004E61E9" w:rsidRPr="004E61E9">
            <w:pPr>
              <w:jc w:val="right"/>
              <w:rPr>
                <w:color w:val="000000"/>
                <w:lang w:eastAsia="hr-HR"/>
              </w:rPr>
            </w:pPr>
            <w:r w:rsidRPr="004E61E9">
              <w:rPr>
                <w:color w:val="000000"/>
                <w:lang w:eastAsia="hr-HR"/>
              </w:rPr>
              <w:t>0,00</w:t>
            </w:r>
          </w:p>
        </w:tc>
        <w:tc>
          <w:tcPr>
            <w:tcW w:type="dxa" w:w="1641"/>
            <w:tcBorders>
              <w:top w:val="nil"/>
              <w:left w:val="nil"/>
              <w:bottom w:space="0" w:sz="4" w:color="auto" w:val="single"/>
              <w:right w:space="0" w:sz="4" w:color="auto" w:val="single"/>
            </w:tcBorders>
            <w:shd w:fill="FFFFFF" w:color="000000" w:val="clear"/>
            <w:noWrap/>
            <w:vAlign w:val="center"/>
            <w:hideMark/>
          </w:tcPr>
          <w:p w:rsidRDefault="004E61E9" w:rsidP="00512B35" w:rsidR="004E61E9" w:rsidRPr="004E61E9">
            <w:pPr>
              <w:jc w:val="right"/>
              <w:rPr>
                <w:color w:val="000000"/>
                <w:lang w:eastAsia="hr-HR"/>
              </w:rPr>
            </w:pPr>
            <w:r w:rsidRPr="004E61E9">
              <w:rPr>
                <w:color w:val="000000"/>
                <w:lang w:eastAsia="hr-HR"/>
              </w:rPr>
              <w:t>34.324,96</w:t>
            </w:r>
          </w:p>
        </w:tc>
      </w:tr>
      <w:tr w:rsidTr="00512B35" w:rsidR="004E61E9" w:rsidRPr="004E61E9">
        <w:trPr>
          <w:trHeight w:val="359"/>
        </w:trPr>
        <w:tc>
          <w:tcPr>
            <w:tcW w:type="dxa" w:w="4800"/>
            <w:gridSpan w:val="3"/>
            <w:tcBorders>
              <w:top w:space="0" w:sz="4" w:color="auto" w:val="single"/>
              <w:left w:space="0" w:sz="4" w:color="auto" w:val="single"/>
              <w:bottom w:space="0" w:sz="4" w:color="auto" w:val="single"/>
              <w:right w:space="0" w:sz="4" w:color="auto" w:val="single"/>
            </w:tcBorders>
            <w:shd w:fill="CCC0DA" w:color="000000" w:val="clear"/>
            <w:noWrap/>
            <w:vAlign w:val="center"/>
            <w:hideMark/>
          </w:tcPr>
          <w:p w:rsidRDefault="004E61E9" w:rsidP="00512B35" w:rsidR="004E61E9" w:rsidRPr="004E61E9">
            <w:pPr>
              <w:jc w:val="center"/>
              <w:rPr>
                <w:b/>
                <w:bCs/>
                <w:color w:val="000000"/>
                <w:lang w:eastAsia="hr-HR"/>
              </w:rPr>
            </w:pPr>
            <w:r w:rsidRPr="004E61E9">
              <w:rPr>
                <w:b/>
                <w:bCs/>
                <w:color w:val="000000"/>
                <w:lang w:eastAsia="hr-HR"/>
              </w:rPr>
              <w:t>UKUPNO:</w:t>
            </w:r>
          </w:p>
        </w:tc>
        <w:tc>
          <w:tcPr>
            <w:tcW w:type="dxa" w:w="1360"/>
            <w:tcBorders>
              <w:top w:val="nil"/>
              <w:left w:val="nil"/>
              <w:bottom w:space="0" w:sz="4" w:color="auto" w:val="single"/>
              <w:right w:space="0" w:sz="4" w:color="auto" w:val="single"/>
            </w:tcBorders>
            <w:shd w:fill="CCC0DA" w:color="000000" w:val="clear"/>
            <w:noWrap/>
            <w:vAlign w:val="center"/>
            <w:hideMark/>
          </w:tcPr>
          <w:p w:rsidRDefault="004E61E9" w:rsidP="00512B35" w:rsidR="004E61E9" w:rsidRPr="004E61E9">
            <w:pPr>
              <w:jc w:val="right"/>
              <w:rPr>
                <w:b/>
                <w:bCs/>
                <w:color w:val="000000"/>
                <w:lang w:eastAsia="hr-HR"/>
              </w:rPr>
            </w:pPr>
            <w:r w:rsidRPr="004E61E9">
              <w:rPr>
                <w:b/>
                <w:bCs/>
                <w:color w:val="000000"/>
                <w:lang w:eastAsia="hr-HR"/>
              </w:rPr>
              <w:t>34.324,96</w:t>
            </w:r>
          </w:p>
        </w:tc>
        <w:tc>
          <w:tcPr>
            <w:tcW w:type="dxa" w:w="1290"/>
            <w:tcBorders>
              <w:top w:val="nil"/>
              <w:left w:val="nil"/>
              <w:bottom w:space="0" w:sz="4" w:color="auto" w:val="single"/>
              <w:right w:space="0" w:sz="4" w:color="auto" w:val="single"/>
            </w:tcBorders>
            <w:shd w:fill="CCC0DA" w:color="000000" w:val="clear"/>
            <w:noWrap/>
            <w:vAlign w:val="center"/>
            <w:hideMark/>
          </w:tcPr>
          <w:p w:rsidRDefault="004E61E9" w:rsidP="00512B35" w:rsidR="004E61E9" w:rsidRPr="004E61E9">
            <w:pPr>
              <w:jc w:val="right"/>
              <w:rPr>
                <w:b/>
                <w:bCs/>
                <w:color w:val="000000"/>
                <w:lang w:eastAsia="hr-HR"/>
              </w:rPr>
            </w:pPr>
            <w:r w:rsidRPr="004E61E9">
              <w:rPr>
                <w:b/>
                <w:bCs/>
                <w:color w:val="000000"/>
                <w:lang w:eastAsia="hr-HR"/>
              </w:rPr>
              <w:t>0,00</w:t>
            </w:r>
          </w:p>
        </w:tc>
        <w:tc>
          <w:tcPr>
            <w:tcW w:type="dxa" w:w="1641"/>
            <w:tcBorders>
              <w:top w:val="nil"/>
              <w:left w:val="nil"/>
              <w:bottom w:space="0" w:sz="4" w:color="auto" w:val="single"/>
              <w:right w:space="0" w:sz="4" w:color="auto" w:val="single"/>
            </w:tcBorders>
            <w:shd w:fill="CCC0DA" w:color="000000" w:val="clear"/>
            <w:noWrap/>
            <w:vAlign w:val="center"/>
            <w:hideMark/>
          </w:tcPr>
          <w:p w:rsidRDefault="004E61E9" w:rsidP="00512B35" w:rsidR="004E61E9" w:rsidRPr="004E61E9">
            <w:pPr>
              <w:jc w:val="right"/>
              <w:rPr>
                <w:b/>
                <w:bCs/>
                <w:color w:val="000000"/>
                <w:lang w:eastAsia="hr-HR"/>
              </w:rPr>
            </w:pPr>
            <w:r w:rsidRPr="004E61E9">
              <w:rPr>
                <w:b/>
                <w:bCs/>
                <w:color w:val="000000"/>
                <w:lang w:eastAsia="hr-HR"/>
              </w:rPr>
              <w:t>34.324,96</w:t>
            </w:r>
          </w:p>
        </w:tc>
      </w:tr>
    </w:tbl>
    <w:p w:rsidRDefault="004E61E9" w:rsidP="004E61E9" w:rsidR="004E61E9" w:rsidRPr="004E61E9">
      <w:pPr>
        <w:jc w:val="both"/>
        <w:rPr>
          <w:b/>
        </w:rPr>
      </w:pPr>
    </w:p>
    <w:p w:rsidRDefault="004E61E9" w:rsidP="004E61E9" w:rsidR="004E61E9" w:rsidRPr="004E61E9">
      <w:pPr>
        <w:rPr>
          <w:b/>
        </w:rPr>
      </w:pPr>
      <w:r w:rsidRPr="004E61E9">
        <w:rPr>
          <w:b/>
        </w:rPr>
        <w:t>Dužnik „EMA VEZ“ Vl. Lidija Šetit obvezuje se namiriti:</w:t>
      </w:r>
    </w:p>
    <w:p w:rsidRDefault="004E61E9" w:rsidP="004E61E9" w:rsidR="004E61E9" w:rsidRPr="004E61E9">
      <w:pPr>
        <w:pStyle w:val="Odlomakpopisa"/>
        <w:numPr>
          <w:ilvl w:val="0"/>
          <w:numId w:val="12"/>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 xml:space="preserve"> Dug prema vjerovniku </w:t>
      </w:r>
      <w:r w:rsidRPr="004E61E9">
        <w:rPr>
          <w:rFonts w:cs="Times New Roman" w:eastAsia="Times New Roman" w:hAnsi="Times New Roman" w:ascii="Times New Roman"/>
          <w:b/>
          <w:color w:val="000000"/>
          <w:sz w:val="24"/>
          <w:szCs w:val="24"/>
          <w:lang w:eastAsia="hr-HR"/>
        </w:rPr>
        <w:t>ZAGREBAČKA BANKA</w:t>
      </w:r>
      <w:r w:rsidRPr="004E61E9">
        <w:rPr>
          <w:rFonts w:cs="Times New Roman" w:hAnsi="Times New Roman" w:ascii="Times New Roman"/>
          <w:sz w:val="24"/>
          <w:szCs w:val="24"/>
        </w:rPr>
        <w:t xml:space="preserve"> d.d., Trg bana J. Jelačića 10, 10 000 Zagreb, OIB: 92963223473, sukladno utvrđenim tražbinama iznosi 34.324,96 kn, a za isti se predlaže:</w:t>
      </w:r>
    </w:p>
    <w:p w:rsidRDefault="004E61E9" w:rsidP="004E61E9" w:rsidR="004E61E9" w:rsidRPr="004E61E9">
      <w:pPr>
        <w:pStyle w:val="Odlomakpopisa"/>
        <w:spacing w:lineRule="auto" w:line="360"/>
        <w:ind w:left="1440"/>
        <w:jc w:val="both"/>
        <w:rPr>
          <w:rFonts w:cs="Times New Roman" w:hAnsi="Times New Roman" w:ascii="Times New Roman"/>
          <w:sz w:val="24"/>
          <w:szCs w:val="24"/>
        </w:rPr>
      </w:pPr>
    </w:p>
    <w:p w:rsidRDefault="004E61E9" w:rsidP="004E61E9" w:rsidR="004E61E9" w:rsidRPr="004E61E9">
      <w:pPr>
        <w:pStyle w:val="Odlomakpopisa"/>
        <w:numPr>
          <w:ilvl w:val="0"/>
          <w:numId w:val="9"/>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Tražbina nastala s osnove Ugovora o dugoročnom mikrokreditu br. 3224052554 od 29.06.2011. namirivat će se na način kako slijedi:</w:t>
      </w:r>
    </w:p>
    <w:p w:rsidRDefault="004E61E9" w:rsidP="004E61E9" w:rsidR="004E61E9" w:rsidRPr="004E61E9">
      <w:pPr>
        <w:pStyle w:val="Odlomakpopisa"/>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–Kamata iz Nagodbe u iznosu od EUR 112,68 namirit će se u roku 7 dana od dana sklapanja Nagodbe pred mjesno nadležnim trgovačkim sudom, u kunskoj protuvrijednosti po srednjem tečaju Hrvatske narodne banke na dan plaćanja</w:t>
      </w:r>
    </w:p>
    <w:p w:rsidRDefault="004E61E9" w:rsidP="004E61E9" w:rsidR="004E61E9" w:rsidRPr="004E61E9">
      <w:pPr>
        <w:pStyle w:val="Odlomakpopisa"/>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–Glavnična tražbina iz Nagodbe u iznosu EUR 4.330,96 namirit će se u 12 (slovima: dvanaest) uzastopnih mjesečnih rata, u kunskoj protuvrijednosti po srednjem tečaju Hrvatske narodne banke na dan plaćanja, a prema sljedećem konkretnom otplatnom planu:</w:t>
      </w:r>
    </w:p>
    <w:p w:rsidRDefault="004E61E9" w:rsidP="004E61E9" w:rsidR="004E61E9" w:rsidRPr="004E61E9">
      <w:pPr>
        <w:pStyle w:val="Odlomakpopisa"/>
        <w:numPr>
          <w:ilvl w:val="0"/>
          <w:numId w:val="10"/>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 xml:space="preserve">1. Rata u iznosu od EUR 361,00 u kunskoj protuvrijednosti po srednjem tečaju Hrvatske narodne banke na dan plaćanja, dospijećem zadnjeg dana u mjesecu, a 1 </w:t>
      </w:r>
      <w:r w:rsidRPr="004E61E9">
        <w:rPr>
          <w:rFonts w:cs="Times New Roman" w:hAnsi="Times New Roman" w:ascii="Times New Roman"/>
          <w:sz w:val="24"/>
          <w:szCs w:val="24"/>
        </w:rPr>
        <w:lastRenderedPageBreak/>
        <w:t>mjesec nakon mjeseca u kojem je Nagodba sklopljena pred mjesno nadležnim trgovačkim sudom</w:t>
      </w:r>
    </w:p>
    <w:p w:rsidRDefault="004E61E9" w:rsidP="004E61E9" w:rsidR="004E61E9" w:rsidRPr="004E61E9">
      <w:pPr>
        <w:pStyle w:val="Odlomakpopisa"/>
        <w:numPr>
          <w:ilvl w:val="0"/>
          <w:numId w:val="10"/>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2. Rata u iznosu od EUR 361,00 u kunskoj protuvrijednosti po srednjem tečaju Hrvatske narodne banke na dan plaćanja, dospijećem zadnjeg dana u mjesecu, a 2 mjeseca nakon mjeseca u kojem je Nagodba sklopljena pred mjesno nadležnim trgovačkim sudom</w:t>
      </w:r>
    </w:p>
    <w:p w:rsidRDefault="004E61E9" w:rsidP="004E61E9" w:rsidR="004E61E9" w:rsidRPr="004E61E9">
      <w:pPr>
        <w:pStyle w:val="Odlomakpopisa"/>
        <w:numPr>
          <w:ilvl w:val="0"/>
          <w:numId w:val="10"/>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3. Rata u iznosu od EUR 361,00 u kunskoj protuvrijednosti po srednjem tečaju Hrvatske narodne banke na dan plaćanja, dospijećem zadnjeg dana u mjesecu, a 3 mjeseca nakon mjeseca u kojem je Nagodba sklopljena pred mjesno nadležnim trgovačkim sudom</w:t>
      </w:r>
    </w:p>
    <w:p w:rsidRDefault="004E61E9" w:rsidP="004E61E9" w:rsidR="004E61E9" w:rsidRPr="004E61E9">
      <w:pPr>
        <w:pStyle w:val="Odlomakpopisa"/>
        <w:numPr>
          <w:ilvl w:val="0"/>
          <w:numId w:val="10"/>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4. Rata u iznosu od EUR 361,00 u kunskoj protuvrijednosti po srednjem tečaju Hrvatske narodne banke na dan plaćanja, dospijećem zadnjeg dana u mjesecu, a 4 mjeseca nakon mjeseca u kojem je Nagodba sklopljena pred mjesno nadležnim trgovačkim sudom</w:t>
      </w:r>
    </w:p>
    <w:p w:rsidRDefault="004E61E9" w:rsidP="004E61E9" w:rsidR="004E61E9" w:rsidRPr="004E61E9">
      <w:pPr>
        <w:pStyle w:val="Odlomakpopisa"/>
        <w:numPr>
          <w:ilvl w:val="0"/>
          <w:numId w:val="10"/>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5. Rata u iznosu od EUR 361,00 u kunskoj protuvrijednosti po srednjem tečaju Hrvatske narodne banke na dan plaćanja, dospijećem zadnjeg dana u mjesecu, a 5 mjeseci nakon mjeseca u kojem je Nagodba sklopljena pred mjesno nadležnim trgovačkim sudom</w:t>
      </w:r>
    </w:p>
    <w:p w:rsidRDefault="004E61E9" w:rsidP="004E61E9" w:rsidR="004E61E9" w:rsidRPr="004E61E9">
      <w:pPr>
        <w:pStyle w:val="Odlomakpopisa"/>
        <w:numPr>
          <w:ilvl w:val="0"/>
          <w:numId w:val="10"/>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6. Rata u iznosu od EUR 361,00 u kunskoj protuvrijednosti po srednjem tečaju Hrvatske narodne banke na dan plaćanja, dospijećem zadnjeg dana u mjesecu, a 6 mjeseci nakon mjeseca u kojem je Nagodba sklopljena pred mjesno nadležnim trgovačkim sudom</w:t>
      </w:r>
    </w:p>
    <w:p w:rsidRDefault="004E61E9" w:rsidP="004E61E9" w:rsidR="004E61E9" w:rsidRPr="004E61E9">
      <w:pPr>
        <w:pStyle w:val="Odlomakpopisa"/>
        <w:numPr>
          <w:ilvl w:val="0"/>
          <w:numId w:val="10"/>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7. Rata u iznosu od EUR 361,00 u kunskoj protuvrijednosti po srednjem tečaju Hrvatske narodne banke na dan plaćanja, dospijećem zadnjeg dana u mjesecu, a 7 mjeseci nakon mjeseca u kojem je Nagodba sklopljena pred mjesno nadležnim trgovačkim sudom</w:t>
      </w:r>
    </w:p>
    <w:p w:rsidRDefault="004E61E9" w:rsidP="004E61E9" w:rsidR="004E61E9" w:rsidRPr="004E61E9">
      <w:pPr>
        <w:pStyle w:val="Odlomakpopisa"/>
        <w:numPr>
          <w:ilvl w:val="0"/>
          <w:numId w:val="10"/>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8. Rata u iznosu od EUR 361,00 u kunskoj protuvrijednosti po srednjem tečaju Hrvatske narodne banke na dan plaćanja, dospijećem zadnjeg dana u mjesecu, a 8 mjeseci nakon mjeseca u kojem je Nagodba sklopljena pred mjesno nadležnim trgovačkim sudom</w:t>
      </w:r>
    </w:p>
    <w:p w:rsidRDefault="004E61E9" w:rsidP="004E61E9" w:rsidR="004E61E9" w:rsidRPr="004E61E9">
      <w:pPr>
        <w:pStyle w:val="Odlomakpopisa"/>
        <w:numPr>
          <w:ilvl w:val="0"/>
          <w:numId w:val="10"/>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 xml:space="preserve">9. Rata u iznosu od EUR 361,00 u kunskoj protuvrijednosti po srednjem tečaju Hrvatske narodne banke na dan plaćanja, dospijećem zadnjeg dana u mjesecu, a 9 </w:t>
      </w:r>
      <w:r w:rsidRPr="004E61E9">
        <w:rPr>
          <w:rFonts w:cs="Times New Roman" w:hAnsi="Times New Roman" w:ascii="Times New Roman"/>
          <w:sz w:val="24"/>
          <w:szCs w:val="24"/>
        </w:rPr>
        <w:lastRenderedPageBreak/>
        <w:t>mjeseci nakon mjeseca u kojem je Nagodba sklopljena pred mjesno nadležnim trgovačkim sudom</w:t>
      </w:r>
    </w:p>
    <w:p w:rsidRDefault="004E61E9" w:rsidP="004E61E9" w:rsidR="004E61E9" w:rsidRPr="004E61E9">
      <w:pPr>
        <w:pStyle w:val="Odlomakpopisa"/>
        <w:numPr>
          <w:ilvl w:val="0"/>
          <w:numId w:val="10"/>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10. Rata u iznosu od EUR 361,00 u kunskoj protuvrijednosti po srednjem tečaju Hrvatske narodne banke na dan plaćanja, dospijećem zadnjeg dana u mjesecu, a 10 mjeseci nakon mjeseca u kojem je Nagodba sklopljena pred mjesno nadležnim trgovačkim sudom</w:t>
      </w:r>
    </w:p>
    <w:p w:rsidRDefault="004E61E9" w:rsidP="004E61E9" w:rsidR="004E61E9" w:rsidRPr="004E61E9">
      <w:pPr>
        <w:pStyle w:val="Odlomakpopisa"/>
        <w:numPr>
          <w:ilvl w:val="0"/>
          <w:numId w:val="10"/>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11. Rata u iznosu od EUR 361,00 u kunskoj protuvrijednosti po srednjem tečaju Hrvatske narodne banke na dan plaćanja, dospijećem zadnjeg dana u mjesecu, a 11 mjeseci nakon mjeseca u kojem je Nagodba sklopljena pred mjesno nadležnim trgovačkim sudom</w:t>
      </w:r>
    </w:p>
    <w:p w:rsidRDefault="004E61E9" w:rsidP="004E61E9" w:rsidR="004E61E9" w:rsidRPr="004E61E9">
      <w:pPr>
        <w:pStyle w:val="Odlomakpopisa"/>
        <w:numPr>
          <w:ilvl w:val="0"/>
          <w:numId w:val="10"/>
        </w:numPr>
        <w:spacing w:lineRule="auto" w:line="360"/>
        <w:jc w:val="both"/>
        <w:rPr>
          <w:rFonts w:cs="Times New Roman" w:hAnsi="Times New Roman" w:ascii="Times New Roman"/>
          <w:b/>
          <w:sz w:val="24"/>
          <w:szCs w:val="24"/>
        </w:rPr>
      </w:pPr>
      <w:r w:rsidRPr="004E61E9">
        <w:rPr>
          <w:rFonts w:cs="Times New Roman" w:hAnsi="Times New Roman" w:ascii="Times New Roman"/>
          <w:sz w:val="24"/>
          <w:szCs w:val="24"/>
        </w:rPr>
        <w:t>12. Rata u iznosu od EUR 361,00 u kunskoj protuvrijednosti po srednjem tečaju Hrvatske narodne banke na dan plaćanja, dospijećem zadnjeg dana u mjesecu, a 12 mjeseci nakon mjeseca u kojem je Nagodba sklopljena pred mjesno nadležnim trgovačkim sudom</w:t>
      </w:r>
    </w:p>
    <w:p w:rsidRDefault="004E61E9" w:rsidP="004E61E9" w:rsidR="004E61E9" w:rsidRPr="004E61E9">
      <w:pPr>
        <w:pStyle w:val="Odlomakpopisa"/>
        <w:spacing w:lineRule="auto" w:line="360"/>
        <w:ind w:left="1440"/>
        <w:jc w:val="both"/>
        <w:rPr>
          <w:rFonts w:cs="Times New Roman" w:hAnsi="Times New Roman" w:ascii="Times New Roman"/>
          <w:b/>
          <w:sz w:val="24"/>
          <w:szCs w:val="24"/>
        </w:rPr>
      </w:pPr>
    </w:p>
    <w:p w:rsidRDefault="004E61E9" w:rsidP="004E61E9" w:rsidR="004E61E9" w:rsidRPr="004E61E9">
      <w:pPr>
        <w:pStyle w:val="Odlomakpopisa"/>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–Na glavničnu tražbinu iz Nagodbe od dana sklapanja Nagodbe pred mjesno nadležnim trgovačkim sudom teče kamata obračunata uz primjenu kamatne stope koja se definira kao zbroj EURIBOR 3M i marže od 9,50% godišnje, koja kamatna stopa je promjenjiva po odluci Zagrebačke banke d.d. te se tako izračunata kamata obračunava mjesečno, a na naplatu dospijeva 15-og dana u idućem mjesecu.</w:t>
      </w:r>
    </w:p>
    <w:p w:rsidRDefault="004E61E9" w:rsidP="004E61E9" w:rsidR="004E61E9" w:rsidRPr="004E61E9">
      <w:pPr>
        <w:pStyle w:val="Odlomakpopisa"/>
        <w:spacing w:lineRule="auto" w:line="360"/>
        <w:jc w:val="both"/>
        <w:rPr>
          <w:rFonts w:cs="Times New Roman" w:hAnsi="Times New Roman" w:ascii="Times New Roman"/>
          <w:sz w:val="24"/>
          <w:szCs w:val="24"/>
        </w:rPr>
      </w:pPr>
    </w:p>
    <w:p w:rsidRDefault="004E61E9" w:rsidP="004E61E9" w:rsidR="004E61E9" w:rsidRPr="004E61E9">
      <w:pPr>
        <w:pStyle w:val="Odlomakpopisa"/>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–U slučaju kašnjenja po bilo kojem dijelu glavnične tražbine iz ove Nagodbe, pa sve do dana naplate, obračunavat će se zatezna kamata u skladu sa mjerodavnim zakonom, a koja kamata će na naplatu dospijevati zadnjeg dana kvartalnog razdoblja za koji se obračunava.</w:t>
      </w:r>
    </w:p>
    <w:p w:rsidRDefault="004E61E9" w:rsidP="004E61E9" w:rsidR="004E61E9" w:rsidRPr="004E61E9">
      <w:pPr>
        <w:pStyle w:val="Odlomakpopisa"/>
        <w:spacing w:lineRule="auto" w:line="360"/>
        <w:jc w:val="both"/>
        <w:rPr>
          <w:rFonts w:cs="Times New Roman" w:hAnsi="Times New Roman" w:ascii="Times New Roman"/>
          <w:sz w:val="24"/>
          <w:szCs w:val="24"/>
        </w:rPr>
      </w:pPr>
    </w:p>
    <w:p w:rsidRDefault="004E61E9" w:rsidP="004E61E9" w:rsidR="004E61E9" w:rsidRPr="004E61E9">
      <w:pPr>
        <w:pStyle w:val="Odlomakpopisa"/>
        <w:numPr>
          <w:ilvl w:val="0"/>
          <w:numId w:val="9"/>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Tražbina temeljem naknada za bankarske usluge u iznosu d HRK 25,10 namirit će se u roku 7 dana od dana sklapanja Nagodbe pred mjesno nadležnim trgovačkim sudom.</w:t>
      </w:r>
    </w:p>
    <w:p w:rsidRDefault="004E61E9" w:rsidP="004E61E9" w:rsidR="004E61E9" w:rsidRPr="004E61E9">
      <w:pPr>
        <w:pStyle w:val="Odlomakpopisa"/>
        <w:spacing w:lineRule="auto" w:line="360"/>
        <w:jc w:val="both"/>
        <w:rPr>
          <w:rFonts w:cs="Times New Roman" w:hAnsi="Times New Roman" w:ascii="Times New Roman"/>
          <w:sz w:val="24"/>
          <w:szCs w:val="24"/>
        </w:rPr>
      </w:pPr>
    </w:p>
    <w:p w:rsidRDefault="004E61E9" w:rsidP="004E61E9" w:rsidR="004E61E9" w:rsidRPr="004E61E9">
      <w:pPr>
        <w:pStyle w:val="Odlomakpopisa"/>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–U slučaju kašnjenja po bilo kojem dijelu glavnične tražbine iz ove Nagodbe, pa sve do dana naplate, obračunavat će se zatezna kamata u skladu sa mjerodavnim zakonom, a koja kamata će na naplatu dospijevati zadnjeg dana kvartalnog razdoblja za koji se obračunava.</w:t>
      </w:r>
    </w:p>
    <w:p w:rsidRDefault="004E61E9" w:rsidP="004E61E9" w:rsidR="004E61E9" w:rsidRPr="004E61E9">
      <w:pPr>
        <w:spacing w:lineRule="auto" w:line="360"/>
        <w:jc w:val="both"/>
      </w:pPr>
      <w:r w:rsidRPr="004E61E9">
        <w:t xml:space="preserve">      Dužnik  i Vjerovnik suglasno utvrđuju i sljedeće uvjete:</w:t>
      </w:r>
    </w:p>
    <w:p w:rsidRDefault="004E61E9" w:rsidP="004E61E9" w:rsidR="004E61E9" w:rsidRPr="004E61E9">
      <w:pPr>
        <w:pStyle w:val="Odlomakpopisa"/>
        <w:numPr>
          <w:ilvl w:val="0"/>
          <w:numId w:val="11"/>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lastRenderedPageBreak/>
        <w:t>Za gore definirane uvjete i rokove namirenja po tražbini u Nagodbi provest će se trajni nalog, a sve sukladno dospijećima iz ove Nagodbe.</w:t>
      </w:r>
    </w:p>
    <w:p w:rsidRDefault="004E61E9" w:rsidP="004E61E9" w:rsidR="004E61E9" w:rsidRPr="004E61E9">
      <w:pPr>
        <w:pStyle w:val="Odlomakpopisa"/>
        <w:numPr>
          <w:ilvl w:val="0"/>
          <w:numId w:val="11"/>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Dužnik se obvezuje vjerovnika obavještavati kvartalno o ispunjavanju plana predstečajne nagodbe, a sve u skladu s odredbama Zakona o financijskom poslovanju i predstečajnoj nagodbi.</w:t>
      </w:r>
    </w:p>
    <w:p w:rsidRDefault="004E61E9" w:rsidP="004E61E9" w:rsidR="004E61E9" w:rsidRPr="004E61E9">
      <w:pPr>
        <w:pStyle w:val="Odlomakpopisa"/>
        <w:numPr>
          <w:ilvl w:val="0"/>
          <w:numId w:val="11"/>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Dužnik se obvezuje na poziv vjerovnika omogućiti obnovu upisa založnog prava na način da vjerovnik u svakom trenutku ima upisana založna prava koja mu omogućuju jednaku poziciju i prava u bilo kojem vremenu trajanja ove Nagodbe s onom pozicijom i pravima koja je imao u trenutku ulaska u postupak predstečajne nagodbe, misleći prvenstveno na prednosni red i osigurani iznos, ali ne ograničavajući se samo na to. U tom smislu, Dužnik je dužan omogućiti obnuvou založnih prava upisanih temeljem općeg sporazuma o osiguranju stjecanjem založnog prava i neposrednom provedbom ovrhe (dalje u tekstu: Opći sporazum) i/ili radi osiguranja mjenice koje navedene pravne osnove osiguravaju pojedine tražbine Vjerovnika predstečajne nagodbe (ali ne ograničavajući se samo na to) u roku od 30 dana prije isteka određene hipotekarne mjenice/Općeg sporazuma, a ukoliko je za vrijeme trajanja postupka predstečajne nagodbe došlo do isteka određenih hipotekarnih mjenica/Općeg sporazuma onda odmah po pravomoćnosti Rješenja kojim se potvrđuje Nagodba.</w:t>
      </w:r>
    </w:p>
    <w:p w:rsidRDefault="004E61E9" w:rsidP="004E61E9" w:rsidR="004E61E9" w:rsidRPr="004E61E9">
      <w:pPr>
        <w:pStyle w:val="Odlomakpopisa"/>
        <w:spacing w:lineRule="auto" w:line="360"/>
        <w:ind w:left="1065"/>
        <w:jc w:val="both"/>
        <w:rPr>
          <w:rFonts w:cs="Times New Roman" w:hAnsi="Times New Roman" w:ascii="Times New Roman"/>
          <w:sz w:val="24"/>
          <w:szCs w:val="24"/>
        </w:rPr>
      </w:pPr>
    </w:p>
    <w:p w:rsidRDefault="004E61E9" w:rsidP="004E61E9" w:rsidR="004E61E9" w:rsidRPr="004E61E9">
      <w:pPr>
        <w:pStyle w:val="Odlomakpopisa"/>
        <w:numPr>
          <w:ilvl w:val="0"/>
          <w:numId w:val="11"/>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Dužnik i Banka kao vjerovnik u postupku predstečajne nagodbe suglasno utvrđuju da buduće reprogramirane obveze u Nagodbi ne predstavljaju novaciju niti jedne obveze Dužnika prema Banci, ako vjerovniku u postupku predstečajne nagodbe,  a što je sukladno odredbama Zakona o financijskom poslovanju i predstečajnoj nagodbi, već da se isključivo radi o reprogramiranju postojećih obveza na način da su se predugovorili rokovi i način otplate duga Dužnika prema Banci, ako vjerovniku, pa sukladno navedenom reprogramirana obveza Dužnika zadržava isti identitet, ali uz uvjete iz sklopljene Nagodbe.</w:t>
      </w:r>
    </w:p>
    <w:p w:rsidRDefault="004E61E9" w:rsidP="004E61E9" w:rsidR="004E61E9" w:rsidRPr="004E61E9">
      <w:pPr>
        <w:pStyle w:val="Odlomakpopisa"/>
        <w:rPr>
          <w:rFonts w:cs="Times New Roman" w:hAnsi="Times New Roman" w:ascii="Times New Roman"/>
          <w:sz w:val="24"/>
          <w:szCs w:val="24"/>
        </w:rPr>
      </w:pPr>
    </w:p>
    <w:p w:rsidRDefault="004E61E9" w:rsidP="004E61E9" w:rsidR="004E61E9" w:rsidRPr="004E61E9">
      <w:pPr>
        <w:pStyle w:val="Odlomakpopisa"/>
        <w:numPr>
          <w:ilvl w:val="0"/>
          <w:numId w:val="11"/>
        </w:numPr>
        <w:spacing w:lineRule="auto" w:line="360"/>
        <w:jc w:val="both"/>
        <w:rPr>
          <w:rFonts w:cs="Times New Roman" w:hAnsi="Times New Roman" w:ascii="Times New Roman"/>
          <w:sz w:val="24"/>
          <w:szCs w:val="24"/>
        </w:rPr>
      </w:pPr>
      <w:r w:rsidRPr="004E61E9">
        <w:rPr>
          <w:rFonts w:cs="Times New Roman" w:hAnsi="Times New Roman" w:ascii="Times New Roman"/>
          <w:sz w:val="24"/>
          <w:szCs w:val="24"/>
        </w:rPr>
        <w:t xml:space="preserve">Dužnik i Vjerovnik suglasni su da u slučaju kašnjenja Dužnika s namirenjem bilo kojeg dijela tražbina iz ove Nagodbe i/ili kršenja ostalih uvjeta određenih ovom Nagodbom, Vjerovnik može sve pojedine obveze iz Nagodbe učiniti u cijelosti dospjelima i ostvariti svoja vjerovnička prava prisilnim putem ovrhom po transakcijskim računima Dužnika, ali </w:t>
      </w:r>
      <w:r w:rsidRPr="004E61E9">
        <w:rPr>
          <w:rFonts w:cs="Times New Roman" w:hAnsi="Times New Roman" w:ascii="Times New Roman"/>
          <w:sz w:val="24"/>
          <w:szCs w:val="24"/>
        </w:rPr>
        <w:lastRenderedPageBreak/>
        <w:t>i neposrednom ovrhom na imovini Dužnika, neovisno o tome je li konkretna imovina Dužnika u zalogu Vjerovnika.</w:t>
      </w:r>
    </w:p>
    <w:p w:rsidRDefault="004E61E9" w:rsidP="001266ED" w:rsidR="004E61E9" w:rsidRPr="004E61E9">
      <w:pPr>
        <w:rPr>
          <w:b/>
        </w:rPr>
      </w:pPr>
      <w:r w:rsidRPr="004E61E9">
        <w:rPr>
          <w:b/>
        </w:rPr>
        <w:t>III.GRUPA: OSTALI VJEROVNICI</w:t>
      </w:r>
    </w:p>
    <w:p w:rsidRDefault="004E61E9" w:rsidP="004E61E9" w:rsidR="004E61E9" w:rsidRPr="004E61E9">
      <w:pPr>
        <w:jc w:val="both"/>
        <w:rPr>
          <w:b/>
        </w:rPr>
      </w:pPr>
    </w:p>
    <w:p w:rsidRDefault="004E61E9" w:rsidP="004E61E9" w:rsidR="004E61E9" w:rsidRPr="004E61E9">
      <w:r w:rsidRPr="004E61E9">
        <w:rPr>
          <w:b/>
        </w:rPr>
        <w:t>Dužnik „EMA VEZ“ Vl. Lidija Šetit nema vjerovnika iz skupine ostali vjerovnici.</w:t>
      </w:r>
    </w:p>
    <w:p w:rsidRDefault="004E61E9" w:rsidP="004E61E9" w:rsidR="004E61E9" w:rsidRPr="004E61E9"/>
    <w:p w:rsidRDefault="001266ED" w:rsidP="001266ED" w:rsidR="004E61E9" w:rsidRPr="004E61E9">
      <w:pPr>
        <w:pStyle w:val="Odlomakpopisa"/>
        <w:tabs>
          <w:tab w:pos="709" w:val="left"/>
          <w:tab w:pos="851" w:val="left"/>
        </w:tabs>
        <w:ind w:left="0"/>
        <w:jc w:val="both"/>
        <w:rPr>
          <w:rFonts w:cs="Times New Roman" w:hAnsi="Times New Roman" w:ascii="Times New Roman"/>
          <w:sz w:val="24"/>
          <w:szCs w:val="24"/>
        </w:rPr>
      </w:pPr>
      <w:r>
        <w:rPr>
          <w:rFonts w:cs="Times New Roman" w:hAnsi="Times New Roman" w:ascii="Times New Roman"/>
          <w:b/>
          <w:sz w:val="24"/>
          <w:szCs w:val="24"/>
        </w:rPr>
        <w:t xml:space="preserve">II. </w:t>
      </w:r>
      <w:r w:rsidR="004E61E9" w:rsidRPr="004E61E9">
        <w:rPr>
          <w:rFonts w:cs="Times New Roman" w:hAnsi="Times New Roman" w:ascii="Times New Roman"/>
          <w:sz w:val="24"/>
          <w:szCs w:val="24"/>
        </w:rPr>
        <w:t>Stranke suglasno utvrđuju da vjerovnici nemaju nikakvih daljnjih tražbina prema dužniku, nastalih do dana otvaranja postupka predstečajne nagodbe, osim onih navedenih u Izmijenjenom planu financijskog i operativnog restrukturiranja dužnika, te da su vjerovnici, primitkom iznosa navedenih u ovoj Nagodbi, u cijelosti namireni za sve tražbine prema dužniku, nastale do dana otvaranja postupka predstečajne nagodbe.</w:t>
      </w:r>
    </w:p>
    <w:p w:rsidRDefault="004E61E9" w:rsidP="004E61E9" w:rsidR="004E61E9" w:rsidRPr="004E61E9">
      <w:pPr>
        <w:pStyle w:val="Odlomakpopisa"/>
        <w:tabs>
          <w:tab w:pos="709" w:val="left"/>
          <w:tab w:pos="851" w:val="left"/>
        </w:tabs>
        <w:jc w:val="both"/>
        <w:rPr>
          <w:rFonts w:cs="Times New Roman" w:hAnsi="Times New Roman" w:ascii="Times New Roman"/>
          <w:sz w:val="24"/>
          <w:szCs w:val="24"/>
        </w:rPr>
      </w:pPr>
    </w:p>
    <w:p w:rsidRDefault="004E61E9" w:rsidP="001266ED" w:rsidR="004E61E9" w:rsidRPr="004E61E9">
      <w:pPr>
        <w:pStyle w:val="Odlomakpopisa"/>
        <w:tabs>
          <w:tab w:pos="709" w:val="left"/>
          <w:tab w:pos="851" w:val="left"/>
        </w:tabs>
        <w:ind w:left="0"/>
        <w:jc w:val="both"/>
        <w:rPr>
          <w:rFonts w:cs="Times New Roman" w:hAnsi="Times New Roman" w:ascii="Times New Roman"/>
          <w:sz w:val="24"/>
          <w:szCs w:val="24"/>
        </w:rPr>
      </w:pPr>
      <w:r w:rsidRPr="004E61E9">
        <w:rPr>
          <w:rFonts w:cs="Times New Roman" w:hAnsi="Times New Roman" w:ascii="Times New Roman"/>
          <w:sz w:val="24"/>
          <w:szCs w:val="24"/>
        </w:rPr>
        <w:t>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w:t>
      </w:r>
    </w:p>
    <w:p w:rsidRDefault="004E61E9" w:rsidP="004E61E9" w:rsidR="004E61E9" w:rsidRPr="004E61E9">
      <w:pPr>
        <w:pStyle w:val="Odlomakpopisa"/>
        <w:tabs>
          <w:tab w:pos="709" w:val="left"/>
          <w:tab w:pos="851" w:val="left"/>
        </w:tabs>
        <w:jc w:val="both"/>
        <w:rPr>
          <w:rFonts w:cs="Times New Roman" w:hAnsi="Times New Roman" w:ascii="Times New Roman"/>
          <w:sz w:val="24"/>
          <w:szCs w:val="24"/>
        </w:rPr>
      </w:pPr>
    </w:p>
    <w:p w:rsidRDefault="004E61E9" w:rsidP="001266ED" w:rsidR="004E61E9" w:rsidRPr="004E61E9">
      <w:pPr>
        <w:pStyle w:val="Odlomakpopisa"/>
        <w:tabs>
          <w:tab w:pos="709" w:val="left"/>
          <w:tab w:pos="851" w:val="left"/>
        </w:tabs>
        <w:ind w:left="0"/>
        <w:jc w:val="both"/>
        <w:rPr>
          <w:rFonts w:cs="Times New Roman" w:hAnsi="Times New Roman" w:ascii="Times New Roman"/>
          <w:sz w:val="24"/>
          <w:szCs w:val="24"/>
        </w:rPr>
      </w:pPr>
      <w:r w:rsidRPr="004E61E9">
        <w:rPr>
          <w:rFonts w:cs="Times New Roman" w:hAnsi="Times New Roman" w:ascii="Times New Roman"/>
          <w:sz w:val="24"/>
          <w:szCs w:val="24"/>
        </w:rPr>
        <w:t xml:space="preserve">Stranke utvrđuju da nakon pravomoćnosti Rješenja o potvrdi Nagodbe nije dopušteno pokretanje ovršnog, upravnog ili parničnog postupka protiv dužnika nagodbe </w:t>
      </w:r>
      <w:r w:rsidRPr="004E61E9">
        <w:rPr>
          <w:rFonts w:cs="Times New Roman" w:hAnsi="Times New Roman" w:ascii="Times New Roman"/>
          <w:b/>
          <w:sz w:val="24"/>
          <w:szCs w:val="24"/>
        </w:rPr>
        <w:t>„EMA VEZ“ Obrt za strojni vez i trgovinu, Vl. Lidija Šetit, I. Gundulića 1, 43 000 Bjelovar, OIB 20973077034, MBO: 92346111</w:t>
      </w:r>
      <w:r w:rsidRPr="004E61E9">
        <w:rPr>
          <w:rFonts w:cs="Times New Roman" w:hAnsi="Times New Roman" w:ascii="Times New Roman"/>
          <w:sz w:val="24"/>
          <w:szCs w:val="24"/>
        </w:rPr>
        <w:t>, radi utvrđenja i ostvarenja tražbine koja je nastala prije otvaranja postupka predstečajne nagodbe (koji se nad dužnikom vodio pod poslovnim brojem KLASA: UP-I/110/07/14-01/7482, pred FINANCIJSKOM AGENCIJOM, Regionalni centar: Zagreb, Nagodbeno vijeće: ZG07), a koja u tom postupku nije prijavljena od strane vjerovnika niti je tu tražbinu dužnik uvrstio u Popis obveza prema vjerovnicima iz članka 60. stavka 3. Zakona o financijskom poslovanju i predstečajnoj nagodbi.</w:t>
      </w:r>
    </w:p>
    <w:p w:rsidRDefault="004E61E9" w:rsidP="001266ED" w:rsidR="004E61E9" w:rsidRPr="004E61E9">
      <w:pPr>
        <w:tabs>
          <w:tab w:pos="1478" w:val="left"/>
        </w:tabs>
        <w:jc w:val="both"/>
      </w:pPr>
      <w:r w:rsidRPr="004E61E9">
        <w:t xml:space="preserve">Stranke sukladno utvrđuju da se dužnik nagodbe </w:t>
      </w:r>
      <w:r w:rsidRPr="004E61E9">
        <w:rPr>
          <w:b/>
        </w:rPr>
        <w:t>„EMA VEZ“ Obrt za strojni vez i trgovinu, Vl. Lidija Šetit, I. Gundulića 1, 43 000 Bjelovar, OIB 20973077034, MBO: 92346111</w:t>
      </w:r>
      <w:r w:rsidRPr="004E61E9">
        <w:t>, oslobađa od obveza namirenja tražbina vjerovnika iz Nagodbe, ako namiri tražbine u skladu s točkom II. ove Nagodbe.</w:t>
      </w:r>
    </w:p>
    <w:p w:rsidRDefault="004E61E9" w:rsidP="001266ED" w:rsidR="004E61E9" w:rsidRPr="004E61E9">
      <w:pPr>
        <w:tabs>
          <w:tab w:pos="1478" w:val="left"/>
        </w:tabs>
        <w:jc w:val="both"/>
      </w:pPr>
      <w:r w:rsidRPr="004E61E9">
        <w:t xml:space="preserve">Stranke sukladno utvrđuju da se dužnik nagodbe </w:t>
      </w:r>
      <w:r w:rsidRPr="004E61E9">
        <w:rPr>
          <w:b/>
        </w:rPr>
        <w:t>„EMA VEZ“ Obrt za strojni vez i trgovinu, Vl. Lidija Šetit, I. Gundulića 1, 43 000 Bjelovar, OIB 20973077034, MBO: 92346111</w:t>
      </w:r>
      <w:r w:rsidRPr="004E61E9">
        <w:t>, na temelju ove Nagodbe  oslobađa od obveze da vjerovnicima isplati iznos koji je veći od iznosa tražbina u smislu točke II. ove Nagodbe, a rokovi plaćanja se odgađaju u skladu s ovom Nagodbom.</w:t>
      </w:r>
    </w:p>
    <w:p w:rsidRDefault="004E61E9" w:rsidP="001266ED" w:rsidR="004E61E9" w:rsidRPr="004E61E9">
      <w:pPr>
        <w:tabs>
          <w:tab w:pos="1478" w:val="left"/>
        </w:tabs>
        <w:jc w:val="both"/>
      </w:pPr>
      <w:r w:rsidRPr="004E61E9">
        <w:t xml:space="preserve">U odnosu na tražbine vjerovnika utvrđene u postupku predstečajne nagodbe koji se nad dužnikom nagodbe </w:t>
      </w:r>
      <w:r w:rsidRPr="004E61E9">
        <w:rPr>
          <w:b/>
        </w:rPr>
        <w:t>„EMA VEZ“ Obrt za strojni vez i trgovinu, Vl. Lidija Šetit, I. Gundulića 1, 43 000 Bjelovar, OIB 20973077034, MBO: 92346111</w:t>
      </w:r>
      <w:r w:rsidRPr="004E61E9">
        <w:t>, vodio pred Financijskom agencijom pod klasom UP-I/110/07/14-01/7482 i obuhvaćene ovom nagodbom, ovršni i upravni postupci pokrenuti prije otvaranja postupka predstečajne nagodbe obustavit će se, a u parničnim postupcima sud će u odnosu na te tražbine odbaciti tužbu, na prijedlog dužnika podnesen nakon pravomoćnosti rješenja o potvrdi predstečajne nagodbe.</w:t>
      </w:r>
    </w:p>
    <w:p w:rsidRDefault="004E61E9" w:rsidP="004E61E9" w:rsidR="004E61E9" w:rsidRPr="004E61E9">
      <w:pPr>
        <w:tabs>
          <w:tab w:pos="1478" w:val="left"/>
        </w:tabs>
        <w:ind w:left="709"/>
        <w:jc w:val="both"/>
      </w:pPr>
    </w:p>
    <w:p w:rsidRDefault="004E61E9" w:rsidP="001266ED" w:rsidR="004E61E9" w:rsidRPr="004E61E9">
      <w:pPr>
        <w:tabs>
          <w:tab w:pos="1478" w:val="left"/>
        </w:tabs>
        <w:jc w:val="both"/>
      </w:pPr>
      <w:r w:rsidRPr="004E61E9">
        <w:lastRenderedPageBreak/>
        <w:t xml:space="preserve">Ovršne isprave koje se odnose na tražbine iz ove Nagodbe gube pravnu snagu u odnosu na dužnika nagodbe </w:t>
      </w:r>
      <w:r w:rsidRPr="004E61E9">
        <w:rPr>
          <w:b/>
        </w:rPr>
        <w:t>„EMA VEZ“ Obrt za strojni vez i trgovinu, Vl. Lidija Šetit, I. Gundulića 1, 43 000 Bjelovar, OIB 20973077034, MBO: 92346111</w:t>
      </w:r>
      <w:r w:rsidRPr="004E61E9">
        <w:t>. Ovršne isprave razlučnih vjerovnika ne gube pravnu snagu glede namirenja na predmetu na kojem postoji razlučno pravo.</w:t>
      </w:r>
    </w:p>
    <w:p w:rsidRDefault="004E61E9" w:rsidP="001266ED" w:rsidR="004E61E9" w:rsidRPr="004E61E9">
      <w:pPr>
        <w:tabs>
          <w:tab w:pos="1478" w:val="left"/>
        </w:tabs>
        <w:jc w:val="both"/>
      </w:pPr>
      <w:r w:rsidRPr="004E61E9">
        <w:t xml:space="preserve">Ukoliko postoje, Izjave o odricanju od prava na odvojeno namirenje razlučnih vjerovnika dane u postupku predstečajne nagodbe koji se nad dužnikom nagodbe </w:t>
      </w:r>
      <w:r w:rsidRPr="004E61E9">
        <w:rPr>
          <w:b/>
        </w:rPr>
        <w:t>„EMA VEZ“ Obrt za strojni vez i trgovinu, Vl. Lidija Šetit, I. Gundulića 1, 43 000 Bjelovar, OIB 20973077034, MBO: 92346111</w:t>
      </w:r>
      <w:r w:rsidRPr="004E61E9">
        <w:t xml:space="preserve">, vodio pred Financijskom agencijom pod klasom UP-I/110/07/14-01/7482,  smatraju se samo izjavama o odricanju od pokretanja i vođenja postupka prisilne naplate za vrijeme trajanja navedenog postupka predstečajne nagodbe i za vrijeme urednog izvršavanja ove Nagodbe. Navedene izjave o odricanju ne znače odricanje od upisanog založnog prava ili druge vrste razlučnog prava niti se one smatraju brisovnim očitovanjem. U slučaju neurednog izvršavanja obveza preuzetih ovom Nagodbom, razlučni vjerovnici koji su se u postupku prestečajne nagodbe koji se nad dužnikom nagodbe </w:t>
      </w:r>
      <w:r w:rsidRPr="004E61E9">
        <w:rPr>
          <w:b/>
        </w:rPr>
        <w:t>„EMA VEZ“ Obrt za strojni vez i trgovinu, Vl. Lidija Šetit, I. Gundulića 1, 43 000 Bjelovar, OIB 20973077034, MBO: 92346111</w:t>
      </w:r>
      <w:r w:rsidRPr="004E61E9">
        <w:t>, vodio pred Financijskom agencijom pod klasom UP-I/110/07/14-01/7482, odrekli prava na odvojeno namirenje, imaju pravo namiriti svoje tražbine iz predmeta razlučnog prava neovisno o danoj izjavi o odricanju od prava na odvojeno namirenje.</w:t>
      </w:r>
    </w:p>
    <w:p w:rsidRDefault="004E61E9" w:rsidP="001266ED" w:rsidR="004E61E9" w:rsidRPr="004E61E9">
      <w:pPr>
        <w:tabs>
          <w:tab w:pos="1478" w:val="left"/>
        </w:tabs>
        <w:jc w:val="both"/>
      </w:pPr>
      <w:r w:rsidRPr="004E61E9">
        <w:t>Ako se ova nagodba potpuno ne izvrši, vjerovnici koji su namireni u smislu točke II. ove Nagodbe nisu dužni vratiti ono što su primili, a tražbine tih vjerovnika smatrat će se potpuno namirenim ako su namireni iznosi utvrđeni u točki II. ove Nagodbe.</w:t>
      </w:r>
    </w:p>
    <w:p w:rsidRDefault="004E61E9" w:rsidP="001266ED" w:rsidR="004E61E9" w:rsidRPr="004E61E9">
      <w:pPr>
        <w:tabs>
          <w:tab w:pos="1478" w:val="left"/>
        </w:tabs>
        <w:jc w:val="both"/>
      </w:pPr>
      <w:r w:rsidRPr="004E61E9">
        <w:t xml:space="preserve">Vjerovnici koji su djelomično namireni u smislu točke II. ove Nagodbe mogu prijaviti u stečajnom postupku koji bi se vodio nad dužnikom nagodbe </w:t>
      </w:r>
      <w:r w:rsidRPr="004E61E9">
        <w:rPr>
          <w:b/>
        </w:rPr>
        <w:t>„EMA VEZ“ Obrt za strojni vez i trgovinu, Vl. Lidija Šetit, I. Gundulića 1, 43 000 Bjelovar, OIB 20973077034, MBO: 92346111</w:t>
      </w:r>
      <w:r w:rsidRPr="004E61E9">
        <w:t>, ukupnu smanjenu tražbinu iz točke II. ove nagodbe umanjenu za iznos koji se smatra da je po ovoj Nagodbi namiren.</w:t>
      </w:r>
    </w:p>
    <w:p w:rsidRDefault="004E61E9" w:rsidP="001266ED" w:rsidR="00C34E94">
      <w:pPr>
        <w:tabs>
          <w:tab w:pos="1478" w:val="left"/>
        </w:tabs>
        <w:jc w:val="both"/>
      </w:pPr>
      <w:r w:rsidRPr="004E61E9">
        <w:t xml:space="preserve">Vjerovnici koji ni djelomično nisu namireni u smislu točke II. ove Nagodbe mogu prijaviti tražbine u stečajnom postupku koji bi se vodio nad dužnikom nagodbe </w:t>
      </w:r>
      <w:r w:rsidRPr="004E61E9">
        <w:rPr>
          <w:b/>
        </w:rPr>
        <w:t>„EMA VEZ“ Obrt za strojni vez i trgovinu, Vl. Lidija Šetit, I. Gundulića 1, 43 000 Bjelovar, OIB 20973077034, MBO: 92346111</w:t>
      </w:r>
      <w:r w:rsidRPr="004E61E9">
        <w:t>.</w:t>
      </w:r>
    </w:p>
    <w:p w:rsidRDefault="004E61E9" w:rsidP="00C34E94" w:rsidR="004E61E9" w:rsidRPr="00C34E94">
      <w:pPr>
        <w:jc w:val="both"/>
        <w:rPr>
          <w:rFonts w:hAnsi="Arial" w:ascii="Arial"/>
        </w:rPr>
      </w:pPr>
    </w:p>
    <w:p w:rsidRDefault="001266ED" w:rsidP="00F83177" w:rsidR="00C34E94" w:rsidRPr="00F83177">
      <w:pPr>
        <w:pStyle w:val="StandardWeb"/>
        <w:spacing w:afterAutospacing="false" w:after="0" w:beforeAutospacing="false" w:before="0"/>
        <w:jc w:val="both"/>
      </w:pPr>
      <w:r>
        <w:rPr>
          <w:b/>
          <w:bCs/>
        </w:rPr>
        <w:t>I</w:t>
      </w:r>
      <w:r w:rsidR="00C34E94" w:rsidRPr="00C34E94">
        <w:rPr>
          <w:b/>
          <w:bCs/>
        </w:rPr>
        <w:t>II.</w:t>
      </w:r>
      <w:r w:rsidR="00F83177">
        <w:rPr>
          <w:b/>
          <w:bCs/>
        </w:rPr>
        <w:t xml:space="preserve"> </w:t>
      </w:r>
      <w:r w:rsidR="00C34E94" w:rsidRPr="00C34E94">
        <w:t>U znak prihvata prava i obveza koje za njih iz ove Nagodbe proistječu, stranke ove Nagodbe vlastoručno potpisuju zapisnik o ovoj Nagodbi</w:t>
      </w:r>
      <w:r w:rsidR="00C34E94" w:rsidRPr="00C34E94">
        <w:rPr>
          <w:rFonts w:hAnsi="Arial" w:ascii="Arial"/>
        </w:rPr>
        <w:t>.</w:t>
      </w:r>
    </w:p>
    <w:p w:rsidRDefault="00D65F19" w:rsidP="00F44CA5" w:rsidR="00D65F19" w:rsidRPr="00C34E94">
      <w:pPr>
        <w:jc w:val="both"/>
      </w:pPr>
    </w:p>
    <w:p w:rsidRDefault="00D65F19" w:rsidP="00D65F19" w:rsidR="00D65F19" w:rsidRPr="00C34E94">
      <w:pPr>
        <w:jc w:val="both"/>
      </w:pPr>
    </w:p>
    <w:p w:rsidRDefault="00D65F19" w:rsidP="00D65F19" w:rsidR="00D65F19" w:rsidRPr="00C34E94">
      <w:pPr>
        <w:tabs>
          <w:tab w:pos="0" w:val="left"/>
        </w:tabs>
        <w:jc w:val="center"/>
      </w:pPr>
      <w:r w:rsidRPr="00C34E94">
        <w:t xml:space="preserve">U Bjelovaru, </w:t>
      </w:r>
      <w:r w:rsidR="00A95974" w:rsidRPr="00C34E94">
        <w:t>1</w:t>
      </w:r>
      <w:r w:rsidR="00F624D0">
        <w:t>5</w:t>
      </w:r>
      <w:r w:rsidRPr="00C34E94">
        <w:t>. listopada 201</w:t>
      </w:r>
      <w:r w:rsidR="00A95974" w:rsidRPr="00C34E94">
        <w:t>5</w:t>
      </w:r>
      <w:r w:rsidRPr="00C34E94">
        <w:t>. godine</w:t>
      </w:r>
    </w:p>
    <w:p w:rsidRDefault="00D65F19" w:rsidP="00D65F19" w:rsidR="00D65F19" w:rsidRPr="00C34E94">
      <w:pPr>
        <w:tabs>
          <w:tab w:pos="0" w:val="left"/>
        </w:tabs>
        <w:jc w:val="both"/>
      </w:pPr>
    </w:p>
    <w:p w:rsidRDefault="00D65F19" w:rsidP="00D65F19" w:rsidR="00D65F19" w:rsidRPr="00C34E94">
      <w:pPr>
        <w:tabs>
          <w:tab w:pos="0" w:val="left"/>
        </w:tabs>
        <w:jc w:val="both"/>
      </w:pPr>
    </w:p>
    <w:p w:rsidRDefault="00D65F19" w:rsidP="00D65F19" w:rsidR="00D65F19" w:rsidRPr="00C34E94">
      <w:pPr>
        <w:tabs>
          <w:tab w:pos="0" w:val="left"/>
        </w:tabs>
      </w:pPr>
      <w:r w:rsidRPr="00C34E94">
        <w:t>SUDAC</w:t>
      </w:r>
      <w:r w:rsidRPr="00C34E94">
        <w:tab/>
      </w:r>
      <w:r w:rsidRPr="00C34E94">
        <w:tab/>
      </w:r>
      <w:r w:rsidRPr="00C34E94">
        <w:tab/>
      </w:r>
      <w:r w:rsidRPr="00C34E94">
        <w:tab/>
      </w:r>
      <w:r w:rsidRPr="00C34E94">
        <w:tab/>
      </w:r>
      <w:r w:rsidRPr="00C34E94">
        <w:tab/>
        <w:t>Za dužnika:</w:t>
      </w:r>
    </w:p>
    <w:p w:rsidRDefault="00D65F19" w:rsidP="00D65F19" w:rsidR="00D65F19" w:rsidRPr="00C34E94">
      <w:pPr>
        <w:tabs>
          <w:tab w:pos="0" w:val="left"/>
        </w:tabs>
      </w:pPr>
      <w:r w:rsidRPr="00C34E94">
        <w:t>MATE IVANČIĆ</w:t>
      </w:r>
      <w:r w:rsidRPr="00C34E94">
        <w:tab/>
      </w:r>
      <w:r w:rsidRPr="00C34E94">
        <w:tab/>
      </w:r>
      <w:r w:rsidRPr="00C34E94">
        <w:tab/>
      </w:r>
      <w:r w:rsidRPr="00C34E94">
        <w:tab/>
      </w:r>
      <w:r w:rsidRPr="00C34E94">
        <w:tab/>
      </w:r>
      <w:r w:rsidR="006232F8">
        <w:t>Lidija Šetit osobno</w:t>
      </w:r>
    </w:p>
    <w:p w:rsidRDefault="00D65F19" w:rsidP="00D65F19" w:rsidR="00D65F19" w:rsidRPr="00C34E94">
      <w:pPr>
        <w:tabs>
          <w:tab w:pos="0" w:val="left"/>
        </w:tabs>
      </w:pPr>
    </w:p>
    <w:p w:rsidRDefault="00D65F19" w:rsidP="00D65F19" w:rsidR="00D65F19" w:rsidRPr="00C34E94">
      <w:pPr>
        <w:tabs>
          <w:tab w:pos="0" w:val="left"/>
        </w:tabs>
      </w:pPr>
    </w:p>
    <w:p w:rsidRDefault="00D65F19" w:rsidP="00D65F19" w:rsidR="00D65F19" w:rsidRPr="00C34E94">
      <w:pPr>
        <w:tabs>
          <w:tab w:pos="0" w:val="left"/>
        </w:tabs>
      </w:pPr>
    </w:p>
    <w:p w:rsidRDefault="00D65F19" w:rsidP="00D65F19" w:rsidR="00D65F19" w:rsidRPr="00C34E94">
      <w:pPr>
        <w:tabs>
          <w:tab w:pos="0" w:val="left"/>
        </w:tabs>
      </w:pPr>
      <w:r w:rsidRPr="00C34E94">
        <w:t>sudski zapisničar</w:t>
      </w:r>
      <w:r w:rsidRPr="00C34E94">
        <w:tab/>
      </w:r>
      <w:r w:rsidRPr="00C34E94">
        <w:tab/>
      </w:r>
      <w:r w:rsidRPr="00C34E94">
        <w:tab/>
      </w:r>
      <w:r w:rsidRPr="00C34E94">
        <w:tab/>
      </w:r>
      <w:r w:rsidRPr="00C34E94">
        <w:tab/>
        <w:t>Za vjerovnik</w:t>
      </w:r>
      <w:r w:rsidR="0053777A" w:rsidRPr="00C34E94">
        <w:t>e</w:t>
      </w:r>
      <w:r w:rsidRPr="00C34E94">
        <w:t>:</w:t>
      </w:r>
    </w:p>
    <w:p w:rsidRDefault="00591A21" w:rsidP="00C47709" w:rsidR="00591A21">
      <w:pPr>
        <w:tabs>
          <w:tab w:pos="0" w:val="left"/>
        </w:tabs>
      </w:pPr>
      <w:r>
        <w:t>ROMANA TREMSKI</w:t>
      </w:r>
      <w:r>
        <w:tab/>
        <w:t>RH Min. financija, Porez. uprava, područ. ured Sjeverna Hrvatska</w:t>
      </w:r>
    </w:p>
    <w:p w:rsidRDefault="00591A21" w:rsidP="00721E63" w:rsidR="00D65F19">
      <w:pPr>
        <w:tabs>
          <w:tab w:pos="0" w:val="left"/>
        </w:tabs>
      </w:pPr>
      <w:r>
        <w:tab/>
      </w:r>
      <w:r>
        <w:tab/>
      </w:r>
      <w:r>
        <w:tab/>
      </w:r>
      <w:r>
        <w:tab/>
      </w:r>
      <w:r>
        <w:tab/>
      </w:r>
      <w:r>
        <w:tab/>
      </w:r>
      <w:r>
        <w:tab/>
        <w:t>Snježana Ćorić</w:t>
      </w:r>
    </w:p>
    <w:p w:rsidRDefault="00721E63" w:rsidP="00721E63" w:rsidR="00721E63">
      <w:pPr>
        <w:tabs>
          <w:tab w:pos="0" w:val="left"/>
        </w:tabs>
      </w:pPr>
    </w:p>
    <w:p w:rsidRDefault="00721E63" w:rsidP="00721E63" w:rsidR="00721E63" w:rsidRPr="00C34E94">
      <w:pPr>
        <w:tabs>
          <w:tab w:pos="0" w:val="left"/>
        </w:tabs>
      </w:pPr>
    </w:p>
    <w:p w:rsidRDefault="00591A21" w:rsidR="00591A21">
      <w:r>
        <w:tab/>
      </w:r>
      <w:r>
        <w:tab/>
      </w:r>
      <w:r>
        <w:tab/>
      </w:r>
      <w:r>
        <w:tab/>
      </w:r>
      <w:r>
        <w:tab/>
      </w:r>
      <w:r>
        <w:tab/>
      </w:r>
      <w:r>
        <w:tab/>
        <w:t>ZAGREBAČKA BANKA d.d. Zagreb</w:t>
      </w:r>
    </w:p>
    <w:p w:rsidRDefault="00D65F19" w:rsidR="00496A29" w:rsidRPr="00C34E94">
      <w:r w:rsidRPr="00C34E94">
        <w:t xml:space="preserve">Dovršeno u </w:t>
      </w:r>
      <w:r w:rsidR="00AC4964">
        <w:t>10,20</w:t>
      </w:r>
      <w:r w:rsidRPr="00C34E94">
        <w:t xml:space="preserve"> sati.</w:t>
      </w:r>
      <w:r w:rsidR="00721E63">
        <w:tab/>
      </w:r>
      <w:r w:rsidR="00721E63">
        <w:tab/>
      </w:r>
      <w:r w:rsidR="00721E63">
        <w:tab/>
      </w:r>
      <w:r w:rsidR="00721E63">
        <w:tab/>
        <w:t>Vjekoslav Skakalo</w:t>
      </w:r>
    </w:p>
    <w:sectPr w:rsidSect="00C34E94" w:rsidR="00496A29" w:rsidRPr="00C34E94">
      <w:headerReference w:type="even" r:id="rId9"/>
      <w:headerReference w:type="default" r:id="rId10"/>
      <w:footerReference w:type="even" r:id="rId11"/>
      <w:footerReference w:type="default" r:id="rId12"/>
      <w:pgSz w:h="15840" w:w="12240"/>
      <w:pgMar w:gutter="0" w:footer="708" w:header="708" w:left="1440" w:bottom="1418" w:right="1080"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5994" w:rsidR="00485994">
      <w:r>
        <w:separator/>
      </w:r>
    </w:p>
  </w:endnote>
  <w:endnote w:id="0" w:type="continuationSeparator">
    <w:p w:rsidRDefault="00485994" w:rsidR="004859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62B" w:rsidP="00AF20B2" w:rsidR="00642BD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3570" w:rsidP="007C4572" w:rsidR="00642BD4">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62B" w:rsidP="00AF20B2" w:rsidR="00642BD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3570">
      <w:rPr>
        <w:rStyle w:val="Brojstranice"/>
        <w:noProof/>
      </w:rPr>
      <w:t>11</w:t>
    </w:r>
    <w:r>
      <w:rPr>
        <w:rStyle w:val="Brojstranice"/>
      </w:rPr>
      <w:fldChar w:fldCharType="end"/>
    </w:r>
  </w:p>
  <w:p w:rsidRDefault="00C93570" w:rsidP="007C4572" w:rsidR="00642BD4">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5994" w:rsidR="00485994">
      <w:r>
        <w:separator/>
      </w:r>
    </w:p>
  </w:footnote>
  <w:footnote w:id="0" w:type="continuationSeparator">
    <w:p w:rsidRDefault="00485994" w:rsidR="004859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62B" w:rsidP="00987BF6" w:rsidR="00642B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3570" w:rsidR="00642BD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570" w:rsidP="007C4572" w:rsidR="00642BD4">
    <w:pPr>
      <w:pStyle w:val="Zaglavlje"/>
      <w:framePr w:y="1" w:xAlign="center" w:vAnchor="text" w:hAnchor="margin" w:wrap="around"/>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1"/>
      <w:numFmt w:val="decimal"/>
      <w:lvlText w:val="%1."/>
      <w:lvlJc w:val="left"/>
      <w:pPr>
        <w:tabs>
          <w:tab w:pos="720" w:val="num"/>
        </w:tabs>
        <w:ind w:hanging="360" w:left="720"/>
      </w:pPr>
    </w:lvl>
  </w:abstractNum>
  <w:abstractNum w:abstractNumId="1">
    <w:nsid w:val="00000004"/>
    <w:multiLevelType w:val="singleLevel"/>
    <w:tmpl w:val="00000004"/>
    <w:name w:val="WW8Num8"/>
    <w:lvl w:ilvl="0">
      <w:start w:val="10"/>
      <w:numFmt w:val="decimal"/>
      <w:lvlText w:val="%1."/>
      <w:lvlJc w:val="left"/>
      <w:pPr>
        <w:tabs>
          <w:tab w:pos="720" w:val="num"/>
        </w:tabs>
        <w:ind w:hanging="360" w:left="720"/>
      </w:pPr>
    </w:lvl>
  </w:abstractNum>
  <w:abstractNum w:abstractNumId="2">
    <w:nsid w:val="07904E64"/>
    <w:multiLevelType w:val="hybridMultilevel"/>
    <w:tmpl w:val="A0BA870A"/>
    <w:lvl w:tplc="5BD0A32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EDB6DF3"/>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20019C3"/>
    <w:multiLevelType w:val="hybridMultilevel"/>
    <w:tmpl w:val="3890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5D5157"/>
    <w:multiLevelType w:val="hybridMultilevel"/>
    <w:tmpl w:val="BF780676"/>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58D41BB"/>
    <w:multiLevelType w:val="hybridMultilevel"/>
    <w:tmpl w:val="59E638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9CC3EFC"/>
    <w:multiLevelType w:val="hybridMultilevel"/>
    <w:tmpl w:val="7E201B74"/>
    <w:lvl w:tplc="041A0003" w:ilvl="0">
      <w:start w:val="1"/>
      <w:numFmt w:val="bullet"/>
      <w:lvlText w:val="o"/>
      <w:lvlJc w:val="left"/>
      <w:pPr>
        <w:ind w:hanging="360" w:left="1440"/>
      </w:pPr>
      <w:rPr>
        <w:rFonts w:cs="Courier New" w:hAnsi="Courier New" w:ascii="Courier New"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BA22FEF"/>
    <w:multiLevelType w:val="hybridMultilevel"/>
    <w:tmpl w:val="493CE38E"/>
    <w:lvl w:tplc="041A0003" w:ilvl="0">
      <w:start w:val="1"/>
      <w:numFmt w:val="bullet"/>
      <w:lvlText w:val="o"/>
      <w:lvlJc w:val="left"/>
      <w:pPr>
        <w:ind w:hanging="360" w:left="1440"/>
      </w:pPr>
      <w:rPr>
        <w:rFonts w:cs="Courier New" w:hAnsi="Courier New" w:ascii="Courier New"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3084783C"/>
    <w:multiLevelType w:val="hybridMultilevel"/>
    <w:tmpl w:val="E58E118E"/>
    <w:lvl w:tplc="F3D84A0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519A4243"/>
    <w:multiLevelType w:val="hybridMultilevel"/>
    <w:tmpl w:val="B0FC2E06"/>
    <w:lvl w:tplc="5972022A" w:ilvl="0">
      <w:start w:val="2"/>
      <w:numFmt w:val="bullet"/>
      <w:lvlText w:val="-"/>
      <w:lvlJc w:val="left"/>
      <w:pPr>
        <w:tabs>
          <w:tab w:pos="644" w:val="num"/>
        </w:tabs>
        <w:ind w:hanging="360" w:left="644"/>
      </w:pPr>
      <w:rPr>
        <w:rFonts w:cs="Arial" w:eastAsia="Times New Roman" w:hAnsi="Century Gothic" w:ascii="Century Gothic" w:hint="default"/>
      </w:rPr>
    </w:lvl>
    <w:lvl w:tplc="041A0001" w:ilvl="1">
      <w:start w:val="1"/>
      <w:numFmt w:val="bullet"/>
      <w:lvlText w:val=""/>
      <w:lvlJc w:val="left"/>
      <w:pPr>
        <w:tabs>
          <w:tab w:pos="1440" w:val="num"/>
        </w:tabs>
        <w:ind w:hanging="360" w:left="1440"/>
      </w:pPr>
      <w:rPr>
        <w:rFonts w:hAnsi="Symbol" w:ascii="Symbol"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5537751C"/>
    <w:multiLevelType w:val="hybridMultilevel"/>
    <w:tmpl w:val="BF581262"/>
    <w:lvl w:tplc="A59847E6" w:ilvl="0">
      <w:start w:val="1"/>
      <w:numFmt w:val="upperLetter"/>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F13741F"/>
    <w:multiLevelType w:val="hybridMultilevel"/>
    <w:tmpl w:val="0768856A"/>
    <w:lvl w:tplc="CC46455A"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lvlOverride w:ilvl="0">
      <w:startOverride w:val="1"/>
    </w:lvlOverride>
  </w:num>
  <w:num w:numId="2">
    <w:abstractNumId w:val="1"/>
    <w:lvlOverride w:ilvl="0">
      <w:startOverride w:val="10"/>
    </w:lvlOverride>
  </w:num>
  <w:num w:numId="3">
    <w:abstractNumId w:val="10"/>
  </w:num>
  <w:num w:numId="4">
    <w:abstractNumId w:val="4"/>
  </w:num>
  <w:num w:numId="5">
    <w:abstractNumId w:val="2"/>
  </w:num>
  <w:num w:numId="6">
    <w:abstractNumId w:val="5"/>
  </w:num>
  <w:num w:numId="7">
    <w:abstractNumId w:val="7"/>
  </w:num>
  <w:num w:numId="8">
    <w:abstractNumId w:val="3"/>
  </w:num>
  <w:num w:numId="9">
    <w:abstractNumId w:val="11"/>
  </w:num>
  <w:num w:numId="10">
    <w:abstractNumId w:val="8"/>
  </w:num>
  <w:num w:numId="11">
    <w:abstractNumId w:val="9"/>
  </w:num>
  <w:num w:numId="12">
    <w:abstractNumId w:val="6"/>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F19"/>
    <w:rsid w:val="00015700"/>
    <w:rsid w:val="000301E3"/>
    <w:rsid w:val="001266ED"/>
    <w:rsid w:val="0015636B"/>
    <w:rsid w:val="001861D9"/>
    <w:rsid w:val="001C01A7"/>
    <w:rsid w:val="001F2C2B"/>
    <w:rsid w:val="00217CDE"/>
    <w:rsid w:val="00270DAC"/>
    <w:rsid w:val="0031006B"/>
    <w:rsid w:val="0032753A"/>
    <w:rsid w:val="003347A0"/>
    <w:rsid w:val="0035349A"/>
    <w:rsid w:val="00386028"/>
    <w:rsid w:val="003C6D03"/>
    <w:rsid w:val="003D1C1B"/>
    <w:rsid w:val="003F3E7C"/>
    <w:rsid w:val="00430227"/>
    <w:rsid w:val="0046079B"/>
    <w:rsid w:val="00476473"/>
    <w:rsid w:val="00483686"/>
    <w:rsid w:val="00485994"/>
    <w:rsid w:val="00493C47"/>
    <w:rsid w:val="00496A29"/>
    <w:rsid w:val="004A73F8"/>
    <w:rsid w:val="004E61E9"/>
    <w:rsid w:val="0053777A"/>
    <w:rsid w:val="00571F68"/>
    <w:rsid w:val="00591A21"/>
    <w:rsid w:val="005A7BC7"/>
    <w:rsid w:val="006232F8"/>
    <w:rsid w:val="006C63BF"/>
    <w:rsid w:val="00707314"/>
    <w:rsid w:val="00721E63"/>
    <w:rsid w:val="00726A39"/>
    <w:rsid w:val="007D6331"/>
    <w:rsid w:val="008430B3"/>
    <w:rsid w:val="00844A05"/>
    <w:rsid w:val="00851327"/>
    <w:rsid w:val="008A7A1C"/>
    <w:rsid w:val="008E0D8E"/>
    <w:rsid w:val="00987A07"/>
    <w:rsid w:val="009A5953"/>
    <w:rsid w:val="009D28FD"/>
    <w:rsid w:val="00A5453B"/>
    <w:rsid w:val="00A85C94"/>
    <w:rsid w:val="00A92BE3"/>
    <w:rsid w:val="00A95974"/>
    <w:rsid w:val="00AB4F38"/>
    <w:rsid w:val="00AC4964"/>
    <w:rsid w:val="00AE7F58"/>
    <w:rsid w:val="00B05AE2"/>
    <w:rsid w:val="00B20510"/>
    <w:rsid w:val="00BB6A80"/>
    <w:rsid w:val="00BF0D12"/>
    <w:rsid w:val="00BF7977"/>
    <w:rsid w:val="00C34E94"/>
    <w:rsid w:val="00C47709"/>
    <w:rsid w:val="00C93570"/>
    <w:rsid w:val="00CD678D"/>
    <w:rsid w:val="00CD7169"/>
    <w:rsid w:val="00CE7082"/>
    <w:rsid w:val="00CE7375"/>
    <w:rsid w:val="00D54074"/>
    <w:rsid w:val="00D65F19"/>
    <w:rsid w:val="00DC39E9"/>
    <w:rsid w:val="00DD388C"/>
    <w:rsid w:val="00DD5FEF"/>
    <w:rsid w:val="00DD60EE"/>
    <w:rsid w:val="00E00359"/>
    <w:rsid w:val="00EB4A42"/>
    <w:rsid w:val="00EE762B"/>
    <w:rsid w:val="00F13C95"/>
    <w:rsid w:val="00F20B9F"/>
    <w:rsid w:val="00F4201C"/>
    <w:rsid w:val="00F44CA5"/>
    <w:rsid w:val="00F60F6B"/>
    <w:rsid w:val="00F624D0"/>
    <w:rsid w:val="00F831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F19"/>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65F19"/>
    <w:pPr>
      <w:tabs>
        <w:tab w:pos="4703" w:val="center"/>
        <w:tab w:pos="9406" w:val="right"/>
      </w:tabs>
    </w:pPr>
  </w:style>
  <w:style w:customStyle="true" w:styleId="ZaglavljeChar" w:type="character">
    <w:name w:val="Zaglavlje Char"/>
    <w:basedOn w:val="Zadanifontodlomka"/>
    <w:link w:val="Zaglavlje"/>
    <w:uiPriority w:val="99"/>
    <w:rsid w:val="00D65F19"/>
    <w:rPr>
      <w:rFonts w:cs="Times New Roman" w:eastAsia="Times New Roman" w:hAnsi="Times New Roman" w:ascii="Times New Roman"/>
      <w:sz w:val="24"/>
      <w:szCs w:val="24"/>
    </w:rPr>
  </w:style>
  <w:style w:styleId="Brojstranice" w:type="character">
    <w:name w:val="page number"/>
    <w:basedOn w:val="Zadanifontodlomka"/>
    <w:rsid w:val="00D65F19"/>
  </w:style>
  <w:style w:styleId="Podnoje" w:type="paragraph">
    <w:name w:val="footer"/>
    <w:basedOn w:val="Normal"/>
    <w:link w:val="PodnojeChar"/>
    <w:uiPriority w:val="99"/>
    <w:rsid w:val="00D65F19"/>
    <w:pPr>
      <w:tabs>
        <w:tab w:pos="4703" w:val="center"/>
        <w:tab w:pos="9406" w:val="right"/>
      </w:tabs>
    </w:pPr>
  </w:style>
  <w:style w:customStyle="true" w:styleId="PodnojeChar" w:type="character">
    <w:name w:val="Podnožje Char"/>
    <w:basedOn w:val="Zadanifontodlomka"/>
    <w:link w:val="Podnoje"/>
    <w:uiPriority w:val="99"/>
    <w:rsid w:val="00D65F19"/>
    <w:rPr>
      <w:rFonts w:cs="Times New Roman" w:eastAsia="Times New Roman" w:hAnsi="Times New Roman" w:ascii="Times New Roman"/>
      <w:sz w:val="24"/>
      <w:szCs w:val="24"/>
    </w:rPr>
  </w:style>
  <w:style w:styleId="StandardWeb" w:type="paragraph">
    <w:name w:val="Normal (Web)"/>
    <w:basedOn w:val="Normal"/>
    <w:rsid w:val="00C34E94"/>
    <w:pPr>
      <w:spacing w:afterAutospacing="true" w:after="100" w:beforeAutospacing="true" w:before="100"/>
    </w:pPr>
    <w:rPr>
      <w:lang w:eastAsia="hr-HR"/>
    </w:rPr>
  </w:style>
  <w:style w:customStyle="true" w:styleId="normal1" w:type="paragraph">
    <w:name w:val="normal1"/>
    <w:basedOn w:val="Normal"/>
    <w:rsid w:val="00C34E94"/>
    <w:pPr>
      <w:spacing w:afterAutospacing="true" w:after="100" w:beforeAutospacing="true" w:before="100"/>
    </w:pPr>
    <w:rPr>
      <w:rFonts w:eastAsia="Calibri"/>
      <w:lang w:val="en-US"/>
    </w:rPr>
  </w:style>
  <w:style w:styleId="Tekstbalonia" w:type="paragraph">
    <w:name w:val="Balloon Text"/>
    <w:basedOn w:val="Normal"/>
    <w:link w:val="TekstbaloniaChar"/>
    <w:uiPriority w:val="99"/>
    <w:semiHidden/>
    <w:unhideWhenUsed/>
    <w:rsid w:val="00BB6A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6A80"/>
    <w:rPr>
      <w:rFonts w:cs="Tahoma" w:eastAsia="Times New Roman" w:hAnsi="Tahoma" w:ascii="Tahoma"/>
      <w:sz w:val="16"/>
      <w:szCs w:val="16"/>
    </w:rPr>
  </w:style>
  <w:style w:styleId="Odlomakpopisa" w:type="paragraph">
    <w:name w:val="List Paragraph"/>
    <w:basedOn w:val="Normal"/>
    <w:uiPriority w:val="34"/>
    <w:qFormat/>
    <w:rsid w:val="004E61E9"/>
    <w:pPr>
      <w:spacing w:lineRule="auto" w:line="276" w:after="200"/>
      <w:ind w:left="720"/>
      <w:contextualSpacing/>
    </w:pPr>
    <w:rPr>
      <w:rFonts w:cstheme="minorBidi" w:eastAsiaTheme="minorHAnsi" w:hAnsiTheme="minorHAnsi" w:asciiTheme="minorHAnsi"/>
      <w:sz w:val="22"/>
      <w:szCs w:val="22"/>
    </w:rPr>
  </w:style>
  <w:style w:styleId="Bezproreda" w:type="paragraph">
    <w:name w:val="No Spacing"/>
    <w:link w:val="BezproredaChar"/>
    <w:uiPriority w:val="1"/>
    <w:qFormat/>
    <w:rsid w:val="004E61E9"/>
    <w:pPr>
      <w:spacing w:lineRule="auto" w:line="240" w:after="0"/>
    </w:pPr>
    <w:rPr>
      <w:rFonts w:eastAsiaTheme="minorEastAsia"/>
    </w:rPr>
  </w:style>
  <w:style w:customStyle="true" w:styleId="BezproredaChar" w:type="character">
    <w:name w:val="Bez proreda Char"/>
    <w:basedOn w:val="Zadanifontodlomka"/>
    <w:link w:val="Bezproreda"/>
    <w:uiPriority w:val="1"/>
    <w:rsid w:val="004E61E9"/>
    <w:rPr>
      <w:rFonts w:eastAsiaTheme="minorEastAsia"/>
    </w:rPr>
  </w:style>
  <w:style w:styleId="Tekstrezerviranogmjesta" w:type="character">
    <w:name w:val="Placeholder Text"/>
    <w:basedOn w:val="Zadanifontodlomka"/>
    <w:uiPriority w:val="99"/>
    <w:semiHidden/>
    <w:rsid w:val="00C93570"/>
    <w:rPr>
      <w:color w:val="808080"/>
      <w:bdr w:space="0" w:sz="0" w:color="auto" w:val="none"/>
      <w:shd w:fill="auto" w:color="auto" w:val="clear"/>
    </w:rPr>
  </w:style>
  <w:style w:customStyle="true" w:styleId="eSPISCCParagraphDefaultFont" w:type="character">
    <w:name w:val="eSPIS_CC_Paragraph Default Font"/>
    <w:basedOn w:val="Zadanifontodlomka"/>
    <w:rsid w:val="00C935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3570"/>
    <w:rPr>
      <w:bdr w:space="0" w:sz="0" w:color="auto" w:val="none"/>
      <w:shd w:fill="FFFFCC" w:color="auto" w:val="clear"/>
      <w:lang w:val="hr-HR"/>
    </w:rPr>
  </w:style>
  <w:style w:customStyle="true" w:styleId="PozadinaSvijetloCrvena" w:type="character">
    <w:name w:val="Pozadina_SvijetloCrvena"/>
    <w:basedOn w:val="eSPISCCParagraphDefaultFont"/>
    <w:rsid w:val="00C935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35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F19"/>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65F19"/>
    <w:pPr>
      <w:tabs>
        <w:tab w:pos="4703" w:val="center"/>
        <w:tab w:pos="9406" w:val="right"/>
      </w:tabs>
    </w:pPr>
  </w:style>
  <w:style w:customStyle="1" w:styleId="ZaglavljeChar" w:type="character">
    <w:name w:val="Zaglavlje Char"/>
    <w:basedOn w:val="Zadanifontodlomka"/>
    <w:link w:val="Zaglavlje"/>
    <w:uiPriority w:val="99"/>
    <w:rsid w:val="00D65F19"/>
    <w:rPr>
      <w:rFonts w:ascii="Times New Roman" w:cs="Times New Roman" w:eastAsia="Times New Roman" w:hAnsi="Times New Roman"/>
      <w:sz w:val="24"/>
      <w:szCs w:val="24"/>
    </w:rPr>
  </w:style>
  <w:style w:styleId="Brojstranice" w:type="character">
    <w:name w:val="page number"/>
    <w:basedOn w:val="Zadanifontodlomka"/>
    <w:rsid w:val="00D65F19"/>
  </w:style>
  <w:style w:styleId="Podnoje" w:type="paragraph">
    <w:name w:val="footer"/>
    <w:basedOn w:val="Normal"/>
    <w:link w:val="PodnojeChar"/>
    <w:uiPriority w:val="99"/>
    <w:rsid w:val="00D65F19"/>
    <w:pPr>
      <w:tabs>
        <w:tab w:pos="4703" w:val="center"/>
        <w:tab w:pos="9406" w:val="right"/>
      </w:tabs>
    </w:pPr>
  </w:style>
  <w:style w:customStyle="1" w:styleId="PodnojeChar" w:type="character">
    <w:name w:val="Podnožje Char"/>
    <w:basedOn w:val="Zadanifontodlomka"/>
    <w:link w:val="Podnoje"/>
    <w:uiPriority w:val="99"/>
    <w:rsid w:val="00D65F19"/>
    <w:rPr>
      <w:rFonts w:ascii="Times New Roman" w:cs="Times New Roman" w:eastAsia="Times New Roman" w:hAnsi="Times New Roman"/>
      <w:sz w:val="24"/>
      <w:szCs w:val="24"/>
    </w:rPr>
  </w:style>
  <w:style w:styleId="StandardWeb" w:type="paragraph">
    <w:name w:val="Normal (Web)"/>
    <w:basedOn w:val="Normal"/>
    <w:rsid w:val="00C34E94"/>
    <w:pPr>
      <w:spacing w:after="100" w:afterAutospacing="1" w:before="100" w:beforeAutospacing="1"/>
    </w:pPr>
    <w:rPr>
      <w:lang w:eastAsia="hr-HR"/>
    </w:rPr>
  </w:style>
  <w:style w:customStyle="1" w:styleId="normal1" w:type="paragraph">
    <w:name w:val="normal1"/>
    <w:basedOn w:val="Normal"/>
    <w:rsid w:val="00C34E94"/>
    <w:pPr>
      <w:spacing w:after="100" w:afterAutospacing="1" w:before="100" w:beforeAutospacing="1"/>
    </w:pPr>
    <w:rPr>
      <w:rFonts w:eastAsia="Calibri"/>
      <w:lang w:val="en-US"/>
    </w:rPr>
  </w:style>
  <w:style w:styleId="Tekstbalonia" w:type="paragraph">
    <w:name w:val="Balloon Text"/>
    <w:basedOn w:val="Normal"/>
    <w:link w:val="TekstbaloniaChar"/>
    <w:uiPriority w:val="99"/>
    <w:semiHidden/>
    <w:unhideWhenUsed/>
    <w:rsid w:val="00BB6A80"/>
    <w:rPr>
      <w:rFonts w:ascii="Tahoma" w:cs="Tahoma" w:hAnsi="Tahoma"/>
      <w:sz w:val="16"/>
      <w:szCs w:val="16"/>
    </w:rPr>
  </w:style>
  <w:style w:customStyle="1" w:styleId="TekstbaloniaChar" w:type="character">
    <w:name w:val="Tekst balončića Char"/>
    <w:basedOn w:val="Zadanifontodlomka"/>
    <w:link w:val="Tekstbalonia"/>
    <w:uiPriority w:val="99"/>
    <w:semiHidden/>
    <w:rsid w:val="00BB6A80"/>
    <w:rPr>
      <w:rFonts w:ascii="Tahoma" w:cs="Tahoma" w:eastAsia="Times New Roman" w:hAnsi="Tahoma"/>
      <w:sz w:val="16"/>
      <w:szCs w:val="16"/>
    </w:rPr>
  </w:style>
  <w:style w:styleId="Odlomakpopisa" w:type="paragraph">
    <w:name w:val="List Paragraph"/>
    <w:basedOn w:val="Normal"/>
    <w:uiPriority w:val="34"/>
    <w:qFormat/>
    <w:rsid w:val="004E61E9"/>
    <w:pPr>
      <w:spacing w:after="200" w:line="276" w:lineRule="auto"/>
      <w:ind w:left="720"/>
      <w:contextualSpacing/>
    </w:pPr>
    <w:rPr>
      <w:rFonts w:asciiTheme="minorHAnsi" w:cstheme="minorBidi" w:eastAsiaTheme="minorHAnsi" w:hAnsiTheme="minorHAnsi"/>
      <w:sz w:val="22"/>
      <w:szCs w:val="22"/>
    </w:rPr>
  </w:style>
  <w:style w:styleId="Bezproreda" w:type="paragraph">
    <w:name w:val="No Spacing"/>
    <w:link w:val="BezproredaChar"/>
    <w:uiPriority w:val="1"/>
    <w:qFormat/>
    <w:rsid w:val="004E61E9"/>
    <w:pPr>
      <w:spacing w:after="0" w:line="240" w:lineRule="auto"/>
    </w:pPr>
    <w:rPr>
      <w:rFonts w:eastAsiaTheme="minorEastAsia"/>
    </w:rPr>
  </w:style>
  <w:style w:customStyle="1" w:styleId="BezproredaChar" w:type="character">
    <w:name w:val="Bez proreda Char"/>
    <w:basedOn w:val="Zadanifontodlomka"/>
    <w:link w:val="Bezproreda"/>
    <w:uiPriority w:val="1"/>
    <w:rsid w:val="004E61E9"/>
    <w:rPr>
      <w:rFonts w:eastAsiaTheme="minorEastAsia"/>
    </w:rPr>
  </w:style>
  <w:style w:styleId="Tekstrezerviranogmjesta" w:type="character">
    <w:name w:val="Placeholder Text"/>
    <w:basedOn w:val="Zadanifontodlomka"/>
    <w:uiPriority w:val="99"/>
    <w:semiHidden/>
    <w:rsid w:val="00C93570"/>
    <w:rPr>
      <w:color w:val="808080"/>
      <w:bdr w:color="auto" w:space="0" w:sz="0" w:val="none"/>
      <w:shd w:color="auto" w:fill="auto" w:val="clear"/>
    </w:rPr>
  </w:style>
  <w:style w:customStyle="1" w:styleId="eSPISCCParagraphDefaultFont" w:type="character">
    <w:name w:val="eSPIS_CC_Paragraph Default Font"/>
    <w:basedOn w:val="Zadanifontodlomka"/>
    <w:rsid w:val="00C935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3570"/>
    <w:rPr>
      <w:bdr w:color="auto" w:space="0" w:sz="0" w:val="none"/>
      <w:shd w:color="auto" w:fill="FFFFCC" w:val="clear"/>
      <w:lang w:val="hr-HR"/>
    </w:rPr>
  </w:style>
  <w:style w:customStyle="1" w:styleId="PozadinaSvijetloCrvena" w:type="character">
    <w:name w:val="Pozadina_SvijetloCrvena"/>
    <w:basedOn w:val="eSPISCCParagraphDefaultFont"/>
    <w:rsid w:val="00C935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35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9585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Soba 5</izvorni_sadrzaj>
    <derivirana_varijabla naziv="DomainObject.Prostorija.Oznaka_1">Soba 5</derivirana_varijabla>
  </DomainObject.Prostorija.Oznaka>
  <DomainObject.Obrazlozenje>
    <izvorni_sadrzaj/>
    <derivirana_varijabla naziv="DomainObject.Obrazlozenje_1"/>
  </DomainObject.Obrazlozenje>
  <DomainObject.StvarniPocetakDatum>
    <izvorni_sadrzaj>15. listopada 2015.</izvorni_sadrzaj>
    <derivirana_varijabla naziv="DomainObject.StvarniPocetakDatum_1">15. listopada 2015.</derivirana_varijabla>
  </DomainObject.StvarniPocetakDatum>
  <DomainObject.StvarniZavrsetakDatum>
    <izvorni_sadrzaj>15. listopada 2015.</izvorni_sadrzaj>
    <derivirana_varijabla naziv="DomainObject.StvarniZavrsetakDatum_1">15. listopada 2015.</derivirana_varijabla>
  </DomainObject.StvarniZavrsetakDatum>
  <DomainObject.PlaniraniZavrsetakDatum>
    <izvorni_sadrzaj>15. listopada 2015.</izvorni_sadrzaj>
    <derivirana_varijabla naziv="DomainObject.PlaniraniZavrsetakDatum_1">15. listopada 2015.</derivirana_varijabla>
  </DomainObject.PlaniraniZavrsetakDatum>
  <DomainObject.PlaniraniPocetakDatum>
    <izvorni_sadrzaj>15. listopada 2015.</izvorni_sadrzaj>
    <derivirana_varijabla naziv="DomainObject.PlaniraniPocetakDatum_1">15. listopada 2015.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10:55</izvorni_sadrzaj>
    <derivirana_varijabla naziv="DomainObject.PlaniraniZavrsetakVrijeme_1">10:55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LIDIJA ŠETIT</item>
    </izvorni_sadrzaj>
    <derivirana_varijabla naziv="DomainObject.UcesnikSudskeRadnjeListNaziv_1">
      <item>LIDIJA ŠETIT</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Stpn-22/2015</izvorni_sadrzaj>
    <derivirana_varijabla naziv="DomainObject.Predmet.OznakaBroj_1">Stpn-22/2015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Soba 5</izvorni_sadrzaj>
    <derivirana_varijabla naziv="DomainObject.Predmet.Referada.Prostorija.Oznaka_1">Soba 5</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Mate Ivančić</izvorni_sadrzaj>
    <derivirana_varijabla naziv="DomainObject.Predmet.Referada.Sudac_1">Mate Ivančić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LIDIJA ŠETIT</izvorni_sadrzaj>
    <derivirana_varijabla naziv="DomainObject.Predmet.StrankaFormated_1">  LIDIJA ŠETIT</derivirana_varijabla>
  </DomainObject.Predmet.StrankaFormated>
  <DomainObject.Predmet.StrankaFormatedOIB>
    <izvorni_sadrzaj>  LIDIJA ŠETIT, OIB 20973077034</izvorni_sadrzaj>
    <derivirana_varijabla naziv="DomainObject.Predmet.StrankaFormatedOIB_1">  LIDIJA ŠETIT, OIB 20973077034</derivirana_varijabla>
  </DomainObject.Predmet.StrankaFormatedOIB>
  <DomainObject.Predmet.StrankaFormatedWithAdress>
    <izvorni_sadrzaj> LIDIJA ŠETIT, Celestina Medovića 1, 43000 Bjelovar</izvorni_sadrzaj>
    <derivirana_varijabla naziv="DomainObject.Predmet.StrankaFormatedWithAdress_1"> LIDIJA ŠETIT, Celestina Medovića 1, 43000 Bjelovar</derivirana_varijabla>
  </DomainObject.Predmet.StrankaFormatedWithAdress>
  <DomainObject.Predmet.StrankaFormatedWithAdressOIB>
    <izvorni_sadrzaj> LIDIJA ŠETIT, OIB 20973077034, Celestina Medovića 1, 43000 Bjelovar</izvorni_sadrzaj>
    <derivirana_varijabla naziv="DomainObject.Predmet.StrankaFormatedWithAdressOIB_1"> LIDIJA ŠETIT, OIB 20973077034, Celestina Medovića 1, 43000 Bjelovar</derivirana_varijabla>
  </DomainObject.Predmet.StrankaFormatedWithAdressOIB>
  <DomainObject.Predmet.StrankaWithAdress>
    <izvorni_sadrzaj>LIDIJA ŠETIT Celestina Medovića 1,43000 Bjelovar</izvorni_sadrzaj>
    <derivirana_varijabla naziv="DomainObject.Predmet.StrankaWithAdress_1">LIDIJA ŠETIT Celestina Medovića 1,43000 Bjelovar</derivirana_varijabla>
  </DomainObject.Predmet.StrankaWithAdress>
  <DomainObject.Predmet.StrankaWithAdressOIB>
    <izvorni_sadrzaj>LIDIJA ŠETIT, OIB 20973077034, Celestina Medovića 1,43000 Bjelovar</izvorni_sadrzaj>
    <derivirana_varijabla naziv="DomainObject.Predmet.StrankaWithAdressOIB_1">LIDIJA ŠETIT, OIB 20973077034, Celestina Medovića 1,43000 Bjelovar</derivirana_varijabla>
  </DomainObject.Predmet.StrankaWithAdressOIB>
  <DomainObject.Predmet.StrankaNazivFormated>
    <izvorni_sadrzaj>LIDIJA ŠETIT</izvorni_sadrzaj>
    <derivirana_varijabla naziv="DomainObject.Predmet.StrankaNazivFormated_1">LIDIJA ŠETIT</derivirana_varijabla>
  </DomainObject.Predmet.StrankaNazivFormated>
  <DomainObject.Predmet.StrankaNazivFormatedOIB>
    <izvorni_sadrzaj>LIDIJA ŠETIT, OIB 20973077034</izvorni_sadrzaj>
    <derivirana_varijabla naziv="DomainObject.Predmet.StrankaNazivFormatedOIB_1">LIDIJA ŠETIT, OIB 20973077034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LIDIJA ŠETIT</item>
    </izvorni_sadrzaj>
    <derivirana_varijabla naziv="DomainObject.Predmet.StrankaListFormated_1">
      <item>LIDIJA ŠETIT</item>
    </derivirana_varijabla>
  </DomainObject.Predmet.StrankaListFormated>
  <DomainObject.Predmet.StrankaListFormatedOIB>
    <izvorni_sadrzaj>
      <item>LIDIJA ŠETIT, OIB 20973077034</item>
    </izvorni_sadrzaj>
    <derivirana_varijabla naziv="DomainObject.Predmet.StrankaListFormatedOIB_1">
      <item>LIDIJA ŠETIT, OIB 20973077034</item>
    </derivirana_varijabla>
  </DomainObject.Predmet.StrankaListFormatedOIB>
  <DomainObject.Predmet.StrankaListFormatedWithAdress>
    <izvorni_sadrzaj>
      <item>LIDIJA ŠETIT, Celestina Medovića 1, 43000 Bjelovar</item>
    </izvorni_sadrzaj>
    <derivirana_varijabla naziv="DomainObject.Predmet.StrankaListFormatedWithAdress_1">
      <item>LIDIJA ŠETIT, Celestina Medovića 1, 43000 Bjelovar</item>
    </derivirana_varijabla>
  </DomainObject.Predmet.StrankaListFormatedWithAdress>
  <DomainObject.Predmet.StrankaListFormatedWithAdressOIB>
    <izvorni_sadrzaj>
      <item>LIDIJA ŠETIT, OIB 20973077034, Celestina Medovića 1, 43000 Bjelovar</item>
    </izvorni_sadrzaj>
    <derivirana_varijabla naziv="DomainObject.Predmet.StrankaListFormatedWithAdressOIB_1">
      <item>LIDIJA ŠETIT, OIB 20973077034, Celestina Medovića 1, 43000 Bjelovar</item>
    </derivirana_varijabla>
  </DomainObject.Predmet.StrankaListFormatedWithAdressOIB>
  <DomainObject.Predmet.StrankaListNazivFormated>
    <izvorni_sadrzaj>
      <item>LIDIJA ŠETIT</item>
    </izvorni_sadrzaj>
    <derivirana_varijabla naziv="DomainObject.Predmet.StrankaListNazivFormated_1">
      <item>LIDIJA ŠETIT</item>
    </derivirana_varijabla>
  </DomainObject.Predmet.StrankaListNazivFormated>
  <DomainObject.Predmet.StrankaListNazivFormatedOIB>
    <izvorni_sadrzaj>
      <item>LIDIJA ŠETIT, OIB 20973077034</item>
    </izvorni_sadrzaj>
    <derivirana_varijabla naziv="DomainObject.Predmet.StrankaListNazivFormatedOIB_1">
      <item>LIDIJA ŠETIT, OIB 20973077034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
    <derivirana_varijabla naziv="DomainObject.PoslovniBrojDokumenta_1"/>
  </DomainObject.PoslovniBrojDokumenta>
  <DomainObject.Predmet.StrankaIDrugi>
    <izvorni_sadrzaj>LIDIJA ŠETIT</izvorni_sadrzaj>
    <derivirana_varijabla naziv="DomainObject.Predmet.StrankaIDrugi_1">LIDIJA ŠETIT</derivirana_varijabla>
  </DomainObject.Predmet.StrankaIDrugi>
  <DomainObject.Predmet.ProtustrankaIDrugi>
    <izvorni_sadrzaj/>
    <derivirana_varijabla naziv="DomainObject.Predmet.ProtustrankaIDrugi_1"/>
  </DomainObject.Predmet.ProtustrankaIDrugi>
  <DomainObject.Predmet.StrankaIDrugiAdressOIB>
    <izvorni_sadrzaj>LIDIJA ŠETIT, OIB 20973077034, Celestina Medovića 1, 43000 Bjelovar</izvorni_sadrzaj>
    <derivirana_varijabla naziv="DomainObject.Predmet.StrankaIDrugiAdressOIB_1">LIDIJA ŠETIT, OIB 20973077034, Celestina Medovića 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LIDIJA ŠETIT</item>
    </izvorni_sadrzaj>
    <derivirana_varijabla naziv="DomainObject.Predmet.SudioniciListNaziv_1">
      <item>LIDIJA ŠETIT</item>
    </derivirana_varijabla>
  </DomainObject.Predmet.SudioniciListNaziv>
  <DomainObject.Predmet.SudioniciListAdressOIB>
    <izvorni_sadrzaj>
      <item>LIDIJA ŠETIT, OIB 20973077034, Celestina Medovića 1,43000 Bjelovar</item>
    </izvorni_sadrzaj>
    <derivirana_varijabla naziv="DomainObject.Predmet.SudioniciListAdressOIB_1">
      <item>LIDIJA ŠETIT, OIB 20973077034, Celestina Medovića 1,43000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20973077034</item>
    </izvorni_sadrzaj>
    <derivirana_varijabla naziv="DomainObject.Predmet.SudioniciListNazivOIB_1">
      <item>, OIB 20973077034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3896</properties:Words>
  <properties:Characters>22089</properties:Characters>
  <properties:Lines>872</properties:Lines>
  <properties:Paragraphs>558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2015-10-15T06:14:00Z</dcterms:created>
  <dc:creator>Romana Tremski</dc:creator>
  <cp:lastModifiedBy>Romana Tremski</cp:lastModifiedBy>
  <cp:lastPrinted>2015-10-13T07:10:00Z</cp:lastPrinted>
  <dcterms:modified xmlns:xsi="http://www.w3.org/2001/XMLSchema-instance" xsi:type="dcterms:W3CDTF">2015-10-15T08:20:00Z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11</vt:i4>
  </prop:property>
</prop:Properties>
</file>