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aefab" w14:paraId="9caefab" w:rsidRDefault="005C14DF" w:rsidP="009F54BD" w:rsidR="009F54BD" w:rsidRPr="00E87E0D">
      <w:pPr>
        <w:jc w:val="both"/>
        <w15:collapsed w:val="false"/>
        <w:rPr>
          <w:noProof/>
        </w:rPr>
      </w:pPr>
      <w:bookmarkStart w:name="_GoBack" w:id="0"/>
      <w:bookmarkEnd w:id="0"/>
      <w:r w:rsidRPr="00E87E0D">
        <w:t xml:space="preserve">            </w:t>
      </w:r>
      <w:r w:rsidR="00D359AA">
        <w:rPr>
          <w:noProof/>
        </w:rPr>
        <w:drawing>
          <wp:inline distR="0" distL="0" distB="0" distT="0">
            <wp:extent cy="668020" cx="59563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8020" cx="595630"/>
                    </a:xfrm>
                    <a:prstGeom prst="rect">
                      <a:avLst/>
                    </a:prstGeom>
                    <a:noFill/>
                    <a:ln>
                      <a:noFill/>
                    </a:ln>
                  </pic:spPr>
                </pic:pic>
              </a:graphicData>
            </a:graphic>
          </wp:inline>
        </w:drawing>
      </w:r>
      <w:r w:rsidR="00FE59F5" w:rsidRPr="00E87E0D">
        <w:t xml:space="preserve"> </w:t>
      </w:r>
      <w:r w:rsidR="00FE59F5" w:rsidRPr="00E87E0D">
        <w:tab/>
      </w:r>
      <w:r w:rsidR="00FE59F5" w:rsidRPr="00E87E0D">
        <w:tab/>
      </w:r>
      <w:r w:rsidR="00FE59F5" w:rsidRPr="00E87E0D">
        <w:tab/>
      </w:r>
      <w:r w:rsidR="00FE59F5" w:rsidRPr="00E87E0D">
        <w:tab/>
      </w:r>
      <w:r w:rsidR="00FE59F5" w:rsidRPr="00E87E0D">
        <w:tab/>
      </w:r>
      <w:r w:rsidR="00FE59F5" w:rsidRPr="00E87E0D">
        <w:tab/>
      </w:r>
      <w:r w:rsidR="009F54BD" w:rsidRPr="00E87E0D">
        <w:t xml:space="preserve">            </w:t>
      </w:r>
    </w:p>
    <w:p w:rsidRDefault="00FE59F5" w:rsidP="00FE59F5" w:rsidR="00FE59F5" w:rsidRPr="00E87E0D">
      <w:r w:rsidRPr="00E87E0D">
        <w:t>REPUBLIKA HRVATSKA</w:t>
      </w:r>
    </w:p>
    <w:p w:rsidRDefault="00FE59F5" w:rsidP="00FE59F5" w:rsidR="00FE59F5" w:rsidRPr="00E87E0D">
      <w:r w:rsidRPr="00E87E0D">
        <w:t>TRGOVAČKI SUD U PAZINU</w:t>
      </w:r>
    </w:p>
    <w:p w:rsidRDefault="006C5159" w:rsidP="00FE59F5" w:rsidR="006C5159" w:rsidRPr="00E87E0D">
      <w:r w:rsidRPr="00E87E0D">
        <w:t xml:space="preserve">Pazin, Dršćevka 1 </w:t>
      </w:r>
    </w:p>
    <w:p w:rsidRDefault="00FE59F5" w:rsidP="00FE59F5" w:rsidR="00FE59F5" w:rsidRPr="00E87E0D">
      <w:pPr>
        <w:jc w:val="center"/>
      </w:pPr>
    </w:p>
    <w:p w:rsidRDefault="000470AA" w:rsidP="000470AA" w:rsidR="000470AA" w:rsidRPr="008C33C5">
      <w:pPr>
        <w:jc w:val="center"/>
      </w:pPr>
      <w:r>
        <w:t>U  I M E    R E P U B L I K E   H R V A T S K E</w:t>
      </w:r>
    </w:p>
    <w:p w:rsidRDefault="00FE59F5" w:rsidP="00FE59F5" w:rsidR="00FE59F5" w:rsidRPr="00E87E0D">
      <w:pPr>
        <w:jc w:val="center"/>
      </w:pPr>
    </w:p>
    <w:p w:rsidRDefault="00FE59F5" w:rsidP="00FE59F5" w:rsidR="00FE59F5" w:rsidRPr="00E87E0D">
      <w:pPr>
        <w:jc w:val="center"/>
      </w:pPr>
      <w:r w:rsidRPr="00E87E0D">
        <w:t>R J E Š E N J E</w:t>
      </w:r>
    </w:p>
    <w:p w:rsidRDefault="009F54BD" w:rsidP="009F54BD" w:rsidR="009F54BD" w:rsidRPr="00E87E0D">
      <w:pPr>
        <w:ind w:firstLine="708"/>
        <w:jc w:val="both"/>
        <w:rPr>
          <w:noProof/>
        </w:rPr>
      </w:pPr>
    </w:p>
    <w:p w:rsidRDefault="00313DC0" w:rsidP="009F54BD" w:rsidR="0021370F" w:rsidRPr="00E87E0D">
      <w:pPr>
        <w:ind w:firstLine="708"/>
        <w:jc w:val="both"/>
      </w:pPr>
      <w:r w:rsidRPr="00E87E0D">
        <w:rPr>
          <w:noProof/>
        </w:rPr>
        <w:t>Trgovački sud u Pazinu, po sucu tog suda Ivanu Dujiću, kao sucu pojedincu, u  stečajnom postupku nad dužnikom ARCUS DELTA d.o.o, u stečaju, Pula, Kandlerova 8, OIB: 58785778125, zastupanog po stečajnom upravitelju Draženu Ezgeti iz Poreča, M. Benussi 8</w:t>
      </w:r>
      <w:r w:rsidR="009F54BD" w:rsidRPr="00E87E0D">
        <w:t>,</w:t>
      </w:r>
      <w:r w:rsidR="00843E64" w:rsidRPr="00E87E0D">
        <w:t xml:space="preserve"> </w:t>
      </w:r>
      <w:r w:rsidRPr="00E87E0D">
        <w:t>18</w:t>
      </w:r>
      <w:r w:rsidR="0021370F" w:rsidRPr="00E87E0D">
        <w:t xml:space="preserve">. </w:t>
      </w:r>
      <w:r w:rsidRPr="00E87E0D">
        <w:t xml:space="preserve">travnja </w:t>
      </w:r>
      <w:r w:rsidR="0021370F" w:rsidRPr="00E87E0D">
        <w:t>201</w:t>
      </w:r>
      <w:r w:rsidRPr="00E87E0D">
        <w:t>6</w:t>
      </w:r>
      <w:r w:rsidR="0021370F" w:rsidRPr="00E87E0D">
        <w:t xml:space="preserve">. </w:t>
      </w:r>
    </w:p>
    <w:p w:rsidRDefault="00DE548D" w:rsidP="00DE548D" w:rsidR="00DE548D" w:rsidRPr="00E87E0D"/>
    <w:p w:rsidRDefault="00DE548D" w:rsidP="00DE548D" w:rsidR="00DE548D" w:rsidRPr="00E87E0D">
      <w:pPr>
        <w:jc w:val="center"/>
      </w:pPr>
      <w:r w:rsidRPr="00E87E0D">
        <w:t xml:space="preserve">r i j e š i o  j e </w:t>
      </w:r>
    </w:p>
    <w:p w:rsidRDefault="00DE548D" w:rsidP="00DE548D" w:rsidR="00DE548D" w:rsidRPr="00E87E0D">
      <w:pPr>
        <w:jc w:val="center"/>
      </w:pPr>
    </w:p>
    <w:p w:rsidRDefault="003F40A7" w:rsidP="00DE548D" w:rsidR="003F40A7" w:rsidRPr="00E87E0D">
      <w:pPr>
        <w:jc w:val="center"/>
      </w:pPr>
    </w:p>
    <w:p w:rsidRDefault="00DE548D" w:rsidP="009E04C4" w:rsidR="00DE548D" w:rsidRPr="00E87E0D">
      <w:pPr>
        <w:numPr>
          <w:ilvl w:val="0"/>
          <w:numId w:val="1"/>
        </w:numPr>
        <w:jc w:val="both"/>
      </w:pPr>
      <w:r w:rsidRPr="00E87E0D">
        <w:t xml:space="preserve">Zaključuje se stečajni postupak nad dužnikom </w:t>
      </w:r>
      <w:r w:rsidR="009E04C4" w:rsidRPr="00E87E0D">
        <w:t>ARCUS DELTA d.o.o, u stečaju, Pula, Kandlerova 8, OIB: 58785778125</w:t>
      </w:r>
      <w:r w:rsidRPr="00E87E0D">
        <w:t>.</w:t>
      </w:r>
    </w:p>
    <w:p w:rsidRDefault="00DE548D" w:rsidP="00DE548D" w:rsidR="00DE548D" w:rsidRPr="00E87E0D">
      <w:pPr>
        <w:ind w:left="360"/>
        <w:jc w:val="both"/>
      </w:pPr>
    </w:p>
    <w:p w:rsidRDefault="00DE548D" w:rsidP="008C0478" w:rsidR="00DE548D" w:rsidRPr="008C0478">
      <w:pPr>
        <w:numPr>
          <w:ilvl w:val="0"/>
          <w:numId w:val="1"/>
        </w:numPr>
        <w:jc w:val="both"/>
      </w:pPr>
      <w:r w:rsidRPr="008C0478">
        <w:t>Ovo rješenje i osnova zaključenja</w:t>
      </w:r>
      <w:r w:rsidR="008C0478">
        <w:t xml:space="preserve"> </w:t>
      </w:r>
      <w:r w:rsidR="008C0478" w:rsidRPr="008C0478">
        <w:t>stečajnog postupka (čl. 196. Stečajnog zakona</w:t>
      </w:r>
      <w:r w:rsidR="008C0478">
        <w:t xml:space="preserve">, </w:t>
      </w:r>
      <w:r w:rsidR="008C0478" w:rsidRPr="008C0478">
        <w:t>Narodne novine br. 44/1996, 161/1998, 29/1999, 129/2000, 123/2003, 197/2003, 187/2004, 82/2006, 116/2010, 25/2012, 133/2012, 45/2013, koji se primjenjuje temeljem čl. 441. Stečajnog zako</w:t>
      </w:r>
      <w:r w:rsidR="008C0478">
        <w:t xml:space="preserve">na, </w:t>
      </w:r>
      <w:r w:rsidR="008C0478" w:rsidRPr="008C0478">
        <w:t>Narodne novine br. 71/2015)</w:t>
      </w:r>
      <w:r w:rsidR="008C0478">
        <w:t xml:space="preserve"> </w:t>
      </w:r>
      <w:r w:rsidR="008C0478" w:rsidRPr="008C0478">
        <w:t>objaviti će se u izvodu oglasom u Narodnim novinama</w:t>
      </w:r>
      <w:r w:rsidRPr="008C0478">
        <w:t>.</w:t>
      </w:r>
    </w:p>
    <w:p w:rsidRDefault="00DE548D" w:rsidP="00DE548D" w:rsidR="00DE548D" w:rsidRPr="00E87E0D">
      <w:pPr>
        <w:jc w:val="both"/>
      </w:pPr>
    </w:p>
    <w:p w:rsidRDefault="00DE548D" w:rsidP="00DE548D" w:rsidR="00DE548D" w:rsidRPr="00E87E0D">
      <w:pPr>
        <w:numPr>
          <w:ilvl w:val="0"/>
          <w:numId w:val="1"/>
        </w:numPr>
        <w:jc w:val="both"/>
      </w:pPr>
      <w:r w:rsidRPr="00E87E0D">
        <w:t>Po pravomoćnosti ovog rješenja, isto će se dostaviti sudskom registru ovoga suda</w:t>
      </w:r>
      <w:r w:rsidR="00523B4F">
        <w:t>,</w:t>
      </w:r>
      <w:r w:rsidRPr="00E87E0D">
        <w:t xml:space="preserve"> radi brisanja dužnika iz sudskog registra.</w:t>
      </w:r>
    </w:p>
    <w:p w:rsidRDefault="00DE548D" w:rsidP="00DE548D" w:rsidR="00DE548D" w:rsidRPr="00E87E0D">
      <w:pPr>
        <w:jc w:val="both"/>
      </w:pPr>
    </w:p>
    <w:p w:rsidRDefault="00DE548D" w:rsidP="00DE548D" w:rsidR="00DE548D" w:rsidRPr="00E87E0D">
      <w:pPr>
        <w:jc w:val="center"/>
      </w:pPr>
      <w:r w:rsidRPr="00E87E0D">
        <w:t>Obrazloženje</w:t>
      </w:r>
    </w:p>
    <w:p w:rsidRDefault="00DE548D" w:rsidP="00DE548D" w:rsidR="00DE548D" w:rsidRPr="00E87E0D">
      <w:pPr>
        <w:jc w:val="both"/>
      </w:pPr>
    </w:p>
    <w:p w:rsidRDefault="009E04C4" w:rsidP="009E04C4" w:rsidR="009E04C4" w:rsidRPr="00E87E0D">
      <w:pPr>
        <w:ind w:firstLine="708"/>
        <w:jc w:val="both"/>
      </w:pPr>
      <w:r w:rsidRPr="00E87E0D">
        <w:t>Temeljem čl. 193. Stečajnog zakona (Narodne novine br. 44/1996, 161/1998, 29/1999, 129/2000, 123/2003, 197/2003, 187/2004, 82/2006, 116/2010, 25/2012, 133/2012, 45/2013</w:t>
      </w:r>
      <w:r w:rsidR="00FC1A0F">
        <w:t>, dalje: SZ</w:t>
      </w:r>
      <w:r w:rsidRPr="00E87E0D">
        <w:t>), koji se primjenjuje temeljem čl. 441. Stečajnog zakona (Narodne novine br. 71/2015), zaključkom ovog suda posl.br. St-10/15-229 od 02. ožujka 2016. sazvano je završno ročište vjerovnika stečajnog dužnika ARCUS DELTA d.o.o., u stečaju, Pula, Kandlerova 8, OIB: 58785778125, za 18. travnja 2016. u 12:00 sati.</w:t>
      </w:r>
    </w:p>
    <w:p w:rsidRDefault="006C5159" w:rsidP="00DE548D" w:rsidR="006C5159" w:rsidRPr="00E87E0D">
      <w:pPr>
        <w:ind w:firstLine="708"/>
        <w:jc w:val="both"/>
      </w:pPr>
    </w:p>
    <w:p w:rsidRDefault="00DE548D" w:rsidP="00DE548D" w:rsidR="003C030E" w:rsidRPr="00E87E0D">
      <w:pPr>
        <w:ind w:firstLine="708"/>
        <w:jc w:val="both"/>
      </w:pPr>
      <w:r w:rsidRPr="00E87E0D">
        <w:t>Na završnom ročištu stečajn</w:t>
      </w:r>
      <w:r w:rsidR="003C030E" w:rsidRPr="00E87E0D">
        <w:t>i</w:t>
      </w:r>
      <w:r w:rsidRPr="00E87E0D">
        <w:t xml:space="preserve"> je upravitelj usmeno izloži</w:t>
      </w:r>
      <w:r w:rsidR="003C030E" w:rsidRPr="00E87E0D">
        <w:t>o</w:t>
      </w:r>
      <w:r w:rsidRPr="00E87E0D">
        <w:t xml:space="preserve"> završno izvješće i završn</w:t>
      </w:r>
      <w:r w:rsidR="003C030E" w:rsidRPr="00E87E0D">
        <w:t>i račun kako slijedi:</w:t>
      </w:r>
    </w:p>
    <w:p w:rsidRDefault="003C030E" w:rsidP="00DE548D" w:rsidR="003C030E" w:rsidRPr="00E87E0D">
      <w:pPr>
        <w:ind w:firstLine="708"/>
        <w:jc w:val="both"/>
      </w:pPr>
    </w:p>
    <w:p w:rsidRDefault="003F45EF" w:rsidP="006C5159" w:rsidR="006C5159" w:rsidRPr="00E87E0D">
      <w:pPr>
        <w:jc w:val="both"/>
      </w:pPr>
      <w:r w:rsidRPr="00E87E0D">
        <w:t>„</w:t>
      </w:r>
      <w:r w:rsidR="006C5159" w:rsidRPr="00E87E0D">
        <w:t>I.       Tražbine stečajnih vjerovnika</w:t>
      </w:r>
    </w:p>
    <w:p w:rsidRDefault="006C5159" w:rsidP="006C5159" w:rsidR="006C5159" w:rsidRPr="00E87E0D">
      <w:pPr>
        <w:pStyle w:val="Tijeloteksta"/>
        <w:rPr>
          <w:bCs/>
        </w:rPr>
      </w:pPr>
    </w:p>
    <w:p w:rsidRDefault="006C5159" w:rsidP="006C5159" w:rsidR="006C5159" w:rsidRPr="00E87E0D">
      <w:pPr>
        <w:pStyle w:val="Tijeloteksta"/>
        <w:rPr>
          <w:bCs/>
        </w:rPr>
      </w:pPr>
      <w:r w:rsidRPr="00E87E0D">
        <w:rPr>
          <w:bCs/>
        </w:rPr>
        <w:t>Rješenjem Trgovačkog suda u Rijeci, Stalne službe u Pazinu, posl. br. St-36/11-22, otvoren je stečajni postupak nad ARCUS DELTA d.o.o, sa sjedištem u Puli, Kandlerova 8, dana 10. lipnja 2011. godine.</w:t>
      </w:r>
    </w:p>
    <w:p w:rsidRDefault="006C5159" w:rsidP="006C5159" w:rsidR="006C5159" w:rsidRPr="00E87E0D">
      <w:pPr>
        <w:pStyle w:val="Tijeloteksta"/>
      </w:pPr>
    </w:p>
    <w:p w:rsidRDefault="006C5159" w:rsidP="006C5159" w:rsidR="006C5159" w:rsidRPr="00E87E0D">
      <w:pPr>
        <w:pStyle w:val="Tijeloteksta"/>
      </w:pPr>
      <w:r w:rsidRPr="00E87E0D">
        <w:lastRenderedPageBreak/>
        <w:t>Tijekom stečajnog postupka održana su dva ispitna ročišta na kojima su priznate tražbine stečajnih vjerovnika u slijedećim iznosima:</w:t>
      </w:r>
    </w:p>
    <w:p w:rsidRDefault="006C5159" w:rsidP="006C5159" w:rsidR="006C5159" w:rsidRPr="00E87E0D">
      <w:pPr>
        <w:pStyle w:val="Tijeloteksta"/>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21"/>
        <w:gridCol w:w="5223"/>
        <w:gridCol w:w="3142"/>
      </w:tblGrid>
      <w:tr w:rsidTr="00400F59" w:rsidR="006C5159" w:rsidRPr="00E87E0D">
        <w:tc>
          <w:tcPr>
            <w:tcW w:type="dxa" w:w="922"/>
          </w:tcPr>
          <w:p w:rsidRDefault="006C5159" w:rsidP="00400F59" w:rsidR="006C5159" w:rsidRPr="00E87E0D">
            <w:pPr>
              <w:pStyle w:val="Tijeloteksta"/>
              <w:jc w:val="center"/>
            </w:pPr>
            <w:r w:rsidRPr="00E87E0D">
              <w:t>R. br.</w:t>
            </w:r>
          </w:p>
        </w:tc>
        <w:tc>
          <w:tcPr>
            <w:tcW w:type="dxa" w:w="5224"/>
          </w:tcPr>
          <w:p w:rsidRDefault="006C5159" w:rsidP="00400F59" w:rsidR="006C5159" w:rsidRPr="00E87E0D">
            <w:pPr>
              <w:pStyle w:val="Tijeloteksta"/>
              <w:jc w:val="center"/>
            </w:pPr>
            <w:r w:rsidRPr="00E87E0D">
              <w:t>Isplatni red</w:t>
            </w:r>
          </w:p>
        </w:tc>
        <w:tc>
          <w:tcPr>
            <w:tcW w:type="dxa" w:w="3142"/>
          </w:tcPr>
          <w:p w:rsidRDefault="006C5159" w:rsidP="00400F59" w:rsidR="006C5159" w:rsidRPr="00E87E0D">
            <w:pPr>
              <w:pStyle w:val="Tijeloteksta"/>
              <w:jc w:val="center"/>
            </w:pPr>
            <w:r w:rsidRPr="00E87E0D">
              <w:t>Iznos</w:t>
            </w:r>
          </w:p>
        </w:tc>
      </w:tr>
      <w:tr w:rsidTr="00400F59" w:rsidR="006C5159" w:rsidRPr="00E87E0D">
        <w:tc>
          <w:tcPr>
            <w:tcW w:type="dxa" w:w="922"/>
          </w:tcPr>
          <w:p w:rsidRDefault="006C5159" w:rsidP="00400F59" w:rsidR="006C5159" w:rsidRPr="00E87E0D">
            <w:pPr>
              <w:pStyle w:val="Tijeloteksta"/>
              <w:jc w:val="center"/>
            </w:pPr>
            <w:r w:rsidRPr="00E87E0D">
              <w:t>1.</w:t>
            </w:r>
          </w:p>
        </w:tc>
        <w:tc>
          <w:tcPr>
            <w:tcW w:type="dxa" w:w="5224"/>
          </w:tcPr>
          <w:p w:rsidRDefault="006C5159" w:rsidP="00400F59" w:rsidR="006C5159" w:rsidRPr="00E87E0D">
            <w:pPr>
              <w:pStyle w:val="Tijeloteksta"/>
            </w:pPr>
            <w:r w:rsidRPr="00E87E0D">
              <w:t>Prvi viši isplatni red</w:t>
            </w:r>
          </w:p>
        </w:tc>
        <w:tc>
          <w:tcPr>
            <w:tcW w:type="dxa" w:w="3142"/>
          </w:tcPr>
          <w:p w:rsidRDefault="006C5159" w:rsidP="00400F59" w:rsidR="006C5159" w:rsidRPr="00E87E0D">
            <w:pPr>
              <w:pStyle w:val="Tijeloteksta"/>
              <w:jc w:val="right"/>
            </w:pPr>
            <w:r w:rsidRPr="00E87E0D">
              <w:rPr>
                <w:bCs/>
              </w:rPr>
              <w:t>938.263,79</w:t>
            </w:r>
          </w:p>
        </w:tc>
      </w:tr>
      <w:tr w:rsidTr="00400F59" w:rsidR="006C5159" w:rsidRPr="00E87E0D">
        <w:tc>
          <w:tcPr>
            <w:tcW w:type="dxa" w:w="922"/>
          </w:tcPr>
          <w:p w:rsidRDefault="006C5159" w:rsidP="00400F59" w:rsidR="006C5159" w:rsidRPr="00E87E0D">
            <w:pPr>
              <w:pStyle w:val="Tijeloteksta"/>
              <w:jc w:val="center"/>
            </w:pPr>
            <w:r w:rsidRPr="00E87E0D">
              <w:t>2.</w:t>
            </w:r>
          </w:p>
        </w:tc>
        <w:tc>
          <w:tcPr>
            <w:tcW w:type="dxa" w:w="5224"/>
          </w:tcPr>
          <w:p w:rsidRDefault="006C5159" w:rsidP="00400F59" w:rsidR="006C5159" w:rsidRPr="00E87E0D">
            <w:pPr>
              <w:pStyle w:val="Tijeloteksta"/>
            </w:pPr>
            <w:r w:rsidRPr="00E87E0D">
              <w:t>Drugi viši isplatni red</w:t>
            </w:r>
          </w:p>
        </w:tc>
        <w:tc>
          <w:tcPr>
            <w:tcW w:type="dxa" w:w="3142"/>
          </w:tcPr>
          <w:p w:rsidRDefault="006C5159" w:rsidP="00400F59" w:rsidR="006C5159" w:rsidRPr="00E87E0D">
            <w:pPr>
              <w:pStyle w:val="Tijeloteksta"/>
              <w:jc w:val="right"/>
            </w:pPr>
            <w:r w:rsidRPr="00E87E0D">
              <w:t xml:space="preserve"> 33.937.291,43</w:t>
            </w:r>
          </w:p>
        </w:tc>
      </w:tr>
      <w:tr w:rsidTr="00400F59" w:rsidR="006C5159" w:rsidRPr="00E87E0D">
        <w:tc>
          <w:tcPr>
            <w:tcW w:type="dxa" w:w="922"/>
          </w:tcPr>
          <w:p w:rsidRDefault="006C5159" w:rsidP="00400F59" w:rsidR="006C5159" w:rsidRPr="00E87E0D">
            <w:pPr>
              <w:pStyle w:val="Tijeloteksta"/>
              <w:jc w:val="center"/>
            </w:pPr>
          </w:p>
        </w:tc>
        <w:tc>
          <w:tcPr>
            <w:tcW w:type="dxa" w:w="5224"/>
          </w:tcPr>
          <w:p w:rsidRDefault="006C5159" w:rsidP="00400F59" w:rsidR="006C5159" w:rsidRPr="00E87E0D">
            <w:pPr>
              <w:pStyle w:val="Tijeloteksta"/>
              <w:jc w:val="center"/>
            </w:pPr>
            <w:r w:rsidRPr="00E87E0D">
              <w:t>Ukupno</w:t>
            </w:r>
          </w:p>
        </w:tc>
        <w:tc>
          <w:tcPr>
            <w:tcW w:type="dxa" w:w="3142"/>
          </w:tcPr>
          <w:p w:rsidRDefault="006C5159" w:rsidP="00400F59" w:rsidR="006C5159" w:rsidRPr="00E87E0D">
            <w:pPr>
              <w:pStyle w:val="Tijeloteksta"/>
              <w:jc w:val="right"/>
            </w:pPr>
            <w:r w:rsidRPr="00E87E0D">
              <w:t>34.875.555,22</w:t>
            </w:r>
          </w:p>
        </w:tc>
      </w:tr>
    </w:tbl>
    <w:p w:rsidRDefault="006C5159" w:rsidP="006C5159" w:rsidR="006C5159" w:rsidRPr="00E87E0D">
      <w:pPr>
        <w:pStyle w:val="Tijeloteksta"/>
      </w:pPr>
    </w:p>
    <w:p w:rsidRDefault="006C5159" w:rsidP="006C5159" w:rsidR="006C5159" w:rsidRPr="00E87E0D">
      <w:pPr>
        <w:jc w:val="both"/>
      </w:pPr>
      <w:r w:rsidRPr="00E87E0D">
        <w:t>II.</w:t>
      </w:r>
      <w:r w:rsidRPr="00E87E0D">
        <w:tab/>
        <w:t xml:space="preserve"> Stečajna masa</w:t>
      </w:r>
    </w:p>
    <w:p w:rsidRDefault="006C5159" w:rsidP="006C5159" w:rsidR="006C5159" w:rsidRPr="00E87E0D"/>
    <w:p w:rsidRDefault="006C5159" w:rsidP="006C5159" w:rsidR="006C5159" w:rsidRPr="00E87E0D">
      <w:r w:rsidRPr="00E87E0D">
        <w:t>Tijekom stečajnog postupka unovčena je slijedeća imovina stečajnog dužnika:</w:t>
      </w:r>
    </w:p>
    <w:p w:rsidRDefault="006C5159" w:rsidP="006C5159" w:rsidR="006C5159" w:rsidRPr="00E87E0D">
      <w:pPr>
        <w:jc w:val="both"/>
      </w:pPr>
    </w:p>
    <w:p w:rsidRDefault="006C5159" w:rsidP="006C5159" w:rsidR="006C5159" w:rsidRPr="00E87E0D">
      <w:pPr>
        <w:jc w:val="both"/>
      </w:pPr>
      <w:r w:rsidRPr="00E87E0D">
        <w:t>1.</w:t>
      </w:r>
      <w:r w:rsidRPr="00E87E0D">
        <w:tab/>
        <w:t xml:space="preserve">U vrijeme otvaranja stečajnog postupka bio je u tijeku ovršni postupak kojeg je vodio Općinski sud u Puli pod posl. br. Ovr-1185/13, radi namirenja tražbina ovrhovoditelja, Hrvatske poštanske banke d.d. i Hypo Alpe-Adria-Bank d.d, prodajom nekretnina stečajnog dužnika, četiri etaže u zgradi sagrađene na nekretnini oznake k.č.br. 237/3, upisane u z.k.ul. br. 2024  - etažno vlasništvo k.o. Premantura: 10. etaže k.č.br. 237/3 k.o. Premantura, stan-apartman u podrumu, površine </w:t>
      </w:r>
      <w:smartTag w:element="metricconverter" w:uri="urn:schemas-microsoft-com:office:smarttags">
        <w:smartTagPr>
          <w:attr w:val="91,79 m2" w:name="ProductID"/>
        </w:smartTagPr>
        <w:r w:rsidRPr="00E87E0D">
          <w:t>91,79 m2</w:t>
        </w:r>
      </w:smartTag>
      <w:r w:rsidRPr="00E87E0D">
        <w:t xml:space="preserve">, 11. etaže k.č.br. 237/3 k.o. Premantura, otvoreni bazen i prostor u dvorištu, površine </w:t>
      </w:r>
      <w:smartTag w:element="metricconverter" w:uri="urn:schemas-microsoft-com:office:smarttags">
        <w:smartTagPr>
          <w:attr w:val="139,00 m2" w:name="ProductID"/>
        </w:smartTagPr>
        <w:r w:rsidRPr="00E87E0D">
          <w:t>139,00 m2</w:t>
        </w:r>
      </w:smartTag>
      <w:r w:rsidRPr="00E87E0D">
        <w:t xml:space="preserve">, 15. etaže k.č.br. 237/3 k.o. Premantura, prostor u podrumu, površine 20,44 m2 i 16. etaže k.č.br. 237/3 k.o. Premantura, prostor u podrumu, površine </w:t>
      </w:r>
      <w:smartTag w:element="metricconverter" w:uri="urn:schemas-microsoft-com:office:smarttags">
        <w:smartTagPr>
          <w:attr w:val="28,86 m2" w:name="ProductID"/>
        </w:smartTagPr>
        <w:r w:rsidRPr="00E87E0D">
          <w:t>28,86 m2</w:t>
        </w:r>
      </w:smartTag>
      <w:r w:rsidRPr="00E87E0D">
        <w:t xml:space="preserve">. </w:t>
      </w:r>
    </w:p>
    <w:p w:rsidRDefault="006C5159" w:rsidP="006C5159" w:rsidR="006C5159" w:rsidRPr="00E87E0D">
      <w:pPr>
        <w:jc w:val="both"/>
      </w:pPr>
    </w:p>
    <w:p w:rsidRDefault="006C5159" w:rsidP="006C5159" w:rsidR="006C5159" w:rsidRPr="00E87E0D">
      <w:pPr>
        <w:pStyle w:val="Tijeloteksta"/>
      </w:pPr>
      <w:r w:rsidRPr="00E87E0D">
        <w:t>Općinski je sud u Puli, zaključkom posl. br. Ovr-1185/13, od 4. travnja 2014. godine, odredio prvo ročište za prodaju navedenih nekretnina za dan 7. svibnja 2014. godine.</w:t>
      </w:r>
    </w:p>
    <w:p w:rsidRDefault="006C5159" w:rsidP="006C5159" w:rsidR="006C5159" w:rsidRPr="00E87E0D">
      <w:pPr>
        <w:jc w:val="both"/>
      </w:pPr>
    </w:p>
    <w:p w:rsidRDefault="006C5159" w:rsidP="006C5159" w:rsidR="006C5159" w:rsidRPr="00E87E0D">
      <w:pPr>
        <w:pStyle w:val="Tijeloteksta"/>
      </w:pPr>
      <w:r w:rsidRPr="00E87E0D">
        <w:t>Oglas o prodaji nekretnina objavljen je javnom glasilu Glas Istre, na internet stranici www.arcus-delta.com, internet stranici Hrvatske gospodarske komore i Sudačke mreže, a o oglasu su bile neposredno obaviještene osobe koje su pokazale interes za kupnju.</w:t>
      </w:r>
    </w:p>
    <w:p w:rsidRDefault="006C5159" w:rsidP="006C5159" w:rsidR="006C5159" w:rsidRPr="00E87E0D">
      <w:pPr>
        <w:pStyle w:val="Tijeloteksta"/>
      </w:pPr>
    </w:p>
    <w:p w:rsidRDefault="006C5159" w:rsidP="006C5159" w:rsidR="006C5159" w:rsidRPr="00E87E0D">
      <w:pPr>
        <w:pStyle w:val="Tijeloteksta"/>
      </w:pPr>
      <w:r w:rsidRPr="00E87E0D">
        <w:t>Na prvom ročištu za prodaju nekretnina, održanom na Općinskom sudu u Puli dana 7. svibnja 2014. godine, prvi hipotekarni vjerovnik, Hypo Alpe-Adria-Bank d.d, kupio je navedene nekretnine za ukupan iznos od 756.862,00 kn, te je zatražio da ga sud oslobodi plaćanja cijene s obzirom da njegova tražbina premašuje iznos kupovnine.</w:t>
      </w:r>
    </w:p>
    <w:p w:rsidRDefault="006C5159" w:rsidP="006C5159" w:rsidR="006C5159" w:rsidRPr="00E87E0D">
      <w:pPr>
        <w:jc w:val="both"/>
      </w:pPr>
      <w:r w:rsidRPr="00E87E0D">
        <w:t>Na istom ročištu za prodaju nekretnina stečajni dužnik je temeljem odredbi članka 170. Stečajnog zakona postavio zahtjev da sud obveže kupca nekretnine da plati dio kupovnine u iznosu od 328.763,24 kn.</w:t>
      </w:r>
    </w:p>
    <w:p w:rsidRDefault="006C5159" w:rsidP="006C5159" w:rsidR="006C5159" w:rsidRPr="00E87E0D">
      <w:pPr>
        <w:jc w:val="both"/>
      </w:pPr>
      <w:r w:rsidRPr="00E87E0D">
        <w:t>Općinski sud u Puli je rješenjem o dosudi, posl. br. Ovr-1185/13 od 7. svibnja 2014. godine, obvezao kupca nekretnine da plati dio kupovnine, u iznosu od 334.000,00 kn, u kojem iznosu je, pored iznosa kojeg je zatražio stečajni dužnik, uračunat i iznos sudske pristojbe koju je platio prvi ovrhovoditelj, Hrvatska poštanska banka d.d.</w:t>
      </w:r>
    </w:p>
    <w:p w:rsidRDefault="006C5159" w:rsidP="006C5159" w:rsidR="006C5159" w:rsidRPr="00E87E0D">
      <w:pPr>
        <w:jc w:val="both"/>
      </w:pPr>
      <w:r w:rsidRPr="00E87E0D">
        <w:t>Nakon što je kupac nekretnine, Hypo Alpe-Adria-Bank d.d, uplatio navedeni iznos od 334.000,00 kn, na Općinskom sudu u Puli održano je ročište za diobu kupovnine dana 8. rujna 2014. godine.</w:t>
      </w:r>
    </w:p>
    <w:p w:rsidRDefault="006C5159" w:rsidP="006C5159" w:rsidR="006C5159" w:rsidRPr="00E87E0D">
      <w:pPr>
        <w:jc w:val="both"/>
      </w:pPr>
      <w:r w:rsidRPr="00E87E0D">
        <w:t>Općinski sud u Puli je zatim rješenjem posl. br. Ovr-1185/13-57, od 14. listopada 2014. godine, odredio da se iz iznosa kojeg je platio kupac nekretnine namire troškovi ovršnog postupka u ukupnom iznosu od 17.092,69 kn, te da se preostali iznos, od 316.907,31 kn isplati naslovnom sudu temeljem odredbe članka 164a, stavka 1. Stečajnog zakona.</w:t>
      </w:r>
    </w:p>
    <w:p w:rsidRDefault="006C5159" w:rsidP="006C5159" w:rsidR="006C5159" w:rsidRPr="00E87E0D">
      <w:pPr>
        <w:jc w:val="both"/>
      </w:pPr>
    </w:p>
    <w:p w:rsidRDefault="006C5159" w:rsidP="006C5159" w:rsidR="006C5159" w:rsidRPr="00E87E0D">
      <w:pPr>
        <w:jc w:val="both"/>
      </w:pPr>
      <w:r w:rsidRPr="00E87E0D">
        <w:t xml:space="preserve">Rješenjem Trgovačkog suda u Rijeci, Stalne službe u Pazinu, posl. br. St-36/11-168, od 9. siječnja 2015. godine, određeno je da se iz iznosa kupovnine, postignute u ovršnom postupku Općinskog suda u Puli, posl. br. Ovr-1185/13 prodajom nekretnina stečajnog dužnika, etaža br: 10, 11, 15. i 16. k.č.br. 237/3 k.o. Premantura, u iznosu od 756.862,00 kn,  </w:t>
      </w:r>
      <w:r w:rsidRPr="00E87E0D">
        <w:tab/>
        <w:t>izdvaja u stečajnu masu ARCUS DELTA d.o.o, u stečaju, iznos od 37.843,00 kn na ime troškova utvrđivanja tražbine i iznos od 279.064,31 kn na ime troškova unovčenja nekretnina, te da se  namiruje razlučni vjerovnik Hypo Alpe-Adria-Bank d.d. Zagreb, u dijelu potraživanja, u visini od 439.954,69 kn i to prijebojem sa tražbinom stečajnog dužnika za isplatu kupovnine.</w:t>
      </w:r>
    </w:p>
    <w:p w:rsidRDefault="006C5159" w:rsidP="006C5159" w:rsidR="006C5159" w:rsidRPr="00E87E0D">
      <w:pPr>
        <w:jc w:val="both"/>
      </w:pPr>
      <w:r w:rsidRPr="00E87E0D">
        <w:t xml:space="preserve">  </w:t>
      </w:r>
    </w:p>
    <w:p w:rsidRDefault="006C5159" w:rsidP="006C5159" w:rsidR="006C5159" w:rsidRPr="00E87E0D">
      <w:pPr>
        <w:jc w:val="both"/>
      </w:pPr>
      <w:r w:rsidRPr="00E87E0D">
        <w:t>2.</w:t>
      </w:r>
      <w:r w:rsidRPr="00E87E0D">
        <w:tab/>
        <w:t xml:space="preserve">U vrijeme otvaranja stečajnog postupka nad ARCUS DELTA d.o.o, Općinski sud u Labinu vodio je ovršni postupak povodom prijedloga ovrhovoditelja, ETRADEX d.o.o. Pićan, protiv ovršenika ARCUS DELTA d.o.o,  fiducijarnog vlasnika nekretnine oznake k.č.br. 702/3, upisane u z.k.ul. 626 k.o. Rabac, u naravi kuća i dvorište sa </w:t>
      </w:r>
      <w:smartTag w:element="metricconverter" w:uri="urn:schemas-microsoft-com:office:smarttags">
        <w:smartTagPr>
          <w:attr w:val="24 m2" w:name="ProductID"/>
        </w:smartTagPr>
        <w:r w:rsidRPr="00E87E0D">
          <w:t>24 m2</w:t>
        </w:r>
      </w:smartTag>
      <w:r w:rsidRPr="00E87E0D">
        <w:t>.</w:t>
      </w:r>
    </w:p>
    <w:p w:rsidRDefault="006C5159" w:rsidP="006C5159" w:rsidR="006C5159" w:rsidRPr="00E87E0D">
      <w:pPr>
        <w:jc w:val="both"/>
      </w:pPr>
      <w:r w:rsidRPr="00E87E0D">
        <w:t>Nakon što je ovršenik, ARCUS DELTA d.o.o, u stečaju, objavio oglas o prodaji predmetne nekretnine u javnom glasilu Glas Istre, na internet stranici www.arcus-delta.com, internet stranici Hrvatske gospodarske komore i Sudačke mreže, te nakon što su o oglasu neposredno obaviještene osobe koje su pokazale interes za kupnju, predmetna nekretnina prodana je u ovršnom postupku za iznos od 950.986,30 kn.</w:t>
      </w:r>
    </w:p>
    <w:p w:rsidRDefault="006C5159" w:rsidP="006C5159" w:rsidR="006C5159" w:rsidRPr="00E87E0D">
      <w:pPr>
        <w:jc w:val="both"/>
      </w:pPr>
      <w:r w:rsidRPr="00E87E0D">
        <w:t>Općinski sud u Labinu donio je zatim rješenje, posl. br. Ovr-170/09, dana 28. listopada 2014. godine, kojim je odredio da se nakon namirenja troška ovršnog postupka, u iznosu od 4.641,62 kn, preostali iznos kupovnine, od 943.514,68 kn, isplati naslovnom sudu kao stečajnom sudu ovršenika.</w:t>
      </w:r>
    </w:p>
    <w:p w:rsidRDefault="006C5159" w:rsidP="006C5159" w:rsidR="006C5159" w:rsidRPr="00E87E0D">
      <w:pPr>
        <w:jc w:val="both"/>
      </w:pPr>
    </w:p>
    <w:p w:rsidRDefault="006C5159" w:rsidP="006C5159" w:rsidR="006C5159" w:rsidRPr="00E87E0D">
      <w:pPr>
        <w:jc w:val="both"/>
      </w:pPr>
      <w:r w:rsidRPr="00E87E0D">
        <w:t>Nakon ročišta za diobu kupovnine, održanog dana 19. lipnja 2015. godine, naslovni sud je donio rješenje, posl. br. St-10/15-199, dana 29. lipnja 2015. godine, temeljem kojeg je stečajnom dužniku isplaćen iznos od 47.549,31 kn na ime troškova utvrđivanja tražbine, te iznos od 2.235,00 kn na ime troškova unovčenja nekretnine, dok je iznosom od 646.077,12 kn namirena tražbina ETRADEX d.o.o, vjerovnika STARI HRAST d.o.o, te je iznosom od 247.653,25 kn namirena tražbina Republike Hrvatske, vjerovnika stečajnog dužnika.</w:t>
      </w:r>
    </w:p>
    <w:p w:rsidRDefault="006C5159" w:rsidP="006C5159" w:rsidR="006C5159" w:rsidRPr="00E87E0D">
      <w:pPr>
        <w:jc w:val="both"/>
      </w:pPr>
    </w:p>
    <w:p w:rsidRDefault="006C5159" w:rsidP="006C5159" w:rsidR="006C5159" w:rsidRPr="00E87E0D">
      <w:pPr>
        <w:jc w:val="both"/>
      </w:pPr>
      <w:r w:rsidRPr="00E87E0D">
        <w:t>3.</w:t>
      </w:r>
      <w:r w:rsidRPr="00E87E0D">
        <w:tab/>
        <w:t xml:space="preserve">Nekretnina  u vlasništvu stečajnog dužnika, oznake k.č.br. 237/7, upisana u z.k.ul. 1963 k.o. Premantura, </w:t>
      </w:r>
      <w:smartTag w:element="metricconverter" w:uri="urn:schemas-microsoft-com:office:smarttags">
        <w:smartTagPr>
          <w:attr w:val="39 m2" w:name="ProductID"/>
        </w:smartTagPr>
        <w:r w:rsidRPr="00E87E0D">
          <w:t>39 m2</w:t>
        </w:r>
      </w:smartTag>
      <w:r w:rsidRPr="00E87E0D">
        <w:t>, prodana je u stečajnom postupku za iznos od 15.000,00 kn.</w:t>
      </w:r>
    </w:p>
    <w:p w:rsidRDefault="006C5159" w:rsidP="006C5159" w:rsidR="006C5159" w:rsidRPr="00E87E0D">
      <w:pPr>
        <w:ind w:firstLine="708"/>
        <w:jc w:val="both"/>
      </w:pPr>
      <w:r w:rsidRPr="00E87E0D">
        <w:t>Rješenjem Trgovačkog suda u Rijeci, Stalne službe u Pazinu, posl. br. St-36/11-170, od 9. siječnja 2015. godine, određeno je da se iz iznosa kupovnine izdvaja u stečajnu masu ARCUS DELTA d.o.o, u stečaju, iznos od 750,00 kn na ime troškova utvrđivanja tražbine i iznos od 3.009,34 kn na ime troškova unovčenja nekretnine, te da se namiruje razlučni vjerovnik Republika Hrvatska, u dijelu potraživanja, u visini od 11.240,66 kn.</w:t>
      </w:r>
    </w:p>
    <w:p w:rsidRDefault="006C5159" w:rsidP="006C5159" w:rsidR="006C5159" w:rsidRPr="00E87E0D">
      <w:pPr>
        <w:jc w:val="both"/>
      </w:pPr>
    </w:p>
    <w:p w:rsidRDefault="006C5159" w:rsidP="006C5159" w:rsidR="006C5159" w:rsidRPr="00E87E0D">
      <w:pPr>
        <w:jc w:val="both"/>
      </w:pPr>
      <w:r w:rsidRPr="00E87E0D">
        <w:t>4.</w:t>
      </w:r>
      <w:r w:rsidRPr="00E87E0D">
        <w:tab/>
        <w:t xml:space="preserve"> Nekretnina u vlasništvu stečajnog dužnika, oznake k.č.br. 709/6, upisana u z.k.ul. 2174 k.o. Pomer, u naravi put sa </w:t>
      </w:r>
      <w:smartTag w:element="metricconverter" w:uri="urn:schemas-microsoft-com:office:smarttags">
        <w:smartTagPr>
          <w:attr w:val="119 m2" w:name="ProductID"/>
        </w:smartTagPr>
        <w:r w:rsidRPr="00E87E0D">
          <w:t>119 m2</w:t>
        </w:r>
      </w:smartTag>
      <w:r w:rsidRPr="00E87E0D">
        <w:t>, prodana je u stečajnom postupku za iznos od 20.000,00 kn.</w:t>
      </w:r>
    </w:p>
    <w:p w:rsidRDefault="006C5159" w:rsidP="006C5159" w:rsidR="006C5159" w:rsidRPr="00E87E0D">
      <w:pPr>
        <w:ind w:firstLine="708"/>
        <w:jc w:val="both"/>
      </w:pPr>
      <w:r w:rsidRPr="00E87E0D">
        <w:t>Rješenjem Trgovačkog suda u Rijeci, Stalne službe u Pazinu, posl. br. St-36/11-169, od 9. siječnja 2015. godine, određeno je da se iz iznosa kupovnine izdvaja u stečajnu masu ARCUS DELTA d.o.o, u stečaju, iznos od 1.000,00 kn na ime troškova utvrđivanja tražbine i iznos od 4.013,54 kn na ime troškova unovčenja nekretnine, te da se  namiruje razlučni vjerovnik Republika Hrvatska, u dijelu potraživanja, u visini od 14.986,46 kn.</w:t>
      </w:r>
    </w:p>
    <w:p w:rsidRDefault="006C5159" w:rsidP="006C5159" w:rsidR="006C5159" w:rsidRPr="00E87E0D">
      <w:pPr>
        <w:jc w:val="both"/>
      </w:pPr>
    </w:p>
    <w:p w:rsidRDefault="006C5159" w:rsidP="006C5159" w:rsidR="006C5159" w:rsidRPr="00E87E0D">
      <w:pPr>
        <w:jc w:val="both"/>
      </w:pPr>
      <w:r w:rsidRPr="00E87E0D">
        <w:t>5.</w:t>
      </w:r>
      <w:r w:rsidRPr="00E87E0D">
        <w:tab/>
        <w:t>U stečajnom postupku prodana je naknadno pronađena imovina, rezervoar za gorivo, za iznos od 10.000,00 kn sa uračunatim PDV-om.</w:t>
      </w:r>
    </w:p>
    <w:p w:rsidRDefault="006C5159" w:rsidP="006C5159" w:rsidR="006C5159" w:rsidRPr="00E87E0D"/>
    <w:p w:rsidRDefault="006C5159" w:rsidP="006C5159" w:rsidR="006C5159" w:rsidRPr="00E87E0D">
      <w:pPr>
        <w:jc w:val="both"/>
        <w:rPr>
          <w:bCs/>
        </w:rPr>
      </w:pPr>
      <w:r w:rsidRPr="00E87E0D">
        <w:t>6.</w:t>
      </w:r>
      <w:r w:rsidRPr="00E87E0D">
        <w:tab/>
      </w:r>
      <w:r w:rsidRPr="00E87E0D">
        <w:rPr>
          <w:bCs/>
        </w:rPr>
        <w:t xml:space="preserve">U odnosu na vozila u vlasništvu ovršenika, u Izvješću za izvještajno ročište, koje je u ovom stečajnom postupku održano u Trgovačkom sudu u Pazinu dana 22. kolovoza 2011. godine, navedeno je slijedeće: </w:t>
      </w:r>
    </w:p>
    <w:p w:rsidRDefault="006C5159" w:rsidP="006C5159" w:rsidR="006C5159" w:rsidRPr="00E87E0D">
      <w:pPr>
        <w:jc w:val="both"/>
      </w:pPr>
      <w:r w:rsidRPr="00E87E0D">
        <w:t>„Stečajni dužnik je vlasnik teretnog automobila marke Mercedes, tipa 1120 LS C76723, reg. oznake PU 705 JC, broj šasije: WDB67725215441669, godina proizvodnje 1989, vrijednosti oko 30.000,00 kn. Vozilo se nalazi u Plitvicama i nije u voznom stanju.</w:t>
      </w:r>
    </w:p>
    <w:p w:rsidRDefault="006C5159" w:rsidP="006C5159" w:rsidR="006C5159" w:rsidRPr="00E87E0D">
      <w:r w:rsidRPr="00E87E0D">
        <w:t>Na vozilu su upisana razlučna prava u korist:</w:t>
      </w:r>
    </w:p>
    <w:p w:rsidRDefault="006C5159" w:rsidP="006C5159" w:rsidR="006C5159" w:rsidRPr="00E87E0D">
      <w:pPr>
        <w:numPr>
          <w:ilvl w:val="0"/>
          <w:numId w:val="3"/>
        </w:numPr>
        <w:jc w:val="both"/>
      </w:pPr>
      <w:r w:rsidRPr="00E87E0D">
        <w:t>ISTARSKE KREDITNE BANKE UMAG d.d, Umag, temeljem rješenja Općinskog suda u Puli posl. br. Ovr-2457/09 od 16. studenog 2009. godine, za iznos potraživanja koje na dan 10. lipnja 2011. godine iznosi 168.706,18 kn,</w:t>
      </w:r>
    </w:p>
    <w:p w:rsidRDefault="006C5159" w:rsidP="006C5159" w:rsidR="006C5159" w:rsidRPr="00E87E0D">
      <w:pPr>
        <w:numPr>
          <w:ilvl w:val="0"/>
          <w:numId w:val="3"/>
        </w:numPr>
        <w:jc w:val="both"/>
      </w:pPr>
      <w:r w:rsidRPr="00E87E0D">
        <w:t>IVASIM  d.o.o. Ivanić – Grad, temeljem rješenja Trgovačkog suda u Pazinu posl. br. Ovr-469/09 od 21. siječnja 2010. godine, za iznos potraživanja u iznosu od 7.803,28 kn sa zateznim kamatama od 10. veljače 2009. godine do isplate.</w:t>
      </w:r>
    </w:p>
    <w:p w:rsidRDefault="006C5159" w:rsidP="006C5159" w:rsidR="006C5159" w:rsidRPr="00E87E0D">
      <w:pPr>
        <w:jc w:val="both"/>
      </w:pPr>
      <w:r w:rsidRPr="00E87E0D">
        <w:t>Iako je prema podacima Policijske uprave Istarske  dužnik vlasnik još dva vozila: Ranaulta 4 GTL, 1991. godište, odjavljen 2005. godine i teretnog automobila Mercedes 2228, C-74085, 1986. godište, odjavljen 2007. godine, u knjigovodstvu dužnika o tim  vozilima nema podataka.“</w:t>
      </w:r>
    </w:p>
    <w:p w:rsidRDefault="006C5159" w:rsidP="006C5159" w:rsidR="006C5159" w:rsidRPr="00E87E0D">
      <w:pPr>
        <w:jc w:val="both"/>
      </w:pPr>
    </w:p>
    <w:p w:rsidRDefault="006C5159" w:rsidP="006C5159" w:rsidR="006C5159" w:rsidRPr="00E87E0D">
      <w:pPr>
        <w:jc w:val="both"/>
      </w:pPr>
      <w:r w:rsidRPr="00E87E0D">
        <w:t>Umjesto direktorice ovršenika, podatak o mjestu gdje se navedeno vozilo nalazi, dao je Emil Žunec, osnivač i vlasnik ARCUS DELTA d.o.o, koji je ustvari upravljao poslovima ARCUS DELTA d.o.o.</w:t>
      </w:r>
    </w:p>
    <w:p w:rsidRDefault="006C5159" w:rsidP="006C5159" w:rsidR="006C5159" w:rsidRPr="00E87E0D">
      <w:pPr>
        <w:pStyle w:val="Tijeloteksta"/>
        <w:rPr>
          <w:bCs/>
        </w:rPr>
      </w:pPr>
      <w:r w:rsidRPr="00E87E0D">
        <w:rPr>
          <w:bCs/>
        </w:rPr>
        <w:t>Tijekom stečajnog postupka nije bilo moguće dobiti daljnje podatke gdje se predmetno vozilo točno nalazi, već samo podatak da je vozilom zadnji upravljao Tihomir Hlubocki iz Bjelovara, koji je sa obitelji odselio u Njemačku, te tamo živi i radi.</w:t>
      </w:r>
    </w:p>
    <w:p w:rsidRDefault="006C5159" w:rsidP="006C5159" w:rsidR="006C5159" w:rsidRPr="00E87E0D">
      <w:pPr>
        <w:pStyle w:val="Tijeloteksta"/>
        <w:rPr>
          <w:bCs/>
        </w:rPr>
      </w:pPr>
      <w:r w:rsidRPr="00E87E0D">
        <w:rPr>
          <w:bCs/>
        </w:rPr>
        <w:t>Temeljem tog podatka bila je nastavljena potraga za predmetnim vozilom, te je preko roditelja Tihomira Hlubockog, koji su pronađeni u mjestu Ždralovi kod Bjelovara, Tihomiru poručeno da se javi radi davanja obavijesti o vozilu, što on međutim nije učinio, dok je njegov otac izjavio da nema broj njegovog telefona, niti njegovu adresu u Njemačkoj.</w:t>
      </w:r>
    </w:p>
    <w:p w:rsidRDefault="006C5159" w:rsidP="006C5159" w:rsidR="006C5159" w:rsidRPr="00E87E0D">
      <w:pPr>
        <w:pStyle w:val="Tijeloteksta"/>
        <w:rPr>
          <w:bCs/>
        </w:rPr>
      </w:pPr>
      <w:r w:rsidRPr="00E87E0D">
        <w:rPr>
          <w:bCs/>
        </w:rPr>
        <w:t xml:space="preserve">Općinski je sud u Puli, u ovršnom postupku ovrhovoditelja </w:t>
      </w:r>
      <w:r w:rsidRPr="00E87E0D">
        <w:t xml:space="preserve">IVASIM  d.o.o. Ivanić – Grad, </w:t>
      </w:r>
      <w:r w:rsidRPr="00E87E0D">
        <w:rPr>
          <w:bCs/>
        </w:rPr>
        <w:t>rješenjem posl. br. Ovr-177/10-33, od 8. siječnja 2016. godine, obustavio provedbu ovrhe na navedenom vozilu.</w:t>
      </w:r>
    </w:p>
    <w:p w:rsidRDefault="006C5159" w:rsidP="006C5159" w:rsidR="006C5159" w:rsidRPr="00E87E0D"/>
    <w:p w:rsidRDefault="006C5159" w:rsidP="006C5159" w:rsidR="006C5159" w:rsidRPr="00E87E0D">
      <w:pPr>
        <w:jc w:val="both"/>
        <w:rPr>
          <w:bCs/>
        </w:rPr>
      </w:pPr>
      <w:r w:rsidRPr="00E87E0D">
        <w:rPr>
          <w:bCs/>
        </w:rPr>
        <w:t>7.</w:t>
      </w:r>
      <w:r w:rsidRPr="00E87E0D">
        <w:rPr>
          <w:bCs/>
        </w:rPr>
        <w:tab/>
        <w:t>Skupština vjerovnika, održana dana 12. prosinca 2012. godine, donijela je odluku da se ne pokreću sudski postupci radi naplate potraživanja stečajnog dužnika, iz razloga što nema novčanih sredstava.</w:t>
      </w:r>
    </w:p>
    <w:p w:rsidRDefault="006C5159" w:rsidP="006C5159" w:rsidR="006C5159" w:rsidRPr="00E87E0D">
      <w:pPr>
        <w:jc w:val="both"/>
        <w:rPr>
          <w:bCs/>
        </w:rPr>
      </w:pPr>
    </w:p>
    <w:p w:rsidRDefault="006C5159" w:rsidP="006C5159" w:rsidR="006C5159" w:rsidRPr="00E87E0D">
      <w:pPr>
        <w:jc w:val="both"/>
        <w:rPr>
          <w:bCs/>
        </w:rPr>
      </w:pPr>
      <w:r w:rsidRPr="00E87E0D">
        <w:rPr>
          <w:bCs/>
        </w:rPr>
        <w:t xml:space="preserve">Tijekom stečajnog postupka naplaćena su potraživanja stečajnog dužnika nastala prije otvaranja stečajnog postupka, u ukupnom iznosu od </w:t>
      </w:r>
      <w:r w:rsidRPr="00E87E0D">
        <w:rPr>
          <w:rFonts w:eastAsia="Arial Unicode MS"/>
        </w:rPr>
        <w:t>19.781,17</w:t>
      </w:r>
      <w:r w:rsidRPr="00E87E0D">
        <w:t>kn.</w:t>
      </w:r>
    </w:p>
    <w:p w:rsidRDefault="006C5159" w:rsidP="006C5159" w:rsidR="006C5159" w:rsidRPr="00E87E0D">
      <w:pPr>
        <w:rPr>
          <w:bCs/>
        </w:rPr>
      </w:pPr>
    </w:p>
    <w:p w:rsidRDefault="006C5159" w:rsidP="006C5159" w:rsidR="006C5159" w:rsidRPr="00E87E0D">
      <w:r w:rsidRPr="00E87E0D">
        <w:t>8.</w:t>
      </w:r>
      <w:r w:rsidRPr="00E87E0D">
        <w:tab/>
        <w:t xml:space="preserve">Rabljena i oštećena uredska oprema stečajnog dužnika, male vrijednosti, nije se mogla unovčiti.  </w:t>
      </w:r>
    </w:p>
    <w:p w:rsidRDefault="006C5159" w:rsidP="006C5159" w:rsidR="006C5159" w:rsidRPr="00E87E0D">
      <w:pPr>
        <w:rPr>
          <w:bCs/>
        </w:rPr>
      </w:pPr>
    </w:p>
    <w:p w:rsidRDefault="006C5159" w:rsidP="006C5159" w:rsidR="006C5159" w:rsidRPr="00E87E0D">
      <w:pPr>
        <w:jc w:val="both"/>
        <w:rPr>
          <w:bCs/>
        </w:rPr>
      </w:pPr>
      <w:r w:rsidRPr="00E87E0D">
        <w:rPr>
          <w:bCs/>
        </w:rPr>
        <w:t>9.</w:t>
      </w:r>
      <w:r w:rsidRPr="00E87E0D">
        <w:rPr>
          <w:bCs/>
        </w:rPr>
        <w:tab/>
        <w:t>Pred naslovnim sudom u tijeku je parnica pod posl. br. P-1591/15, povodom tužbe tužitelja, Likvidacijske mase STARI HRAST d.o.o, protiv tuženika ARCUS DELTA d.o.o, u stečaju i Republike Hrvatske, radi izdvajanja iz stečajne mase.</w:t>
      </w:r>
    </w:p>
    <w:p w:rsidRDefault="006C5159" w:rsidP="006C5159" w:rsidR="006C5159" w:rsidRPr="00E87E0D">
      <w:pPr>
        <w:jc w:val="both"/>
        <w:rPr>
          <w:bCs/>
        </w:rPr>
      </w:pPr>
      <w:r w:rsidRPr="00E87E0D">
        <w:rPr>
          <w:bCs/>
        </w:rPr>
        <w:t xml:space="preserve">Pošto je isplata predmetnog iznosa, čije izdvajanje iz stečajne mase tužitelj traži, izvršena temeljem pravomoćnog rješenja naslovnog suda, posl. br. St-36/11-168, od 9. siječnja 2015. godine, smatram da nema pravnog osnova za uspjeh tužitelja u parnici protiv ARCUS DELTA d.o.o, u stečaju. </w:t>
      </w:r>
    </w:p>
    <w:p w:rsidRDefault="006C5159" w:rsidP="006C5159" w:rsidR="006C5159" w:rsidRPr="00E87E0D">
      <w:pPr>
        <w:rPr>
          <w:bCs/>
        </w:rPr>
      </w:pPr>
    </w:p>
    <w:p w:rsidRDefault="006C5159" w:rsidP="006C5159" w:rsidR="006C5159" w:rsidRPr="00E87E0D">
      <w:pPr>
        <w:pStyle w:val="Tijeloteksta"/>
      </w:pPr>
      <w:r w:rsidRPr="00E87E0D">
        <w:rPr>
          <w:bCs/>
        </w:rPr>
        <w:t>III</w:t>
      </w:r>
      <w:r w:rsidRPr="00E87E0D">
        <w:rPr>
          <w:bCs/>
        </w:rPr>
        <w:tab/>
      </w:r>
      <w:r w:rsidRPr="00E87E0D">
        <w:t>Završni račun</w:t>
      </w:r>
    </w:p>
    <w:p w:rsidRDefault="006C5159" w:rsidP="006C5159" w:rsidR="006C5159" w:rsidRPr="00E87E0D">
      <w:pPr>
        <w:pStyle w:val="Tijeloteksta"/>
        <w:rPr>
          <w:bCs/>
        </w:rPr>
      </w:pPr>
    </w:p>
    <w:p w:rsidRDefault="006C5159" w:rsidP="006C5159" w:rsidR="006C5159" w:rsidRPr="00E87E0D">
      <w:pPr>
        <w:pStyle w:val="Tijeloteksta"/>
      </w:pPr>
      <w:r w:rsidRPr="00E87E0D">
        <w:t>Budući da je u stečajnom postupku okončano unovčenje stečajne mase, podnosim završni račun:</w:t>
      </w:r>
    </w:p>
    <w:p w:rsidRDefault="006C5159" w:rsidP="006C5159" w:rsidR="006C5159" w:rsidRPr="00E87E0D">
      <w:pPr>
        <w:pStyle w:val="Tijeloteksta"/>
      </w:pPr>
    </w:p>
    <w:p w:rsidRDefault="006C5159" w:rsidP="006C5159" w:rsidR="006C5159" w:rsidRPr="00E87E0D">
      <w:pPr>
        <w:jc w:val="both"/>
      </w:pPr>
      <w:r w:rsidRPr="00E87E0D">
        <w:t>U razdoblju od otvaranja stečajnog postupka, dana 10. lipnja 2011. godine, pa do 14</w:t>
      </w:r>
      <w:r w:rsidRPr="00E87E0D">
        <w:rPr>
          <w:bCs/>
        </w:rPr>
        <w:t xml:space="preserve">. travnja 2016. godine, u stečajnom postupku su </w:t>
      </w:r>
      <w:r w:rsidRPr="00E87E0D">
        <w:t xml:space="preserve">ostvareni slijedeći prihodi i rashodi: </w:t>
      </w:r>
    </w:p>
    <w:p w:rsidRDefault="006C5159" w:rsidP="006C5159" w:rsidR="006C5159" w:rsidRPr="00E87E0D">
      <w:pPr>
        <w:jc w:val="both"/>
      </w:pPr>
    </w:p>
    <w:tbl>
      <w:tblPr>
        <w:tblW w:type="dxa" w:w="9180"/>
        <w:tblCellMar>
          <w:left w:type="dxa" w:w="0"/>
          <w:right w:type="dxa" w:w="0"/>
        </w:tblCellMar>
        <w:tblLook w:val="0000" w:noVBand="0" w:noHBand="0" w:lastColumn="0" w:firstColumn="0" w:lastRow="0" w:firstRow="0"/>
      </w:tblPr>
      <w:tblGrid>
        <w:gridCol w:w="1008"/>
        <w:gridCol w:w="6188"/>
        <w:gridCol w:w="1984"/>
      </w:tblGrid>
      <w:tr w:rsidTr="00400F59" w:rsidR="006C5159" w:rsidRPr="00E87E0D">
        <w:trPr>
          <w:trHeight w:val="623"/>
        </w:trPr>
        <w:tc>
          <w:tcPr>
            <w:tcW w:type="dxa" w:w="1008"/>
            <w:tcBorders>
              <w:top w:space="0" w:sz="8" w:color="auto" w:val="single"/>
              <w:left w:space="0" w:sz="8" w:color="auto" w:val="single"/>
              <w:bottom w:space="0" w:sz="8" w:color="auto" w:val="single"/>
              <w:right w:space="0" w:sz="8" w:color="auto" w:val="single"/>
            </w:tcBorders>
            <w:tcMar>
              <w:top w:type="dxa" w:w="0"/>
              <w:left w:type="dxa" w:w="108"/>
              <w:bottom w:type="dxa" w:w="0"/>
              <w:right w:type="dxa" w:w="108"/>
            </w:tcMar>
          </w:tcPr>
          <w:p w:rsidRDefault="006C5159" w:rsidP="00400F59" w:rsidR="006C5159" w:rsidRPr="00E87E0D">
            <w:pPr>
              <w:jc w:val="center"/>
              <w:rPr>
                <w:bCs/>
              </w:rPr>
            </w:pPr>
            <w:r w:rsidRPr="00E87E0D">
              <w:rPr>
                <w:bCs/>
              </w:rPr>
              <w:t>Red. br.</w:t>
            </w:r>
          </w:p>
        </w:tc>
        <w:tc>
          <w:tcPr>
            <w:tcW w:type="dxa" w:w="6188"/>
            <w:tcBorders>
              <w:top w:space="0" w:sz="8" w:color="auto" w:val="single"/>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jc w:val="center"/>
              <w:rPr>
                <w:bCs/>
              </w:rPr>
            </w:pPr>
          </w:p>
          <w:p w:rsidRDefault="006C5159" w:rsidP="00400F59" w:rsidR="006C5159" w:rsidRPr="00E87E0D">
            <w:pPr>
              <w:jc w:val="center"/>
              <w:rPr>
                <w:bCs/>
              </w:rPr>
            </w:pPr>
            <w:r w:rsidRPr="00E87E0D">
              <w:rPr>
                <w:bCs/>
              </w:rPr>
              <w:t>Prihodi</w:t>
            </w:r>
          </w:p>
        </w:tc>
        <w:tc>
          <w:tcPr>
            <w:tcW w:type="dxa" w:w="1984"/>
            <w:tcBorders>
              <w:top w:space="0" w:sz="8" w:color="auto" w:val="single"/>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jc w:val="center"/>
              <w:rPr>
                <w:bCs/>
              </w:rPr>
            </w:pPr>
          </w:p>
          <w:p w:rsidRDefault="006C5159" w:rsidP="00400F59" w:rsidR="006C5159" w:rsidRPr="00E87E0D">
            <w:pPr>
              <w:jc w:val="center"/>
              <w:rPr>
                <w:bCs/>
              </w:rPr>
            </w:pPr>
            <w:r w:rsidRPr="00E87E0D">
              <w:rPr>
                <w:bCs/>
              </w:rPr>
              <w:t>Iznos</w:t>
            </w:r>
          </w:p>
        </w:tc>
      </w:tr>
      <w:tr w:rsidTr="00400F59" w:rsidR="006C5159" w:rsidRPr="00E87E0D">
        <w:tc>
          <w:tcPr>
            <w:tcW w:type="dxa" w:w="1008"/>
            <w:tcBorders>
              <w:top w:val="nil"/>
              <w:left w:space="0" w:sz="8" w:color="auto" w:val="single"/>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jc w:val="center"/>
              <w:rPr>
                <w:szCs w:val="24"/>
              </w:rPr>
            </w:pPr>
          </w:p>
          <w:p w:rsidRDefault="006C5159" w:rsidP="00400F59" w:rsidR="006C5159" w:rsidRPr="00E87E0D">
            <w:pPr>
              <w:pStyle w:val="Bezproreda"/>
              <w:jc w:val="center"/>
              <w:rPr>
                <w:szCs w:val="24"/>
              </w:rPr>
            </w:pPr>
            <w:r w:rsidRPr="00E87E0D">
              <w:rPr>
                <w:szCs w:val="24"/>
              </w:rPr>
              <w:t>1.</w:t>
            </w:r>
          </w:p>
        </w:tc>
        <w:tc>
          <w:tcPr>
            <w:tcW w:type="dxa" w:w="6188"/>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rPr>
                <w:rFonts w:eastAsia="Arial Unicode MS"/>
                <w:szCs w:val="24"/>
              </w:rPr>
            </w:pPr>
            <w:r w:rsidRPr="00E87E0D">
              <w:rPr>
                <w:rFonts w:eastAsia="Arial Unicode MS"/>
                <w:szCs w:val="24"/>
              </w:rPr>
              <w:t>Prihod od prodaje imovine (rezervoar za gorivo, kupac ZAGREB – BETON PROJEKT)</w:t>
            </w:r>
          </w:p>
        </w:tc>
        <w:tc>
          <w:tcPr>
            <w:tcW w:type="dxa" w:w="1984"/>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ind w:right="144"/>
              <w:jc w:val="right"/>
              <w:rPr>
                <w:rFonts w:eastAsia="Arial Unicode MS"/>
                <w:szCs w:val="24"/>
              </w:rPr>
            </w:pPr>
          </w:p>
          <w:p w:rsidRDefault="006C5159" w:rsidP="00400F59" w:rsidR="006C5159" w:rsidRPr="00E87E0D">
            <w:pPr>
              <w:pStyle w:val="Bezproreda"/>
              <w:ind w:right="144"/>
              <w:jc w:val="right"/>
              <w:rPr>
                <w:rFonts w:eastAsia="Arial Unicode MS"/>
                <w:szCs w:val="24"/>
              </w:rPr>
            </w:pPr>
            <w:r w:rsidRPr="00E87E0D">
              <w:rPr>
                <w:rFonts w:eastAsia="Arial Unicode MS"/>
                <w:szCs w:val="24"/>
              </w:rPr>
              <w:t>10.000,00</w:t>
            </w:r>
          </w:p>
        </w:tc>
      </w:tr>
      <w:tr w:rsidTr="00400F59" w:rsidR="006C5159" w:rsidRPr="00E87E0D">
        <w:tc>
          <w:tcPr>
            <w:tcW w:type="dxa" w:w="1008"/>
            <w:tcBorders>
              <w:top w:val="nil"/>
              <w:left w:space="0" w:sz="8" w:color="auto" w:val="single"/>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jc w:val="center"/>
              <w:rPr>
                <w:szCs w:val="24"/>
              </w:rPr>
            </w:pPr>
          </w:p>
          <w:p w:rsidRDefault="006C5159" w:rsidP="00400F59" w:rsidR="006C5159" w:rsidRPr="00E87E0D">
            <w:pPr>
              <w:pStyle w:val="Bezproreda"/>
              <w:jc w:val="center"/>
              <w:rPr>
                <w:szCs w:val="24"/>
              </w:rPr>
            </w:pPr>
            <w:r w:rsidRPr="00E87E0D">
              <w:rPr>
                <w:szCs w:val="24"/>
              </w:rPr>
              <w:t>2.</w:t>
            </w:r>
          </w:p>
        </w:tc>
        <w:tc>
          <w:tcPr>
            <w:tcW w:type="dxa" w:w="6188"/>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rPr>
                <w:rFonts w:eastAsia="Arial Unicode MS"/>
                <w:szCs w:val="24"/>
              </w:rPr>
            </w:pPr>
            <w:r w:rsidRPr="00E87E0D">
              <w:rPr>
                <w:rFonts w:eastAsia="Arial Unicode MS"/>
                <w:szCs w:val="24"/>
              </w:rPr>
              <w:t>Prisilna naplata potraživanja zadužnicom (Buršić Franko, Ov-5314/05)</w:t>
            </w:r>
          </w:p>
        </w:tc>
        <w:tc>
          <w:tcPr>
            <w:tcW w:type="dxa" w:w="1984"/>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ind w:right="144"/>
              <w:jc w:val="right"/>
              <w:rPr>
                <w:rFonts w:eastAsia="Arial Unicode MS"/>
                <w:szCs w:val="24"/>
              </w:rPr>
            </w:pPr>
          </w:p>
          <w:p w:rsidRDefault="006C5159" w:rsidP="00400F59" w:rsidR="006C5159" w:rsidRPr="00E87E0D">
            <w:pPr>
              <w:pStyle w:val="Bezproreda"/>
              <w:ind w:right="144"/>
              <w:jc w:val="right"/>
              <w:rPr>
                <w:rFonts w:eastAsia="Arial Unicode MS"/>
                <w:szCs w:val="24"/>
              </w:rPr>
            </w:pPr>
            <w:r w:rsidRPr="00E87E0D">
              <w:rPr>
                <w:rFonts w:eastAsia="Arial Unicode MS"/>
                <w:szCs w:val="24"/>
              </w:rPr>
              <w:t>21.875,46</w:t>
            </w:r>
          </w:p>
        </w:tc>
      </w:tr>
      <w:tr w:rsidTr="00400F59" w:rsidR="006C5159" w:rsidRPr="00E87E0D">
        <w:trPr>
          <w:trHeight w:val="276"/>
        </w:trPr>
        <w:tc>
          <w:tcPr>
            <w:tcW w:type="dxa" w:w="1008"/>
            <w:tcBorders>
              <w:top w:val="nil"/>
              <w:left w:space="0" w:sz="8" w:color="auto" w:val="single"/>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jc w:val="center"/>
              <w:rPr>
                <w:szCs w:val="24"/>
              </w:rPr>
            </w:pPr>
            <w:r w:rsidRPr="00E87E0D">
              <w:rPr>
                <w:szCs w:val="24"/>
              </w:rPr>
              <w:t>3.</w:t>
            </w:r>
          </w:p>
        </w:tc>
        <w:tc>
          <w:tcPr>
            <w:tcW w:type="dxa" w:w="6188"/>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rPr>
                <w:rFonts w:eastAsia="Arial Unicode MS"/>
                <w:szCs w:val="24"/>
              </w:rPr>
            </w:pPr>
            <w:r w:rsidRPr="00E87E0D">
              <w:rPr>
                <w:rFonts w:eastAsia="Arial Unicode MS"/>
                <w:szCs w:val="24"/>
              </w:rPr>
              <w:t>Doznaka Trgovačkog suda u Rijeci, sudski depozit</w:t>
            </w:r>
          </w:p>
        </w:tc>
        <w:tc>
          <w:tcPr>
            <w:tcW w:type="dxa" w:w="1984"/>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ind w:right="144"/>
              <w:jc w:val="right"/>
              <w:rPr>
                <w:rFonts w:eastAsia="Arial Unicode MS"/>
                <w:szCs w:val="24"/>
              </w:rPr>
            </w:pPr>
            <w:r w:rsidRPr="00E87E0D">
              <w:rPr>
                <w:rFonts w:eastAsia="Arial Unicode MS"/>
                <w:szCs w:val="24"/>
              </w:rPr>
              <w:t>375.464,50</w:t>
            </w:r>
          </w:p>
        </w:tc>
      </w:tr>
      <w:tr w:rsidTr="00400F59" w:rsidR="006C5159" w:rsidRPr="00E87E0D">
        <w:trPr>
          <w:trHeight w:val="276"/>
        </w:trPr>
        <w:tc>
          <w:tcPr>
            <w:tcW w:type="dxa" w:w="1008"/>
            <w:tcBorders>
              <w:top w:val="nil"/>
              <w:left w:space="0" w:sz="8" w:color="auto" w:val="single"/>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jc w:val="center"/>
              <w:rPr>
                <w:szCs w:val="24"/>
              </w:rPr>
            </w:pPr>
            <w:r w:rsidRPr="00E87E0D">
              <w:rPr>
                <w:szCs w:val="24"/>
              </w:rPr>
              <w:t>4.</w:t>
            </w:r>
          </w:p>
        </w:tc>
        <w:tc>
          <w:tcPr>
            <w:tcW w:type="dxa" w:w="6188"/>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rPr>
                <w:rFonts w:eastAsia="Arial Unicode MS"/>
                <w:szCs w:val="24"/>
              </w:rPr>
            </w:pPr>
            <w:r w:rsidRPr="00E87E0D">
              <w:rPr>
                <w:rFonts w:eastAsia="Arial Unicode MS"/>
                <w:szCs w:val="24"/>
              </w:rPr>
              <w:t>Pasivna kamata</w:t>
            </w:r>
          </w:p>
        </w:tc>
        <w:tc>
          <w:tcPr>
            <w:tcW w:type="dxa" w:w="1984"/>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ind w:right="144"/>
              <w:jc w:val="right"/>
              <w:rPr>
                <w:rFonts w:eastAsia="Arial Unicode MS"/>
                <w:szCs w:val="24"/>
              </w:rPr>
            </w:pPr>
            <w:r w:rsidRPr="00E87E0D">
              <w:rPr>
                <w:rFonts w:eastAsia="Arial Unicode MS"/>
                <w:szCs w:val="24"/>
              </w:rPr>
              <w:t>46,58</w:t>
            </w:r>
          </w:p>
        </w:tc>
      </w:tr>
      <w:tr w:rsidTr="00400F59" w:rsidR="006C5159" w:rsidRPr="00E87E0D">
        <w:trPr>
          <w:trHeight w:val="276"/>
        </w:trPr>
        <w:tc>
          <w:tcPr>
            <w:tcW w:type="dxa" w:w="1008"/>
            <w:tcBorders>
              <w:top w:val="nil"/>
              <w:left w:space="0" w:sz="8" w:color="auto" w:val="single"/>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jc w:val="center"/>
              <w:rPr>
                <w:szCs w:val="24"/>
              </w:rPr>
            </w:pPr>
            <w:r w:rsidRPr="00E87E0D">
              <w:rPr>
                <w:szCs w:val="24"/>
              </w:rPr>
              <w:t>5.</w:t>
            </w:r>
          </w:p>
        </w:tc>
        <w:tc>
          <w:tcPr>
            <w:tcW w:type="dxa" w:w="6188"/>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rPr>
                <w:rFonts w:eastAsia="Arial Unicode MS"/>
                <w:szCs w:val="24"/>
              </w:rPr>
            </w:pPr>
            <w:r w:rsidRPr="00E87E0D">
              <w:rPr>
                <w:rFonts w:eastAsia="Arial Unicode MS"/>
                <w:szCs w:val="24"/>
              </w:rPr>
              <w:t>Prijenos sredstava kod zatvaranja računa</w:t>
            </w:r>
          </w:p>
        </w:tc>
        <w:tc>
          <w:tcPr>
            <w:tcW w:type="dxa" w:w="1984"/>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ind w:right="144"/>
              <w:jc w:val="right"/>
              <w:rPr>
                <w:rFonts w:eastAsia="Arial Unicode MS"/>
                <w:szCs w:val="24"/>
              </w:rPr>
            </w:pPr>
            <w:r w:rsidRPr="00E87E0D">
              <w:rPr>
                <w:rFonts w:eastAsia="Arial Unicode MS"/>
                <w:szCs w:val="24"/>
              </w:rPr>
              <w:t>2.096,29</w:t>
            </w:r>
          </w:p>
        </w:tc>
      </w:tr>
      <w:tr w:rsidTr="00400F59" w:rsidR="006C5159" w:rsidRPr="00E87E0D">
        <w:trPr>
          <w:trHeight w:val="276"/>
        </w:trPr>
        <w:tc>
          <w:tcPr>
            <w:tcW w:type="dxa" w:w="1008"/>
            <w:tcBorders>
              <w:top w:val="nil"/>
              <w:left w:space="0" w:sz="8" w:color="auto" w:val="single"/>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jc w:val="center"/>
              <w:rPr>
                <w:szCs w:val="24"/>
              </w:rPr>
            </w:pPr>
            <w:r w:rsidRPr="00E87E0D">
              <w:rPr>
                <w:szCs w:val="24"/>
              </w:rPr>
              <w:t>6.</w:t>
            </w:r>
          </w:p>
        </w:tc>
        <w:tc>
          <w:tcPr>
            <w:tcW w:type="dxa" w:w="6188"/>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rPr>
                <w:rFonts w:eastAsia="Arial Unicode MS"/>
                <w:szCs w:val="24"/>
              </w:rPr>
            </w:pPr>
            <w:r w:rsidRPr="00E87E0D">
              <w:rPr>
                <w:rFonts w:eastAsia="Arial Unicode MS"/>
                <w:szCs w:val="24"/>
              </w:rPr>
              <w:t>Beskamatne pozajmice stečajnog upravitelja</w:t>
            </w:r>
          </w:p>
        </w:tc>
        <w:tc>
          <w:tcPr>
            <w:tcW w:type="dxa" w:w="1984"/>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ind w:right="144"/>
              <w:jc w:val="right"/>
              <w:rPr>
                <w:rFonts w:eastAsia="Arial Unicode MS"/>
                <w:szCs w:val="24"/>
              </w:rPr>
            </w:pPr>
            <w:r w:rsidRPr="00E87E0D">
              <w:rPr>
                <w:rFonts w:eastAsia="Arial Unicode MS"/>
                <w:szCs w:val="24"/>
              </w:rPr>
              <w:t>13.152,80</w:t>
            </w:r>
          </w:p>
        </w:tc>
      </w:tr>
      <w:tr w:rsidTr="00400F59" w:rsidR="006C5159" w:rsidRPr="00E87E0D">
        <w:tc>
          <w:tcPr>
            <w:tcW w:type="dxa" w:w="1008"/>
            <w:tcBorders>
              <w:top w:val="nil"/>
              <w:left w:space="0" w:sz="8" w:color="auto" w:val="single"/>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jc w:val="center"/>
              <w:rPr>
                <w:bCs/>
                <w:szCs w:val="24"/>
              </w:rPr>
            </w:pPr>
          </w:p>
        </w:tc>
        <w:tc>
          <w:tcPr>
            <w:tcW w:type="dxa" w:w="6188"/>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jc w:val="center"/>
              <w:rPr>
                <w:bCs/>
                <w:szCs w:val="24"/>
              </w:rPr>
            </w:pPr>
            <w:r w:rsidRPr="00E87E0D">
              <w:rPr>
                <w:bCs/>
                <w:szCs w:val="24"/>
              </w:rPr>
              <w:t>Ukupno</w:t>
            </w:r>
          </w:p>
        </w:tc>
        <w:tc>
          <w:tcPr>
            <w:tcW w:type="dxa" w:w="1984"/>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ind w:right="144"/>
              <w:jc w:val="right"/>
              <w:rPr>
                <w:bCs/>
                <w:szCs w:val="24"/>
              </w:rPr>
            </w:pPr>
            <w:r w:rsidRPr="00E87E0D">
              <w:rPr>
                <w:bCs/>
                <w:szCs w:val="24"/>
              </w:rPr>
              <w:t>422.635,63</w:t>
            </w:r>
          </w:p>
        </w:tc>
      </w:tr>
    </w:tbl>
    <w:p w:rsidRDefault="006C5159" w:rsidP="006C5159" w:rsidR="006C5159" w:rsidRPr="00E87E0D">
      <w:pPr>
        <w:pStyle w:val="Tijeloteksta"/>
      </w:pPr>
    </w:p>
    <w:p w:rsidRDefault="006C5159" w:rsidP="006C5159" w:rsidR="006C5159" w:rsidRPr="00E87E0D">
      <w:pPr>
        <w:pStyle w:val="Tijeloteksta"/>
      </w:pPr>
    </w:p>
    <w:tbl>
      <w:tblPr>
        <w:tblW w:type="dxa" w:w="9180"/>
        <w:tblCellMar>
          <w:left w:type="dxa" w:w="0"/>
          <w:right w:type="dxa" w:w="0"/>
        </w:tblCellMar>
        <w:tblLook w:val="0000" w:noVBand="0" w:noHBand="0" w:lastColumn="0" w:firstColumn="0" w:lastRow="0" w:firstRow="0"/>
      </w:tblPr>
      <w:tblGrid>
        <w:gridCol w:w="1002"/>
        <w:gridCol w:w="6194"/>
        <w:gridCol w:w="1984"/>
      </w:tblGrid>
      <w:tr w:rsidTr="00400F59" w:rsidR="006C5159" w:rsidRPr="00E87E0D">
        <w:trPr>
          <w:trHeight w:val="701"/>
        </w:trPr>
        <w:tc>
          <w:tcPr>
            <w:tcW w:type="dxa" w:w="1002"/>
            <w:tcBorders>
              <w:top w:space="0" w:sz="8" w:color="auto" w:val="single"/>
              <w:left w:space="0" w:sz="8" w:color="auto" w:val="single"/>
              <w:bottom w:space="0" w:sz="8" w:color="auto" w:val="single"/>
              <w:right w:space="0" w:sz="8" w:color="auto" w:val="single"/>
            </w:tcBorders>
            <w:tcMar>
              <w:top w:type="dxa" w:w="0"/>
              <w:left w:type="dxa" w:w="108"/>
              <w:bottom w:type="dxa" w:w="0"/>
              <w:right w:type="dxa" w:w="108"/>
            </w:tcMar>
          </w:tcPr>
          <w:p w:rsidRDefault="006C5159" w:rsidP="00400F59" w:rsidR="006C5159" w:rsidRPr="00E87E0D">
            <w:pPr>
              <w:jc w:val="center"/>
              <w:rPr>
                <w:bCs/>
              </w:rPr>
            </w:pPr>
            <w:r w:rsidRPr="00E87E0D">
              <w:rPr>
                <w:bCs/>
              </w:rPr>
              <w:t xml:space="preserve">           Red.</w:t>
            </w:r>
          </w:p>
          <w:p w:rsidRDefault="006C5159" w:rsidP="00400F59" w:rsidR="006C5159" w:rsidRPr="00E87E0D">
            <w:pPr>
              <w:jc w:val="center"/>
              <w:rPr>
                <w:bCs/>
              </w:rPr>
            </w:pPr>
            <w:r w:rsidRPr="00E87E0D">
              <w:rPr>
                <w:bCs/>
              </w:rPr>
              <w:t>br.</w:t>
            </w:r>
          </w:p>
        </w:tc>
        <w:tc>
          <w:tcPr>
            <w:tcW w:type="dxa" w:w="6194"/>
            <w:tcBorders>
              <w:top w:space="0" w:sz="8" w:color="auto" w:val="single"/>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jc w:val="center"/>
              <w:rPr>
                <w:bCs/>
              </w:rPr>
            </w:pPr>
          </w:p>
          <w:p w:rsidRDefault="006C5159" w:rsidP="00400F59" w:rsidR="006C5159" w:rsidRPr="00E87E0D">
            <w:pPr>
              <w:jc w:val="center"/>
              <w:rPr>
                <w:bCs/>
              </w:rPr>
            </w:pPr>
            <w:r w:rsidRPr="00E87E0D">
              <w:rPr>
                <w:bCs/>
              </w:rPr>
              <w:t>Rashodi</w:t>
            </w:r>
          </w:p>
        </w:tc>
        <w:tc>
          <w:tcPr>
            <w:tcW w:type="dxa" w:w="1984"/>
            <w:tcBorders>
              <w:top w:space="0" w:sz="8" w:color="auto" w:val="single"/>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jc w:val="right"/>
              <w:rPr>
                <w:bCs/>
              </w:rPr>
            </w:pPr>
          </w:p>
          <w:p w:rsidRDefault="006C5159" w:rsidP="00400F59" w:rsidR="006C5159" w:rsidRPr="00E87E0D">
            <w:pPr>
              <w:jc w:val="center"/>
              <w:rPr>
                <w:bCs/>
              </w:rPr>
            </w:pPr>
            <w:r w:rsidRPr="00E87E0D">
              <w:rPr>
                <w:bCs/>
              </w:rPr>
              <w:t>Iznos</w:t>
            </w:r>
          </w:p>
        </w:tc>
      </w:tr>
      <w:tr w:rsidTr="00400F59" w:rsidR="006C5159" w:rsidRPr="00E87E0D">
        <w:trPr>
          <w:trHeight w:val="276"/>
        </w:trPr>
        <w:tc>
          <w:tcPr>
            <w:tcW w:type="dxa" w:w="1002"/>
            <w:tcBorders>
              <w:top w:val="nil"/>
              <w:left w:space="0" w:sz="8" w:color="auto" w:val="single"/>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jc w:val="center"/>
              <w:rPr>
                <w:szCs w:val="24"/>
              </w:rPr>
            </w:pPr>
            <w:r w:rsidRPr="00E87E0D">
              <w:rPr>
                <w:szCs w:val="24"/>
              </w:rPr>
              <w:t>1.</w:t>
            </w:r>
          </w:p>
        </w:tc>
        <w:tc>
          <w:tcPr>
            <w:tcW w:type="dxa" w:w="6194"/>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rPr>
                <w:szCs w:val="24"/>
              </w:rPr>
            </w:pPr>
            <w:r w:rsidRPr="00E87E0D">
              <w:rPr>
                <w:szCs w:val="24"/>
              </w:rPr>
              <w:t>PDV</w:t>
            </w:r>
          </w:p>
        </w:tc>
        <w:tc>
          <w:tcPr>
            <w:tcW w:type="dxa" w:w="1984"/>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ind w:right="144"/>
              <w:jc w:val="right"/>
              <w:rPr>
                <w:szCs w:val="24"/>
              </w:rPr>
            </w:pPr>
            <w:r w:rsidRPr="00E87E0D">
              <w:rPr>
                <w:szCs w:val="24"/>
              </w:rPr>
              <w:t xml:space="preserve">  117.427,51</w:t>
            </w:r>
          </w:p>
        </w:tc>
      </w:tr>
      <w:tr w:rsidTr="00400F59" w:rsidR="006C5159" w:rsidRPr="00E87E0D">
        <w:trPr>
          <w:trHeight w:val="276"/>
        </w:trPr>
        <w:tc>
          <w:tcPr>
            <w:tcW w:type="dxa" w:w="1002"/>
            <w:tcBorders>
              <w:top w:val="nil"/>
              <w:left w:space="0" w:sz="8" w:color="auto" w:val="single"/>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jc w:val="center"/>
              <w:rPr>
                <w:szCs w:val="24"/>
              </w:rPr>
            </w:pPr>
            <w:r w:rsidRPr="00E87E0D">
              <w:rPr>
                <w:szCs w:val="24"/>
              </w:rPr>
              <w:t>2.</w:t>
            </w:r>
          </w:p>
        </w:tc>
        <w:tc>
          <w:tcPr>
            <w:tcW w:type="dxa" w:w="6194"/>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rPr>
                <w:bCs/>
                <w:szCs w:val="24"/>
              </w:rPr>
            </w:pPr>
            <w:r w:rsidRPr="00E87E0D">
              <w:rPr>
                <w:bCs/>
                <w:szCs w:val="24"/>
              </w:rPr>
              <w:t>Porez na tvrtku</w:t>
            </w:r>
          </w:p>
        </w:tc>
        <w:tc>
          <w:tcPr>
            <w:tcW w:type="dxa" w:w="1984"/>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pStyle w:val="Bezproreda"/>
              <w:ind w:right="144"/>
              <w:jc w:val="right"/>
              <w:rPr>
                <w:szCs w:val="24"/>
              </w:rPr>
            </w:pPr>
            <w:r w:rsidRPr="00E87E0D">
              <w:rPr>
                <w:szCs w:val="24"/>
              </w:rPr>
              <w:t>1.200,00</w:t>
            </w:r>
          </w:p>
        </w:tc>
      </w:tr>
      <w:tr w:rsidTr="00400F59" w:rsidR="006C5159" w:rsidRPr="00E87E0D">
        <w:trPr>
          <w:trHeight w:val="276"/>
        </w:trPr>
        <w:tc>
          <w:tcPr>
            <w:tcW w:type="dxa" w:w="1002"/>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jc w:val="center"/>
              <w:rPr>
                <w:szCs w:val="24"/>
              </w:rPr>
            </w:pPr>
            <w:r w:rsidRPr="00E87E0D">
              <w:rPr>
                <w:szCs w:val="24"/>
              </w:rPr>
              <w:t>3.</w:t>
            </w:r>
          </w:p>
        </w:tc>
        <w:tc>
          <w:tcPr>
            <w:tcW w:type="dxa" w:w="619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rPr>
                <w:bCs/>
                <w:szCs w:val="24"/>
              </w:rPr>
            </w:pPr>
            <w:r w:rsidRPr="00E87E0D">
              <w:rPr>
                <w:bCs/>
                <w:szCs w:val="24"/>
              </w:rPr>
              <w:t xml:space="preserve">Doprinos za općekorisnu funkciju šuma </w:t>
            </w:r>
          </w:p>
        </w:tc>
        <w:tc>
          <w:tcPr>
            <w:tcW w:type="dxa" w:w="198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ind w:right="144"/>
              <w:jc w:val="right"/>
              <w:rPr>
                <w:szCs w:val="24"/>
              </w:rPr>
            </w:pPr>
            <w:r w:rsidRPr="00E87E0D">
              <w:rPr>
                <w:szCs w:val="24"/>
              </w:rPr>
              <w:t>8,40</w:t>
            </w:r>
          </w:p>
        </w:tc>
      </w:tr>
      <w:tr w:rsidTr="00400F59" w:rsidR="006C5159" w:rsidRPr="00E87E0D">
        <w:trPr>
          <w:trHeight w:val="276"/>
        </w:trPr>
        <w:tc>
          <w:tcPr>
            <w:tcW w:type="dxa" w:w="1002"/>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jc w:val="center"/>
              <w:rPr>
                <w:szCs w:val="24"/>
              </w:rPr>
            </w:pPr>
            <w:r w:rsidRPr="00E87E0D">
              <w:rPr>
                <w:szCs w:val="24"/>
              </w:rPr>
              <w:t xml:space="preserve">  </w:t>
            </w:r>
          </w:p>
        </w:tc>
        <w:tc>
          <w:tcPr>
            <w:tcW w:type="dxa" w:w="619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rPr>
                <w:bCs/>
                <w:szCs w:val="24"/>
              </w:rPr>
            </w:pPr>
            <w:r w:rsidRPr="00E87E0D">
              <w:rPr>
                <w:bCs/>
                <w:szCs w:val="24"/>
              </w:rPr>
              <w:t>Članarine turističkim zajednicama</w:t>
            </w:r>
          </w:p>
        </w:tc>
        <w:tc>
          <w:tcPr>
            <w:tcW w:type="dxa" w:w="198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ind w:right="144"/>
              <w:jc w:val="right"/>
              <w:rPr>
                <w:szCs w:val="24"/>
              </w:rPr>
            </w:pPr>
            <w:r w:rsidRPr="00E87E0D">
              <w:rPr>
                <w:szCs w:val="24"/>
              </w:rPr>
              <w:t>3,78</w:t>
            </w:r>
          </w:p>
        </w:tc>
      </w:tr>
      <w:tr w:rsidTr="00400F59" w:rsidR="006C5159" w:rsidRPr="00E87E0D">
        <w:trPr>
          <w:trHeight w:val="276"/>
        </w:trPr>
        <w:tc>
          <w:tcPr>
            <w:tcW w:type="dxa" w:w="1002"/>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jc w:val="center"/>
              <w:rPr>
                <w:szCs w:val="24"/>
              </w:rPr>
            </w:pPr>
            <w:r w:rsidRPr="00E87E0D">
              <w:rPr>
                <w:szCs w:val="24"/>
              </w:rPr>
              <w:t>5.</w:t>
            </w:r>
          </w:p>
        </w:tc>
        <w:tc>
          <w:tcPr>
            <w:tcW w:type="dxa" w:w="619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rPr>
                <w:bCs/>
                <w:szCs w:val="24"/>
              </w:rPr>
            </w:pPr>
            <w:r w:rsidRPr="00E87E0D">
              <w:rPr>
                <w:bCs/>
                <w:szCs w:val="24"/>
              </w:rPr>
              <w:t xml:space="preserve">Troškovi pričuve zgrade </w:t>
            </w:r>
          </w:p>
        </w:tc>
        <w:tc>
          <w:tcPr>
            <w:tcW w:type="dxa" w:w="198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ind w:right="144"/>
              <w:jc w:val="right"/>
              <w:rPr>
                <w:szCs w:val="24"/>
              </w:rPr>
            </w:pPr>
            <w:r w:rsidRPr="00E87E0D">
              <w:rPr>
                <w:szCs w:val="24"/>
              </w:rPr>
              <w:t>18.673,08</w:t>
            </w:r>
          </w:p>
        </w:tc>
      </w:tr>
      <w:tr w:rsidTr="00400F59" w:rsidR="006C5159" w:rsidRPr="00E87E0D">
        <w:trPr>
          <w:trHeight w:val="276"/>
        </w:trPr>
        <w:tc>
          <w:tcPr>
            <w:tcW w:type="dxa" w:w="1002"/>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jc w:val="center"/>
              <w:rPr>
                <w:szCs w:val="24"/>
              </w:rPr>
            </w:pPr>
            <w:r w:rsidRPr="00E87E0D">
              <w:rPr>
                <w:szCs w:val="24"/>
              </w:rPr>
              <w:t>6.</w:t>
            </w:r>
          </w:p>
        </w:tc>
        <w:tc>
          <w:tcPr>
            <w:tcW w:type="dxa" w:w="619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rPr>
                <w:bCs/>
                <w:szCs w:val="24"/>
              </w:rPr>
            </w:pPr>
            <w:r w:rsidRPr="00E87E0D">
              <w:rPr>
                <w:bCs/>
                <w:szCs w:val="24"/>
              </w:rPr>
              <w:t>Odvjetnički troškovi</w:t>
            </w:r>
          </w:p>
        </w:tc>
        <w:tc>
          <w:tcPr>
            <w:tcW w:type="dxa" w:w="198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ind w:right="144"/>
              <w:jc w:val="right"/>
              <w:rPr>
                <w:szCs w:val="24"/>
              </w:rPr>
            </w:pPr>
            <w:r w:rsidRPr="00E87E0D">
              <w:rPr>
                <w:szCs w:val="24"/>
              </w:rPr>
              <w:t>937,50</w:t>
            </w:r>
          </w:p>
        </w:tc>
      </w:tr>
      <w:tr w:rsidTr="00400F59" w:rsidR="006C5159" w:rsidRPr="00E87E0D">
        <w:trPr>
          <w:trHeight w:val="404"/>
        </w:trPr>
        <w:tc>
          <w:tcPr>
            <w:tcW w:type="dxa" w:w="1002"/>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ind w:left="720"/>
              <w:jc w:val="center"/>
              <w:rPr>
                <w:szCs w:val="24"/>
              </w:rPr>
            </w:pPr>
          </w:p>
          <w:p w:rsidRDefault="006C5159" w:rsidP="00400F59" w:rsidR="006C5159" w:rsidRPr="00E87E0D">
            <w:pPr>
              <w:pStyle w:val="Bezproreda"/>
              <w:ind w:left="720"/>
              <w:jc w:val="center"/>
              <w:rPr>
                <w:szCs w:val="24"/>
              </w:rPr>
            </w:pPr>
          </w:p>
          <w:p w:rsidRDefault="006C5159" w:rsidP="00400F59" w:rsidR="006C5159" w:rsidRPr="00E87E0D">
            <w:pPr>
              <w:pStyle w:val="Bezproreda"/>
              <w:ind w:left="720"/>
              <w:jc w:val="center"/>
              <w:rPr>
                <w:szCs w:val="24"/>
              </w:rPr>
            </w:pPr>
          </w:p>
          <w:p w:rsidRDefault="006C5159" w:rsidP="00400F59" w:rsidR="006C5159" w:rsidRPr="00E87E0D">
            <w:pPr>
              <w:pStyle w:val="Bezproreda"/>
              <w:jc w:val="center"/>
              <w:rPr>
                <w:szCs w:val="24"/>
              </w:rPr>
            </w:pPr>
            <w:r w:rsidRPr="00E87E0D">
              <w:rPr>
                <w:szCs w:val="24"/>
              </w:rPr>
              <w:t>7.</w:t>
            </w:r>
          </w:p>
        </w:tc>
        <w:tc>
          <w:tcPr>
            <w:tcW w:type="dxa" w:w="619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jc w:val="both"/>
              <w:rPr>
                <w:rFonts w:eastAsia="Arial Unicode MS"/>
                <w:color w:val="000000"/>
                <w:szCs w:val="24"/>
              </w:rPr>
            </w:pPr>
            <w:r w:rsidRPr="00E87E0D">
              <w:rPr>
                <w:rFonts w:eastAsia="Arial Unicode MS"/>
                <w:color w:val="000000"/>
                <w:szCs w:val="24"/>
              </w:rPr>
              <w:t>Jednokratna nagrada stečajnom upravitelju za obavljene poslove u prethodnom postupku  (neto: 2.000,00 kn) i konačna nagrada stečajnom upravitelju (neto: 61.682,21 kn), bruto:</w:t>
            </w:r>
          </w:p>
        </w:tc>
        <w:tc>
          <w:tcPr>
            <w:tcW w:type="dxa" w:w="198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r w:rsidRPr="00E87E0D">
              <w:rPr>
                <w:szCs w:val="24"/>
              </w:rPr>
              <w:t xml:space="preserve">   122.057,57</w:t>
            </w:r>
          </w:p>
        </w:tc>
      </w:tr>
      <w:tr w:rsidTr="00400F59" w:rsidR="006C5159" w:rsidRPr="00E87E0D">
        <w:trPr>
          <w:trHeight w:val="404"/>
        </w:trPr>
        <w:tc>
          <w:tcPr>
            <w:tcW w:type="dxa" w:w="1002"/>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jc w:val="center"/>
              <w:rPr>
                <w:szCs w:val="24"/>
              </w:rPr>
            </w:pPr>
          </w:p>
          <w:p w:rsidRDefault="006C5159" w:rsidP="00400F59" w:rsidR="006C5159" w:rsidRPr="00E87E0D">
            <w:pPr>
              <w:pStyle w:val="Bezproreda"/>
              <w:jc w:val="center"/>
              <w:rPr>
                <w:szCs w:val="24"/>
              </w:rPr>
            </w:pPr>
          </w:p>
          <w:p w:rsidRDefault="006C5159" w:rsidP="00400F59" w:rsidR="006C5159" w:rsidRPr="00E87E0D">
            <w:pPr>
              <w:pStyle w:val="Bezproreda"/>
              <w:jc w:val="center"/>
              <w:rPr>
                <w:szCs w:val="24"/>
              </w:rPr>
            </w:pPr>
          </w:p>
          <w:p w:rsidRDefault="006C5159" w:rsidP="00400F59" w:rsidR="006C5159" w:rsidRPr="00E87E0D">
            <w:pPr>
              <w:pStyle w:val="Bezproreda"/>
              <w:jc w:val="center"/>
              <w:rPr>
                <w:szCs w:val="24"/>
              </w:rPr>
            </w:pPr>
            <w:r w:rsidRPr="00E87E0D">
              <w:rPr>
                <w:szCs w:val="24"/>
              </w:rPr>
              <w:t>8.</w:t>
            </w:r>
          </w:p>
        </w:tc>
        <w:tc>
          <w:tcPr>
            <w:tcW w:type="dxa" w:w="619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jc w:val="both"/>
              <w:rPr>
                <w:rFonts w:eastAsia="Arial Unicode MS"/>
                <w:color w:val="000000"/>
                <w:szCs w:val="24"/>
              </w:rPr>
            </w:pPr>
            <w:r w:rsidRPr="00E87E0D">
              <w:rPr>
                <w:rFonts w:eastAsia="Arial Unicode MS"/>
                <w:szCs w:val="24"/>
              </w:rPr>
              <w:t>Naknada za računovodstvene poslove od 10. lipnja 2011, (neto 469,56 kn/mj.), sa izradom sedam godišnjih temeljnih financijskih izvješća za potreba Porezne uprave i Financijske agencije (neto 1.800,00 kn/god.), bruto:</w:t>
            </w:r>
          </w:p>
        </w:tc>
        <w:tc>
          <w:tcPr>
            <w:tcW w:type="dxa" w:w="198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r w:rsidRPr="00E87E0D">
              <w:rPr>
                <w:szCs w:val="24"/>
              </w:rPr>
              <w:t>77.249,76</w:t>
            </w:r>
          </w:p>
        </w:tc>
      </w:tr>
      <w:tr w:rsidTr="00400F59" w:rsidR="006C5159" w:rsidRPr="00E87E0D">
        <w:trPr>
          <w:trHeight w:val="404"/>
        </w:trPr>
        <w:tc>
          <w:tcPr>
            <w:tcW w:type="dxa" w:w="1002"/>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jc w:val="center"/>
              <w:rPr>
                <w:szCs w:val="24"/>
              </w:rPr>
            </w:pPr>
          </w:p>
          <w:p w:rsidRDefault="006C5159" w:rsidP="00400F59" w:rsidR="006C5159" w:rsidRPr="00E87E0D">
            <w:pPr>
              <w:pStyle w:val="Bezproreda"/>
              <w:jc w:val="center"/>
              <w:rPr>
                <w:szCs w:val="24"/>
              </w:rPr>
            </w:pPr>
            <w:r w:rsidRPr="00E87E0D">
              <w:rPr>
                <w:szCs w:val="24"/>
              </w:rPr>
              <w:t>9.</w:t>
            </w:r>
          </w:p>
        </w:tc>
        <w:tc>
          <w:tcPr>
            <w:tcW w:type="dxa" w:w="619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jc w:val="both"/>
              <w:rPr>
                <w:rFonts w:eastAsia="Arial Unicode MS"/>
                <w:color w:val="000000"/>
                <w:szCs w:val="24"/>
              </w:rPr>
            </w:pPr>
            <w:r w:rsidRPr="00E87E0D">
              <w:rPr>
                <w:rFonts w:eastAsia="Arial Unicode MS"/>
                <w:color w:val="000000"/>
                <w:szCs w:val="24"/>
              </w:rPr>
              <w:t>Naknada za izradu MPP-1 obrazaca, prema ugovoru o djelu Nina Palko (neto 3.000,00 kn), bruto</w:t>
            </w:r>
          </w:p>
        </w:tc>
        <w:tc>
          <w:tcPr>
            <w:tcW w:type="dxa" w:w="198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r w:rsidRPr="00E87E0D">
              <w:rPr>
                <w:szCs w:val="24"/>
              </w:rPr>
              <w:t>5.989,59</w:t>
            </w:r>
          </w:p>
        </w:tc>
      </w:tr>
      <w:tr w:rsidTr="00400F59" w:rsidR="006C5159" w:rsidRPr="00E87E0D">
        <w:trPr>
          <w:trHeight w:val="289"/>
        </w:trPr>
        <w:tc>
          <w:tcPr>
            <w:tcW w:type="dxa" w:w="1002"/>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jc w:val="center"/>
              <w:rPr>
                <w:szCs w:val="24"/>
              </w:rPr>
            </w:pPr>
            <w:r w:rsidRPr="00E87E0D">
              <w:rPr>
                <w:szCs w:val="24"/>
              </w:rPr>
              <w:t>10.</w:t>
            </w:r>
          </w:p>
        </w:tc>
        <w:tc>
          <w:tcPr>
            <w:tcW w:type="dxa" w:w="619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rPr>
                <w:bCs/>
                <w:szCs w:val="24"/>
              </w:rPr>
            </w:pPr>
            <w:r w:rsidRPr="00E87E0D">
              <w:rPr>
                <w:bCs/>
                <w:szCs w:val="24"/>
              </w:rPr>
              <w:t>Naknada sudskom vještaku za procjenu nekretnina</w:t>
            </w:r>
          </w:p>
        </w:tc>
        <w:tc>
          <w:tcPr>
            <w:tcW w:type="dxa" w:w="198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ind w:right="144"/>
              <w:jc w:val="right"/>
              <w:rPr>
                <w:szCs w:val="24"/>
              </w:rPr>
            </w:pPr>
            <w:r w:rsidRPr="00E87E0D">
              <w:rPr>
                <w:szCs w:val="24"/>
              </w:rPr>
              <w:t>3.000,00</w:t>
            </w:r>
          </w:p>
        </w:tc>
      </w:tr>
      <w:tr w:rsidTr="00400F59" w:rsidR="006C5159" w:rsidRPr="00E87E0D">
        <w:trPr>
          <w:trHeight w:val="289"/>
        </w:trPr>
        <w:tc>
          <w:tcPr>
            <w:tcW w:type="dxa" w:w="1002"/>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jc w:val="center"/>
              <w:rPr>
                <w:szCs w:val="24"/>
              </w:rPr>
            </w:pPr>
            <w:r w:rsidRPr="00E87E0D">
              <w:rPr>
                <w:szCs w:val="24"/>
              </w:rPr>
              <w:t>11.</w:t>
            </w:r>
          </w:p>
        </w:tc>
        <w:tc>
          <w:tcPr>
            <w:tcW w:type="dxa" w:w="619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rPr>
                <w:bCs/>
                <w:szCs w:val="24"/>
              </w:rPr>
            </w:pPr>
            <w:r w:rsidRPr="00E87E0D">
              <w:rPr>
                <w:bCs/>
                <w:szCs w:val="24"/>
              </w:rPr>
              <w:t>Povrat predujma za stečaj</w:t>
            </w:r>
          </w:p>
        </w:tc>
        <w:tc>
          <w:tcPr>
            <w:tcW w:type="dxa" w:w="198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ind w:right="144"/>
              <w:jc w:val="right"/>
              <w:rPr>
                <w:szCs w:val="24"/>
              </w:rPr>
            </w:pPr>
            <w:r w:rsidRPr="00E87E0D">
              <w:rPr>
                <w:szCs w:val="24"/>
              </w:rPr>
              <w:t>5.000,00</w:t>
            </w:r>
          </w:p>
        </w:tc>
      </w:tr>
      <w:tr w:rsidTr="00400F59" w:rsidR="006C5159" w:rsidRPr="00E87E0D">
        <w:trPr>
          <w:trHeight w:val="289"/>
        </w:trPr>
        <w:tc>
          <w:tcPr>
            <w:tcW w:type="dxa" w:w="1002"/>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jc w:val="center"/>
              <w:rPr>
                <w:szCs w:val="24"/>
              </w:rPr>
            </w:pPr>
          </w:p>
          <w:p w:rsidRDefault="006C5159" w:rsidP="00400F59" w:rsidR="006C5159" w:rsidRPr="00E87E0D">
            <w:pPr>
              <w:pStyle w:val="Bezproreda"/>
              <w:jc w:val="center"/>
              <w:rPr>
                <w:szCs w:val="24"/>
              </w:rPr>
            </w:pPr>
          </w:p>
          <w:p w:rsidRDefault="006C5159" w:rsidP="00400F59" w:rsidR="006C5159" w:rsidRPr="00E87E0D">
            <w:pPr>
              <w:pStyle w:val="Bezproreda"/>
              <w:jc w:val="center"/>
              <w:rPr>
                <w:szCs w:val="24"/>
              </w:rPr>
            </w:pPr>
          </w:p>
          <w:p w:rsidRDefault="006C5159" w:rsidP="00400F59" w:rsidR="006C5159" w:rsidRPr="00E87E0D">
            <w:pPr>
              <w:pStyle w:val="Bezproreda"/>
              <w:jc w:val="center"/>
              <w:rPr>
                <w:szCs w:val="24"/>
              </w:rPr>
            </w:pPr>
            <w:r w:rsidRPr="00E87E0D">
              <w:rPr>
                <w:szCs w:val="24"/>
              </w:rPr>
              <w:t>12.</w:t>
            </w:r>
          </w:p>
        </w:tc>
        <w:tc>
          <w:tcPr>
            <w:tcW w:type="dxa" w:w="619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jc w:val="both"/>
              <w:rPr>
                <w:bCs/>
                <w:szCs w:val="24"/>
              </w:rPr>
            </w:pPr>
            <w:r w:rsidRPr="00E87E0D">
              <w:rPr>
                <w:bCs/>
                <w:szCs w:val="24"/>
              </w:rPr>
              <w:t>Naknada za arhiviranje dokumentacije stečajnog dužnika koju je potrebno čuvati temeljem odredbi Zakona o računovodstvu najmanje 11 godina od isteka godine na koju se odnose, ukupno 432 registratora, 25.000,00 kn uvećano za PDV</w:t>
            </w:r>
          </w:p>
        </w:tc>
        <w:tc>
          <w:tcPr>
            <w:tcW w:type="dxa" w:w="198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r w:rsidRPr="00E87E0D">
              <w:rPr>
                <w:szCs w:val="24"/>
              </w:rPr>
              <w:t>31.250,00</w:t>
            </w:r>
          </w:p>
        </w:tc>
      </w:tr>
      <w:tr w:rsidTr="00400F59" w:rsidR="006C5159" w:rsidRPr="00E87E0D">
        <w:trPr>
          <w:trHeight w:val="289"/>
        </w:trPr>
        <w:tc>
          <w:tcPr>
            <w:tcW w:type="dxa" w:w="1002"/>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jc w:val="center"/>
              <w:rPr>
                <w:szCs w:val="24"/>
              </w:rPr>
            </w:pPr>
            <w:r w:rsidRPr="00E87E0D">
              <w:rPr>
                <w:szCs w:val="24"/>
              </w:rPr>
              <w:t>12.</w:t>
            </w:r>
          </w:p>
        </w:tc>
        <w:tc>
          <w:tcPr>
            <w:tcW w:type="dxa" w:w="619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rPr>
                <w:bCs/>
                <w:szCs w:val="24"/>
              </w:rPr>
            </w:pPr>
            <w:r w:rsidRPr="00E87E0D">
              <w:rPr>
                <w:bCs/>
                <w:szCs w:val="24"/>
              </w:rPr>
              <w:t>Povrat beskamatnih pozajmica stečajnom upravitelju</w:t>
            </w:r>
          </w:p>
        </w:tc>
        <w:tc>
          <w:tcPr>
            <w:tcW w:type="dxa" w:w="198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ind w:right="144"/>
              <w:jc w:val="right"/>
              <w:rPr>
                <w:szCs w:val="24"/>
              </w:rPr>
            </w:pPr>
            <w:r w:rsidRPr="00E87E0D">
              <w:rPr>
                <w:szCs w:val="24"/>
              </w:rPr>
              <w:t>13.152,80</w:t>
            </w:r>
          </w:p>
        </w:tc>
      </w:tr>
      <w:tr w:rsidTr="00400F59" w:rsidR="006C5159" w:rsidRPr="00E87E0D">
        <w:trPr>
          <w:trHeight w:val="404"/>
        </w:trPr>
        <w:tc>
          <w:tcPr>
            <w:tcW w:type="dxa" w:w="1002"/>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ind w:left="720"/>
              <w:jc w:val="center"/>
              <w:rPr>
                <w:szCs w:val="24"/>
              </w:rPr>
            </w:pPr>
          </w:p>
          <w:p w:rsidRDefault="006C5159" w:rsidP="00400F59" w:rsidR="006C5159" w:rsidRPr="00E87E0D">
            <w:pPr>
              <w:pStyle w:val="Bezproreda"/>
              <w:ind w:left="720"/>
              <w:jc w:val="center"/>
              <w:rPr>
                <w:szCs w:val="24"/>
              </w:rPr>
            </w:pPr>
          </w:p>
          <w:p w:rsidRDefault="006C5159" w:rsidP="00400F59" w:rsidR="006C5159" w:rsidRPr="00E87E0D">
            <w:pPr>
              <w:pStyle w:val="Bezproreda"/>
              <w:ind w:left="720"/>
              <w:jc w:val="center"/>
              <w:rPr>
                <w:szCs w:val="24"/>
              </w:rPr>
            </w:pPr>
          </w:p>
          <w:p w:rsidRDefault="006C5159" w:rsidP="00400F59" w:rsidR="006C5159" w:rsidRPr="00E87E0D">
            <w:pPr>
              <w:pStyle w:val="Bezproreda"/>
              <w:ind w:left="720"/>
              <w:jc w:val="center"/>
              <w:rPr>
                <w:szCs w:val="24"/>
              </w:rPr>
            </w:pPr>
          </w:p>
          <w:p w:rsidRDefault="006C5159" w:rsidP="00400F59" w:rsidR="006C5159" w:rsidRPr="00E87E0D">
            <w:pPr>
              <w:pStyle w:val="Bezproreda"/>
              <w:ind w:left="720"/>
              <w:jc w:val="center"/>
              <w:rPr>
                <w:szCs w:val="24"/>
              </w:rPr>
            </w:pPr>
          </w:p>
          <w:p w:rsidRDefault="006C5159" w:rsidP="00400F59" w:rsidR="006C5159" w:rsidRPr="00E87E0D">
            <w:pPr>
              <w:pStyle w:val="Bezproreda"/>
              <w:ind w:left="720"/>
              <w:jc w:val="center"/>
              <w:rPr>
                <w:szCs w:val="24"/>
              </w:rPr>
            </w:pPr>
          </w:p>
          <w:p w:rsidRDefault="006C5159" w:rsidP="00400F59" w:rsidR="006C5159" w:rsidRPr="00E87E0D">
            <w:pPr>
              <w:pStyle w:val="Bezproreda"/>
              <w:ind w:left="720"/>
              <w:jc w:val="center"/>
              <w:rPr>
                <w:szCs w:val="24"/>
              </w:rPr>
            </w:pPr>
          </w:p>
          <w:p w:rsidRDefault="006C5159" w:rsidP="00400F59" w:rsidR="006C5159" w:rsidRPr="00E87E0D">
            <w:pPr>
              <w:pStyle w:val="Bezproreda"/>
              <w:ind w:left="720"/>
              <w:jc w:val="center"/>
              <w:rPr>
                <w:szCs w:val="24"/>
              </w:rPr>
            </w:pPr>
          </w:p>
          <w:p w:rsidRDefault="006C5159" w:rsidP="00400F59" w:rsidR="006C5159" w:rsidRPr="00E87E0D">
            <w:pPr>
              <w:pStyle w:val="Bezproreda"/>
              <w:jc w:val="center"/>
              <w:rPr>
                <w:szCs w:val="24"/>
              </w:rPr>
            </w:pPr>
          </w:p>
          <w:p w:rsidRDefault="006C5159" w:rsidP="00400F59" w:rsidR="006C5159" w:rsidRPr="00E87E0D">
            <w:pPr>
              <w:pStyle w:val="Bezproreda"/>
              <w:ind w:left="720"/>
              <w:jc w:val="center"/>
              <w:rPr>
                <w:szCs w:val="24"/>
              </w:rPr>
            </w:pPr>
          </w:p>
          <w:p w:rsidRDefault="006C5159" w:rsidP="00400F59" w:rsidR="006C5159" w:rsidRPr="00E87E0D">
            <w:pPr>
              <w:pStyle w:val="Bezproreda"/>
              <w:jc w:val="center"/>
              <w:rPr>
                <w:szCs w:val="24"/>
              </w:rPr>
            </w:pPr>
            <w:r w:rsidRPr="00E87E0D">
              <w:rPr>
                <w:szCs w:val="24"/>
              </w:rPr>
              <w:t>13.</w:t>
            </w:r>
          </w:p>
        </w:tc>
        <w:tc>
          <w:tcPr>
            <w:tcW w:type="dxa" w:w="619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rPr>
                <w:bCs/>
                <w:szCs w:val="24"/>
              </w:rPr>
            </w:pPr>
            <w:r w:rsidRPr="00E87E0D">
              <w:rPr>
                <w:szCs w:val="24"/>
              </w:rPr>
              <w:t xml:space="preserve">Ostali troškovi poslovanja (naknada </w:t>
            </w:r>
            <w:r w:rsidRPr="00E87E0D">
              <w:rPr>
                <w:color w:val="000000"/>
                <w:szCs w:val="24"/>
              </w:rPr>
              <w:t xml:space="preserve">banci za uslugu platnog prometa, naknada Financijskoj agenciji </w:t>
            </w:r>
            <w:r w:rsidRPr="00E87E0D">
              <w:rPr>
                <w:bCs/>
                <w:szCs w:val="24"/>
              </w:rPr>
              <w:t>za izdavanje potvrde o neizmirenim obvezama,</w:t>
            </w:r>
            <w:r w:rsidRPr="00E87E0D">
              <w:rPr>
                <w:color w:val="000000"/>
                <w:szCs w:val="24"/>
              </w:rPr>
              <w:t xml:space="preserve"> naknada Financijskoj agenciji za uslugu izdavanja digitalnog certifikata, naknada Financijskoj agenciji za uslugu javne objave godišnjih financijskih izvješća, naknada Financijskoj agenciji za troškove prisilne naplate, naknada Hrvatskom telekomu za uslugu fiksne mreže, troškovi oglašavanja, poštanski i telefonski troškovi, troškovi cestarina i parkinga, troškovi upravnih i sudskih pristojbi, troškovi uredskog materijala, trošak izrade pečata, zakup web domene i troškovi hostinga</w:t>
            </w:r>
          </w:p>
        </w:tc>
        <w:tc>
          <w:tcPr>
            <w:tcW w:type="dxa" w:w="198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p>
          <w:p w:rsidRDefault="006C5159" w:rsidP="00400F59" w:rsidR="006C5159" w:rsidRPr="00E87E0D">
            <w:pPr>
              <w:pStyle w:val="Bezproreda"/>
              <w:ind w:right="144"/>
              <w:jc w:val="right"/>
              <w:rPr>
                <w:szCs w:val="24"/>
              </w:rPr>
            </w:pPr>
            <w:r w:rsidRPr="00E87E0D">
              <w:rPr>
                <w:szCs w:val="24"/>
              </w:rPr>
              <w:t>19.260,13</w:t>
            </w:r>
          </w:p>
        </w:tc>
      </w:tr>
      <w:tr w:rsidTr="00400F59" w:rsidR="006C5159" w:rsidRPr="00E87E0D">
        <w:trPr>
          <w:trHeight w:val="335"/>
        </w:trPr>
        <w:tc>
          <w:tcPr>
            <w:tcW w:type="dxa" w:w="1002"/>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jc w:val="center"/>
              <w:rPr>
                <w:szCs w:val="24"/>
              </w:rPr>
            </w:pPr>
          </w:p>
        </w:tc>
        <w:tc>
          <w:tcPr>
            <w:tcW w:type="dxa" w:w="619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jc w:val="center"/>
              <w:rPr>
                <w:bCs/>
                <w:szCs w:val="24"/>
              </w:rPr>
            </w:pPr>
            <w:r w:rsidRPr="00E87E0D">
              <w:rPr>
                <w:bCs/>
                <w:szCs w:val="24"/>
              </w:rPr>
              <w:t>Ukupno</w:t>
            </w:r>
          </w:p>
        </w:tc>
        <w:tc>
          <w:tcPr>
            <w:tcW w:type="dxa" w:w="1984"/>
            <w:tcBorders>
              <w:top w:space="0" w:sz="4" w:color="auto" w:val="single"/>
              <w:left w:space="0" w:sz="4" w:color="auto" w:val="single"/>
              <w:bottom w:space="0" w:sz="4" w:color="auto" w:val="single"/>
              <w:right w:space="0" w:sz="4" w:color="auto" w:val="single"/>
            </w:tcBorders>
            <w:tcMar>
              <w:top w:type="dxa" w:w="0"/>
              <w:left w:type="dxa" w:w="108"/>
              <w:bottom w:type="dxa" w:w="0"/>
              <w:right w:type="dxa" w:w="108"/>
            </w:tcMar>
          </w:tcPr>
          <w:p w:rsidRDefault="006C5159" w:rsidP="00400F59" w:rsidR="006C5159" w:rsidRPr="00E87E0D">
            <w:pPr>
              <w:pStyle w:val="Bezproreda"/>
              <w:ind w:right="144"/>
              <w:jc w:val="right"/>
              <w:rPr>
                <w:szCs w:val="24"/>
              </w:rPr>
            </w:pPr>
            <w:r w:rsidRPr="00E87E0D">
              <w:rPr>
                <w:szCs w:val="24"/>
              </w:rPr>
              <w:t>415.210,12</w:t>
            </w:r>
          </w:p>
        </w:tc>
      </w:tr>
    </w:tbl>
    <w:p w:rsidRDefault="006C5159" w:rsidP="006C5159" w:rsidR="006C5159" w:rsidRPr="00E87E0D"/>
    <w:p w:rsidRDefault="006C5159" w:rsidP="006C5159" w:rsidR="006C5159" w:rsidRPr="00E87E0D">
      <w:r w:rsidRPr="00E87E0D">
        <w:t xml:space="preserve">Stanje novčanih sredstava na računu stečajnog dužnika na dan 14. travnja </w:t>
      </w:r>
      <w:r w:rsidRPr="00E87E0D">
        <w:rPr>
          <w:bCs/>
        </w:rPr>
        <w:t>2016</w:t>
      </w:r>
      <w:r w:rsidRPr="00E87E0D">
        <w:t xml:space="preserve">. godine iznosi 7.425,51 kn. </w:t>
      </w:r>
    </w:p>
    <w:p w:rsidRDefault="006C5159" w:rsidP="006C5159" w:rsidR="006C5159" w:rsidRPr="00E87E0D"/>
    <w:p w:rsidRDefault="006C5159" w:rsidP="006C5159" w:rsidR="006C5159" w:rsidRPr="00E87E0D">
      <w:pPr>
        <w:jc w:val="both"/>
        <w:rPr>
          <w:bCs/>
        </w:rPr>
      </w:pPr>
      <w:r w:rsidRPr="00E87E0D">
        <w:rPr>
          <w:bCs/>
        </w:rPr>
        <w:t>Za pokriće troškova koji će nastati do zaključenja stečajnog postupka i brisanja stečajnog dužnika iz sudskog registra, potrebno je rezervirati slijedeće iznose:</w:t>
      </w:r>
    </w:p>
    <w:p w:rsidRDefault="006C5159" w:rsidP="006C5159" w:rsidR="006C5159" w:rsidRPr="00E87E0D">
      <w:pPr>
        <w:jc w:val="both"/>
        <w:rPr>
          <w:bCs/>
        </w:rPr>
      </w:pPr>
    </w:p>
    <w:tbl>
      <w:tblPr>
        <w:tblW w:type="dxa" w:w="9288"/>
        <w:tblCellMar>
          <w:left w:type="dxa" w:w="0"/>
          <w:right w:type="dxa" w:w="0"/>
        </w:tblCellMar>
        <w:tblLook w:val="04A0" w:noVBand="1" w:noHBand="0" w:lastColumn="0" w:firstColumn="1" w:lastRow="0" w:firstRow="1"/>
      </w:tblPr>
      <w:tblGrid>
        <w:gridCol w:w="1008"/>
        <w:gridCol w:w="6300"/>
        <w:gridCol w:w="1980"/>
      </w:tblGrid>
      <w:tr w:rsidTr="00400F59" w:rsidR="006C5159" w:rsidRPr="00E87E0D">
        <w:trPr>
          <w:trHeight w:val="701"/>
        </w:trPr>
        <w:tc>
          <w:tcPr>
            <w:tcW w:type="dxa" w:w="1008"/>
            <w:tcBorders>
              <w:top w:space="0" w:sz="8" w:color="auto" w:val="single"/>
              <w:left w:space="0" w:sz="8" w:color="auto" w:val="single"/>
              <w:bottom w:space="0" w:sz="8" w:color="auto" w:val="single"/>
              <w:right w:space="0" w:sz="8" w:color="auto" w:val="single"/>
            </w:tcBorders>
            <w:tcMar>
              <w:top w:type="dxa" w:w="0"/>
              <w:left w:type="dxa" w:w="108"/>
              <w:bottom w:type="dxa" w:w="0"/>
              <w:right w:type="dxa" w:w="108"/>
            </w:tcMar>
            <w:hideMark/>
          </w:tcPr>
          <w:p w:rsidRDefault="006C5159" w:rsidP="00400F59" w:rsidR="006C5159" w:rsidRPr="00E87E0D">
            <w:pPr>
              <w:jc w:val="center"/>
              <w:rPr>
                <w:rFonts w:eastAsia="Calibri"/>
                <w:bCs/>
              </w:rPr>
            </w:pPr>
            <w:r w:rsidRPr="00E87E0D">
              <w:rPr>
                <w:bCs/>
              </w:rPr>
              <w:t>Red.</w:t>
            </w:r>
          </w:p>
          <w:p w:rsidRDefault="006C5159" w:rsidP="00400F59" w:rsidR="006C5159" w:rsidRPr="00E87E0D">
            <w:pPr>
              <w:jc w:val="center"/>
              <w:rPr>
                <w:rFonts w:eastAsia="Calibri"/>
                <w:bCs/>
              </w:rPr>
            </w:pPr>
            <w:r w:rsidRPr="00E87E0D">
              <w:rPr>
                <w:bCs/>
              </w:rPr>
              <w:t>br.</w:t>
            </w:r>
          </w:p>
        </w:tc>
        <w:tc>
          <w:tcPr>
            <w:tcW w:type="dxa" w:w="6300"/>
            <w:tcBorders>
              <w:top w:space="0" w:sz="8" w:color="auto" w:val="single"/>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jc w:val="center"/>
              <w:rPr>
                <w:rFonts w:eastAsia="Calibri"/>
                <w:bCs/>
              </w:rPr>
            </w:pPr>
          </w:p>
          <w:p w:rsidRDefault="006C5159" w:rsidP="00400F59" w:rsidR="006C5159" w:rsidRPr="00E87E0D">
            <w:pPr>
              <w:jc w:val="center"/>
              <w:rPr>
                <w:bCs/>
              </w:rPr>
            </w:pPr>
            <w:r w:rsidRPr="00E87E0D">
              <w:rPr>
                <w:bCs/>
              </w:rPr>
              <w:t>Budući rashodi</w:t>
            </w:r>
          </w:p>
          <w:p w:rsidRDefault="006C5159" w:rsidP="00400F59" w:rsidR="006C5159" w:rsidRPr="00E87E0D">
            <w:pPr>
              <w:rPr>
                <w:rFonts w:eastAsia="Calibri"/>
                <w:bCs/>
              </w:rPr>
            </w:pPr>
          </w:p>
        </w:tc>
        <w:tc>
          <w:tcPr>
            <w:tcW w:type="dxa" w:w="1980"/>
            <w:tcBorders>
              <w:top w:space="0" w:sz="8" w:color="auto" w:val="single"/>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jc w:val="right"/>
              <w:rPr>
                <w:rFonts w:eastAsia="Calibri"/>
                <w:bCs/>
              </w:rPr>
            </w:pPr>
          </w:p>
          <w:p w:rsidRDefault="006C5159" w:rsidP="00400F59" w:rsidR="006C5159" w:rsidRPr="00E87E0D">
            <w:pPr>
              <w:jc w:val="center"/>
              <w:rPr>
                <w:rFonts w:eastAsia="Calibri"/>
                <w:bCs/>
              </w:rPr>
            </w:pPr>
            <w:r w:rsidRPr="00E87E0D">
              <w:rPr>
                <w:bCs/>
              </w:rPr>
              <w:t>Iznos u kn.</w:t>
            </w:r>
          </w:p>
        </w:tc>
      </w:tr>
      <w:tr w:rsidTr="00400F59" w:rsidR="006C5159" w:rsidRPr="00E87E0D">
        <w:tc>
          <w:tcPr>
            <w:tcW w:type="dxa" w:w="1008"/>
            <w:tcBorders>
              <w:top w:val="nil"/>
              <w:left w:space="0" w:sz="8" w:color="auto" w:val="single"/>
              <w:bottom w:space="0" w:sz="8" w:color="auto" w:val="single"/>
              <w:right w:space="0" w:sz="8" w:color="auto" w:val="single"/>
            </w:tcBorders>
            <w:tcMar>
              <w:top w:type="dxa" w:w="0"/>
              <w:left w:type="dxa" w:w="108"/>
              <w:bottom w:type="dxa" w:w="0"/>
              <w:right w:type="dxa" w:w="108"/>
            </w:tcMar>
          </w:tcPr>
          <w:p w:rsidRDefault="006C5159" w:rsidP="00400F59" w:rsidR="006C5159" w:rsidRPr="00E87E0D">
            <w:pPr>
              <w:jc w:val="center"/>
              <w:rPr>
                <w:rFonts w:eastAsia="Calibri"/>
              </w:rPr>
            </w:pPr>
          </w:p>
          <w:p w:rsidRDefault="006C5159" w:rsidP="00400F59" w:rsidR="006C5159" w:rsidRPr="00E87E0D">
            <w:pPr>
              <w:jc w:val="center"/>
            </w:pPr>
          </w:p>
          <w:p w:rsidRDefault="006C5159" w:rsidP="00400F59" w:rsidR="006C5159" w:rsidRPr="00E87E0D">
            <w:pPr>
              <w:jc w:val="center"/>
            </w:pPr>
          </w:p>
          <w:p w:rsidRDefault="006C5159" w:rsidP="00400F59" w:rsidR="006C5159" w:rsidRPr="00E87E0D">
            <w:pPr>
              <w:jc w:val="center"/>
            </w:pPr>
          </w:p>
          <w:p w:rsidRDefault="006C5159" w:rsidP="00400F59" w:rsidR="006C5159" w:rsidRPr="00E87E0D">
            <w:pPr>
              <w:jc w:val="center"/>
              <w:rPr>
                <w:rFonts w:eastAsia="Calibri"/>
              </w:rPr>
            </w:pPr>
            <w:r w:rsidRPr="00E87E0D">
              <w:t>1.</w:t>
            </w:r>
          </w:p>
        </w:tc>
        <w:tc>
          <w:tcPr>
            <w:tcW w:type="dxa" w:w="6300"/>
            <w:tcBorders>
              <w:top w:val="nil"/>
              <w:left w:val="nil"/>
              <w:bottom w:space="0" w:sz="8" w:color="auto" w:val="single"/>
              <w:right w:space="0" w:sz="8" w:color="auto" w:val="single"/>
            </w:tcBorders>
            <w:tcMar>
              <w:top w:type="dxa" w:w="0"/>
              <w:left w:type="dxa" w:w="108"/>
              <w:bottom w:type="dxa" w:w="0"/>
              <w:right w:type="dxa" w:w="108"/>
            </w:tcMar>
            <w:hideMark/>
          </w:tcPr>
          <w:p w:rsidRDefault="006C5159" w:rsidP="00400F59" w:rsidR="006C5159" w:rsidRPr="00E87E0D">
            <w:pPr>
              <w:jc w:val="both"/>
              <w:rPr>
                <w:rFonts w:eastAsia="Calibri"/>
              </w:rPr>
            </w:pPr>
            <w:r w:rsidRPr="00E87E0D">
              <w:t xml:space="preserve">Troškovi poslovanja: naknada banci za uslugu platnog prometa: 600,00 kn, naknada Financijskoj agenciji za uslugu dvije javne objave financijskog izvješća: 230,00 kn, trošak zatvaranja žiro-računa: 200,00 kn,  drugi nepredviđeni troškovi 500,00 kn, ukupno: </w:t>
            </w:r>
          </w:p>
        </w:tc>
        <w:tc>
          <w:tcPr>
            <w:tcW w:type="dxa" w:w="1980"/>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jc w:val="right"/>
              <w:rPr>
                <w:rFonts w:eastAsia="Calibri"/>
              </w:rPr>
            </w:pPr>
          </w:p>
          <w:p w:rsidRDefault="006C5159" w:rsidP="00400F59" w:rsidR="006C5159" w:rsidRPr="00E87E0D">
            <w:pPr>
              <w:jc w:val="right"/>
              <w:rPr>
                <w:rFonts w:eastAsia="Calibri"/>
              </w:rPr>
            </w:pPr>
          </w:p>
          <w:p w:rsidRDefault="006C5159" w:rsidP="00400F59" w:rsidR="006C5159" w:rsidRPr="00E87E0D">
            <w:pPr>
              <w:jc w:val="right"/>
              <w:rPr>
                <w:rFonts w:eastAsia="Calibri"/>
              </w:rPr>
            </w:pPr>
          </w:p>
          <w:p w:rsidRDefault="006C5159" w:rsidP="00400F59" w:rsidR="006C5159" w:rsidRPr="00E87E0D">
            <w:pPr>
              <w:jc w:val="right"/>
              <w:rPr>
                <w:rFonts w:eastAsia="Calibri"/>
              </w:rPr>
            </w:pPr>
          </w:p>
          <w:p w:rsidRDefault="006C5159" w:rsidP="00400F59" w:rsidR="006C5159" w:rsidRPr="00E87E0D">
            <w:pPr>
              <w:jc w:val="right"/>
              <w:rPr>
                <w:rFonts w:eastAsia="Calibri"/>
              </w:rPr>
            </w:pPr>
            <w:r w:rsidRPr="00E87E0D">
              <w:rPr>
                <w:rFonts w:eastAsia="Calibri"/>
              </w:rPr>
              <w:t>1.530,00</w:t>
            </w:r>
          </w:p>
        </w:tc>
      </w:tr>
      <w:tr w:rsidTr="00400F59" w:rsidR="006C5159" w:rsidRPr="00E87E0D">
        <w:tc>
          <w:tcPr>
            <w:tcW w:type="dxa" w:w="1008"/>
            <w:tcBorders>
              <w:top w:val="nil"/>
              <w:left w:space="0" w:sz="8" w:color="auto" w:val="single"/>
              <w:bottom w:space="0" w:sz="8" w:color="auto" w:val="single"/>
              <w:right w:space="0" w:sz="8" w:color="auto" w:val="single"/>
            </w:tcBorders>
            <w:tcMar>
              <w:top w:type="dxa" w:w="0"/>
              <w:left w:type="dxa" w:w="108"/>
              <w:bottom w:type="dxa" w:w="0"/>
              <w:right w:type="dxa" w:w="108"/>
            </w:tcMar>
          </w:tcPr>
          <w:p w:rsidRDefault="006C5159" w:rsidP="00400F59" w:rsidR="006C5159" w:rsidRPr="00E87E0D">
            <w:pPr>
              <w:jc w:val="center"/>
              <w:rPr>
                <w:rFonts w:eastAsia="Calibri"/>
              </w:rPr>
            </w:pPr>
          </w:p>
          <w:p w:rsidRDefault="006C5159" w:rsidP="00400F59" w:rsidR="006C5159" w:rsidRPr="00E87E0D">
            <w:pPr>
              <w:jc w:val="center"/>
              <w:rPr>
                <w:rFonts w:eastAsia="Calibri"/>
              </w:rPr>
            </w:pPr>
            <w:r w:rsidRPr="00E87E0D">
              <w:t>2.</w:t>
            </w:r>
          </w:p>
        </w:tc>
        <w:tc>
          <w:tcPr>
            <w:tcW w:type="dxa" w:w="6300"/>
            <w:tcBorders>
              <w:top w:val="nil"/>
              <w:left w:val="nil"/>
              <w:bottom w:space="0" w:sz="8" w:color="auto" w:val="single"/>
              <w:right w:space="0" w:sz="8" w:color="auto" w:val="single"/>
            </w:tcBorders>
            <w:tcMar>
              <w:top w:type="dxa" w:w="0"/>
              <w:left w:type="dxa" w:w="108"/>
              <w:bottom w:type="dxa" w:w="0"/>
              <w:right w:type="dxa" w:w="108"/>
            </w:tcMar>
            <w:hideMark/>
          </w:tcPr>
          <w:p w:rsidRDefault="006C5159" w:rsidP="00400F59" w:rsidR="006C5159" w:rsidRPr="00E87E0D">
            <w:pPr>
              <w:jc w:val="both"/>
              <w:rPr>
                <w:rFonts w:eastAsia="Calibri"/>
              </w:rPr>
            </w:pPr>
            <w:r w:rsidRPr="00E87E0D">
              <w:t>Naknada za računovodstvene poslove do brisanja stečajnog dužnika iz sudskog registra, bruto:</w:t>
            </w:r>
          </w:p>
        </w:tc>
        <w:tc>
          <w:tcPr>
            <w:tcW w:type="dxa" w:w="1980"/>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jc w:val="right"/>
              <w:rPr>
                <w:rFonts w:eastAsia="Calibri"/>
              </w:rPr>
            </w:pPr>
          </w:p>
          <w:p w:rsidRDefault="006C5159" w:rsidP="00400F59" w:rsidR="006C5159" w:rsidRPr="00E87E0D">
            <w:pPr>
              <w:jc w:val="right"/>
              <w:rPr>
                <w:rFonts w:eastAsia="Calibri"/>
              </w:rPr>
            </w:pPr>
            <w:r w:rsidRPr="00E87E0D">
              <w:rPr>
                <w:rFonts w:eastAsia="Calibri"/>
              </w:rPr>
              <w:t>3.000,00</w:t>
            </w:r>
          </w:p>
        </w:tc>
      </w:tr>
      <w:tr w:rsidTr="00400F59" w:rsidR="006C5159" w:rsidRPr="00E87E0D">
        <w:tc>
          <w:tcPr>
            <w:tcW w:type="dxa" w:w="1008"/>
            <w:tcBorders>
              <w:top w:val="nil"/>
              <w:left w:space="0" w:sz="8" w:color="auto" w:val="single"/>
              <w:bottom w:space="0" w:sz="8" w:color="auto" w:val="single"/>
              <w:right w:space="0" w:sz="8" w:color="auto" w:val="single"/>
            </w:tcBorders>
            <w:tcMar>
              <w:top w:type="dxa" w:w="0"/>
              <w:left w:type="dxa" w:w="108"/>
              <w:bottom w:type="dxa" w:w="0"/>
              <w:right w:type="dxa" w:w="108"/>
            </w:tcMar>
          </w:tcPr>
          <w:p w:rsidRDefault="006C5159" w:rsidP="00400F59" w:rsidR="006C5159" w:rsidRPr="00E87E0D">
            <w:pPr>
              <w:jc w:val="center"/>
              <w:rPr>
                <w:rFonts w:eastAsia="Calibri"/>
              </w:rPr>
            </w:pPr>
          </w:p>
        </w:tc>
        <w:tc>
          <w:tcPr>
            <w:tcW w:type="dxa" w:w="6300"/>
            <w:tcBorders>
              <w:top w:val="nil"/>
              <w:left w:val="nil"/>
              <w:bottom w:space="0" w:sz="8" w:color="auto" w:val="single"/>
              <w:right w:space="0" w:sz="8" w:color="auto" w:val="single"/>
            </w:tcBorders>
            <w:tcMar>
              <w:top w:type="dxa" w:w="0"/>
              <w:left w:type="dxa" w:w="108"/>
              <w:bottom w:type="dxa" w:w="0"/>
              <w:right w:type="dxa" w:w="108"/>
            </w:tcMar>
            <w:hideMark/>
          </w:tcPr>
          <w:p w:rsidRDefault="006C5159" w:rsidP="00400F59" w:rsidR="006C5159" w:rsidRPr="00E87E0D">
            <w:pPr>
              <w:jc w:val="center"/>
            </w:pPr>
            <w:r w:rsidRPr="00E87E0D">
              <w:t>Ukupno</w:t>
            </w:r>
          </w:p>
        </w:tc>
        <w:tc>
          <w:tcPr>
            <w:tcW w:type="dxa" w:w="1980"/>
            <w:tcBorders>
              <w:top w:val="nil"/>
              <w:left w:val="nil"/>
              <w:bottom w:space="0" w:sz="8" w:color="auto" w:val="single"/>
              <w:right w:space="0" w:sz="8" w:color="auto" w:val="single"/>
            </w:tcBorders>
            <w:tcMar>
              <w:top w:type="dxa" w:w="0"/>
              <w:left w:type="dxa" w:w="108"/>
              <w:bottom w:type="dxa" w:w="0"/>
              <w:right w:type="dxa" w:w="108"/>
            </w:tcMar>
          </w:tcPr>
          <w:p w:rsidRDefault="006C5159" w:rsidP="00400F59" w:rsidR="006C5159" w:rsidRPr="00E87E0D">
            <w:pPr>
              <w:jc w:val="right"/>
              <w:rPr>
                <w:rFonts w:eastAsia="Calibri"/>
              </w:rPr>
            </w:pPr>
            <w:r w:rsidRPr="00E87E0D">
              <w:rPr>
                <w:rFonts w:eastAsia="Calibri"/>
              </w:rPr>
              <w:t>4.530,00</w:t>
            </w:r>
          </w:p>
        </w:tc>
      </w:tr>
    </w:tbl>
    <w:p w:rsidRDefault="006C5159" w:rsidP="006C5159" w:rsidR="006C5159" w:rsidRPr="00E87E0D">
      <w:pPr>
        <w:jc w:val="both"/>
      </w:pPr>
    </w:p>
    <w:p w:rsidRDefault="006C5159" w:rsidP="006C5159" w:rsidR="006C5159" w:rsidRPr="00E87E0D">
      <w:pPr>
        <w:jc w:val="both"/>
        <w:rPr>
          <w:bCs/>
        </w:rPr>
      </w:pPr>
      <w:r w:rsidRPr="00E87E0D">
        <w:rPr>
          <w:bCs/>
        </w:rPr>
        <w:t xml:space="preserve">Nakon što se od novčanih sredstava u iznosu od </w:t>
      </w:r>
      <w:r w:rsidRPr="00E87E0D">
        <w:t>7.425,51 kn,</w:t>
      </w:r>
      <w:r w:rsidRPr="00E87E0D">
        <w:rPr>
          <w:bCs/>
        </w:rPr>
        <w:t xml:space="preserve"> odbiju iznosi budućih predvidivih troškova, u ukupnom iznosu od 4.530,00 kn, preostaje iznos od 2.895,51 kn.</w:t>
      </w:r>
    </w:p>
    <w:p w:rsidRDefault="006C5159" w:rsidP="006C5159" w:rsidR="006C5159" w:rsidRPr="00E87E0D">
      <w:pPr>
        <w:jc w:val="both"/>
        <w:rPr>
          <w:bCs/>
        </w:rPr>
      </w:pPr>
    </w:p>
    <w:p w:rsidRDefault="006C5159" w:rsidP="006C5159" w:rsidR="006C5159" w:rsidRPr="00E87E0D">
      <w:pPr>
        <w:jc w:val="both"/>
        <w:rPr>
          <w:bCs/>
        </w:rPr>
      </w:pPr>
      <w:r w:rsidRPr="00E87E0D">
        <w:rPr>
          <w:bCs/>
        </w:rPr>
        <w:t xml:space="preserve">U tijeku je postupak prisilne naplate potraživanja od dužnika Franka Buršića temeljem zadužnice  br. </w:t>
      </w:r>
      <w:r w:rsidRPr="00E87E0D">
        <w:rPr>
          <w:rFonts w:eastAsia="Arial Unicode MS"/>
        </w:rPr>
        <w:t>Ov-5314/05</w:t>
      </w:r>
      <w:r w:rsidRPr="00E87E0D">
        <w:rPr>
          <w:bCs/>
        </w:rPr>
        <w:t xml:space="preserve">, u kojem stečajni dužnik ostvaruje prihod od 1.043,29 kn mjesečno. </w:t>
      </w:r>
    </w:p>
    <w:p w:rsidRDefault="006C5159" w:rsidP="006C5159" w:rsidR="006C5159" w:rsidRPr="00E87E0D">
      <w:pPr>
        <w:jc w:val="both"/>
        <w:rPr>
          <w:rFonts w:eastAsia="Arial Unicode MS"/>
        </w:rPr>
      </w:pPr>
      <w:r w:rsidRPr="00E87E0D">
        <w:rPr>
          <w:bCs/>
        </w:rPr>
        <w:t xml:space="preserve">Od dužnika je temeljem navedene zadužnice zatražena naplata potraživanja u iznosu od 53.839,52 kn, sa zakonskom zateznom kamatom koja teče od dana 22. studenog 2005. godine. Do dana 29. veljače 2016. godine naplaćen je iznos od ukupno </w:t>
      </w:r>
      <w:r w:rsidRPr="00E87E0D">
        <w:rPr>
          <w:rFonts w:eastAsia="Arial Unicode MS"/>
        </w:rPr>
        <w:t>20.824,46 kn, te je preostao iznos potraživanja od 99.673,46 kn.</w:t>
      </w:r>
    </w:p>
    <w:p w:rsidRDefault="006C5159" w:rsidP="006C5159" w:rsidR="006C5159" w:rsidRPr="00E87E0D">
      <w:pPr>
        <w:jc w:val="both"/>
        <w:rPr>
          <w:bCs/>
        </w:rPr>
      </w:pPr>
      <w:r w:rsidRPr="00E87E0D">
        <w:rPr>
          <w:bCs/>
        </w:rPr>
        <w:t>Nakon naplate većeg dijela navedenog potraživanja, naplaćeni iznos će se isplatiti stečajnim vjerovnicima prvog višeg isplatnog reda.</w:t>
      </w:r>
    </w:p>
    <w:p w:rsidRDefault="006C5159" w:rsidP="006C5159" w:rsidR="006C5159" w:rsidRPr="00E87E0D">
      <w:pPr>
        <w:jc w:val="both"/>
        <w:rPr>
          <w:bCs/>
        </w:rPr>
      </w:pPr>
      <w:r w:rsidRPr="00E87E0D">
        <w:rPr>
          <w:bCs/>
        </w:rPr>
        <w:t xml:space="preserve">Predlažem da se stečajnog upravitelja ovlasti da nakon zaključenja stečajnog postupka zastupa stečajnu masu ARCUS DELTA d.o.o, u stečaju, Pula, Kandlerova -8, u postupku naplate potraživanja od dužnika Franka Buršića temeljem zadužnice br. </w:t>
      </w:r>
      <w:r w:rsidRPr="00E87E0D">
        <w:rPr>
          <w:rFonts w:eastAsia="Arial Unicode MS"/>
        </w:rPr>
        <w:t>Ov-5314/05</w:t>
      </w:r>
      <w:r w:rsidRPr="00E87E0D">
        <w:rPr>
          <w:bCs/>
        </w:rPr>
        <w:t>.“.</w:t>
      </w:r>
    </w:p>
    <w:p w:rsidRDefault="006C5159" w:rsidP="006C5159" w:rsidR="006C5159" w:rsidRPr="00E87E0D">
      <w:pPr>
        <w:jc w:val="both"/>
        <w:rPr>
          <w:bCs/>
        </w:rPr>
      </w:pPr>
      <w:r w:rsidRPr="00E87E0D">
        <w:rPr>
          <w:bCs/>
        </w:rPr>
        <w:tab/>
        <w:t>Nije bilo prigovora na završno izvješće.</w:t>
      </w:r>
    </w:p>
    <w:p w:rsidRDefault="006C5159" w:rsidP="006C5159" w:rsidR="006C5159" w:rsidRPr="00E87E0D">
      <w:pPr>
        <w:jc w:val="both"/>
        <w:rPr>
          <w:bCs/>
        </w:rPr>
      </w:pPr>
    </w:p>
    <w:p w:rsidRDefault="006C5159" w:rsidP="006C5159" w:rsidR="006C5159" w:rsidRPr="00E87E0D">
      <w:pPr>
        <w:jc w:val="both"/>
        <w:rPr>
          <w:color w:val="000000"/>
        </w:rPr>
      </w:pPr>
      <w:r w:rsidRPr="00E87E0D">
        <w:rPr>
          <w:bCs/>
        </w:rPr>
        <w:tab/>
        <w:t xml:space="preserve">Izvješćujući i </w:t>
      </w:r>
      <w:r w:rsidRPr="00E87E0D">
        <w:rPr>
          <w:color w:val="000000"/>
        </w:rPr>
        <w:t xml:space="preserve">o neunovčivim predmetima stečajne mase stečajni upravitelj je naveo da su unovčene sve nekretnine i pokretnine koje su se isplatile unovčiti. Sitni uredski uređaji popisani za izvještajno ročište na popisu od 19. kolovoza 2011. (list 190 spisa) su stari, većinom neispravni te </w:t>
      </w:r>
      <w:r w:rsidR="00E87E0D">
        <w:rPr>
          <w:color w:val="000000"/>
        </w:rPr>
        <w:t>je</w:t>
      </w:r>
      <w:r w:rsidRPr="00E87E0D">
        <w:rPr>
          <w:color w:val="000000"/>
        </w:rPr>
        <w:t xml:space="preserve"> procijenio da bi troškovi unovčenja istih bili veći od prodajne cijene. Predlaže da se ti uređaji ostave u poslovnim prostorijama gdje se nalaze, a sve jer bi trošak demontaže i odvoza istih bio dodatni teret za stečajnu masu. </w:t>
      </w:r>
    </w:p>
    <w:p w:rsidRDefault="006C5159" w:rsidP="006C5159" w:rsidR="003F45EF" w:rsidRPr="00E87E0D">
      <w:pPr>
        <w:jc w:val="both"/>
      </w:pPr>
      <w:r w:rsidRPr="00E87E0D">
        <w:rPr>
          <w:color w:val="000000"/>
        </w:rPr>
        <w:tab/>
        <w:t>Nije bilo primjedbi na taj prijedlog stečajnog upravitelja.</w:t>
      </w:r>
    </w:p>
    <w:p w:rsidRDefault="006C5159" w:rsidP="003F45EF" w:rsidR="006C5159" w:rsidRPr="00E87E0D">
      <w:pPr>
        <w:jc w:val="both"/>
        <w:rPr>
          <w:bCs/>
        </w:rPr>
      </w:pPr>
    </w:p>
    <w:p w:rsidRDefault="003F45EF" w:rsidP="003F45EF" w:rsidR="00DE548D" w:rsidRPr="00E87E0D">
      <w:pPr>
        <w:jc w:val="both"/>
      </w:pPr>
      <w:r w:rsidRPr="00E87E0D">
        <w:rPr>
          <w:bCs/>
        </w:rPr>
        <w:tab/>
      </w:r>
      <w:r w:rsidR="006C5159" w:rsidRPr="00E87E0D">
        <w:rPr>
          <w:bCs/>
        </w:rPr>
        <w:t>I</w:t>
      </w:r>
      <w:r w:rsidR="00DE548D" w:rsidRPr="00E87E0D">
        <w:t xml:space="preserve">z završnog izvješća i završnog računa </w:t>
      </w:r>
      <w:r w:rsidR="00FC1A0F">
        <w:t xml:space="preserve">stečajnog upravitelja </w:t>
      </w:r>
      <w:r w:rsidR="00DE548D" w:rsidRPr="00E87E0D">
        <w:t>u bitnome proizlazi:</w:t>
      </w:r>
      <w:r w:rsidRPr="00E87E0D">
        <w:t xml:space="preserve"> </w:t>
      </w:r>
      <w:r w:rsidR="00DE548D" w:rsidRPr="00E87E0D">
        <w:t xml:space="preserve">da je </w:t>
      </w:r>
      <w:r w:rsidR="001C3B6A" w:rsidRPr="00E87E0D">
        <w:t xml:space="preserve">unovčena </w:t>
      </w:r>
      <w:r w:rsidR="00DE548D" w:rsidRPr="00E87E0D">
        <w:t xml:space="preserve">sva </w:t>
      </w:r>
      <w:r w:rsidR="006C5159" w:rsidRPr="00E87E0D">
        <w:t xml:space="preserve">unovčiva </w:t>
      </w:r>
      <w:r w:rsidR="00DE548D" w:rsidRPr="00E87E0D">
        <w:t>imovina stečajnog dužnika</w:t>
      </w:r>
      <w:r w:rsidRPr="00E87E0D">
        <w:t xml:space="preserve">; </w:t>
      </w:r>
      <w:r w:rsidR="00DE548D" w:rsidRPr="00E87E0D">
        <w:rPr>
          <w:lang w:eastAsia="en-US"/>
        </w:rPr>
        <w:t>da su namireni troškovi vođenja stečajnog postupka i ostale obveze stečajne mase;</w:t>
      </w:r>
      <w:r w:rsidRPr="00E87E0D">
        <w:rPr>
          <w:lang w:eastAsia="en-US"/>
        </w:rPr>
        <w:t xml:space="preserve"> </w:t>
      </w:r>
      <w:r w:rsidR="00DE548D" w:rsidRPr="00E87E0D">
        <w:rPr>
          <w:lang w:eastAsia="en-US"/>
        </w:rPr>
        <w:t>da nema</w:t>
      </w:r>
      <w:r w:rsidRPr="00E87E0D">
        <w:rPr>
          <w:lang w:eastAsia="en-US"/>
        </w:rPr>
        <w:t xml:space="preserve"> sredstava</w:t>
      </w:r>
      <w:r w:rsidR="00DE548D" w:rsidRPr="00E87E0D">
        <w:rPr>
          <w:lang w:eastAsia="en-US"/>
        </w:rPr>
        <w:t xml:space="preserve"> za </w:t>
      </w:r>
      <w:r w:rsidR="00DE548D" w:rsidRPr="00E87E0D">
        <w:t>namirenje tražbina stečajnih vjerovnika</w:t>
      </w:r>
      <w:r w:rsidRPr="00E87E0D">
        <w:t>.</w:t>
      </w:r>
    </w:p>
    <w:p w:rsidRDefault="00DE548D" w:rsidP="00DE548D" w:rsidR="00DE548D" w:rsidRPr="008C0478">
      <w:pPr>
        <w:ind w:firstLine="708"/>
        <w:jc w:val="both"/>
      </w:pPr>
      <w:r w:rsidRPr="008C0478">
        <w:t xml:space="preserve">Slijedom navedenog, a temeljem odredbe čl. </w:t>
      </w:r>
      <w:smartTag w:element="metricconverter" w:uri="urn:schemas-microsoft-com:office:smarttags">
        <w:smartTagPr>
          <w:attr w:val="196. st" w:name="ProductID"/>
        </w:smartTagPr>
        <w:r w:rsidRPr="008C0478">
          <w:t>196. st</w:t>
        </w:r>
      </w:smartTag>
      <w:r w:rsidRPr="008C0478">
        <w:t xml:space="preserve">. 1., 2. i 3. SZ-a, donesena je odluka kao u </w:t>
      </w:r>
      <w:r w:rsidR="00FC1A0F" w:rsidRPr="008C0478">
        <w:t xml:space="preserve">točkama I, II i III </w:t>
      </w:r>
      <w:r w:rsidRPr="008C0478">
        <w:t>izre</w:t>
      </w:r>
      <w:r w:rsidR="00FC1A0F" w:rsidRPr="008C0478">
        <w:t>ke</w:t>
      </w:r>
      <w:r w:rsidRPr="008C0478">
        <w:t>.</w:t>
      </w:r>
    </w:p>
    <w:p w:rsidRDefault="00DE548D" w:rsidP="00DE548D" w:rsidR="00DE548D" w:rsidRPr="00E87E0D">
      <w:pPr>
        <w:ind w:firstLine="708"/>
        <w:jc w:val="both"/>
      </w:pPr>
      <w:r w:rsidRPr="00E87E0D">
        <w:t>Stečajni upravitelj je</w:t>
      </w:r>
      <w:r w:rsidR="00E66B05">
        <w:t>,</w:t>
      </w:r>
      <w:r w:rsidRPr="00E87E0D">
        <w:t xml:space="preserve"> u smislu </w:t>
      </w:r>
      <w:r w:rsidR="00E66B05" w:rsidRPr="00E66B05">
        <w:t>čl. 25. st. 1. t</w:t>
      </w:r>
      <w:r w:rsidR="00E66B05">
        <w:t>.</w:t>
      </w:r>
      <w:r w:rsidR="00E66B05" w:rsidRPr="00E66B05">
        <w:t xml:space="preserve"> 12. S</w:t>
      </w:r>
      <w:r w:rsidR="00E66B05">
        <w:t xml:space="preserve">Z-a, </w:t>
      </w:r>
      <w:r w:rsidR="00E66B05" w:rsidRPr="00E66B05">
        <w:t>duž</w:t>
      </w:r>
      <w:r w:rsidR="00E66B05">
        <w:t>a</w:t>
      </w:r>
      <w:r w:rsidR="00E66B05" w:rsidRPr="00E66B05">
        <w:t>n i nakon zaključenja stečajnog postupka zast</w:t>
      </w:r>
      <w:r w:rsidR="00E66B05">
        <w:t xml:space="preserve">upati stečajnu masu u skladu </w:t>
      </w:r>
      <w:r w:rsidRPr="00E87E0D">
        <w:t>s tim zakonom.</w:t>
      </w:r>
      <w:r w:rsidR="00E66B05">
        <w:t xml:space="preserve"> Stoga je, na prijedlog stečajnog upravitelja, odlučeno kao u točki IV izreke.</w:t>
      </w:r>
    </w:p>
    <w:p w:rsidRDefault="00DE548D" w:rsidP="00DE548D" w:rsidR="00DE548D" w:rsidRPr="00E87E0D">
      <w:pPr>
        <w:ind w:firstLine="708"/>
        <w:jc w:val="both"/>
      </w:pPr>
      <w:r w:rsidRPr="00E87E0D">
        <w:t xml:space="preserve"> </w:t>
      </w:r>
    </w:p>
    <w:p w:rsidRDefault="00DE548D" w:rsidP="00DE548D" w:rsidR="00DE548D" w:rsidRPr="00E87E0D">
      <w:pPr>
        <w:jc w:val="center"/>
      </w:pPr>
      <w:r w:rsidRPr="00E87E0D">
        <w:t xml:space="preserve">U Pazinu, </w:t>
      </w:r>
      <w:r w:rsidR="00E66B05">
        <w:t>1</w:t>
      </w:r>
      <w:r w:rsidR="001C3B6A" w:rsidRPr="00E87E0D">
        <w:t>8</w:t>
      </w:r>
      <w:r w:rsidRPr="00E87E0D">
        <w:t xml:space="preserve">. </w:t>
      </w:r>
      <w:r w:rsidR="00E66B05">
        <w:t>trav</w:t>
      </w:r>
      <w:r w:rsidR="001C3B6A" w:rsidRPr="00E87E0D">
        <w:t xml:space="preserve">nja </w:t>
      </w:r>
      <w:r w:rsidRPr="00E87E0D">
        <w:t>201</w:t>
      </w:r>
      <w:r w:rsidR="00E66B05">
        <w:t>6</w:t>
      </w:r>
      <w:r w:rsidRPr="00E87E0D">
        <w:t>.</w:t>
      </w:r>
    </w:p>
    <w:p w:rsidRDefault="00DE548D" w:rsidP="00DE548D" w:rsidR="00DE548D" w:rsidRPr="00E87E0D">
      <w:pPr>
        <w:jc w:val="center"/>
      </w:pPr>
      <w:r w:rsidRPr="00E87E0D">
        <w:tab/>
      </w:r>
      <w:r w:rsidRPr="00E87E0D">
        <w:tab/>
      </w:r>
      <w:r w:rsidRPr="00E87E0D">
        <w:tab/>
      </w:r>
      <w:r w:rsidRPr="00E87E0D">
        <w:tab/>
      </w:r>
      <w:r w:rsidRPr="00E87E0D">
        <w:tab/>
      </w:r>
      <w:r w:rsidRPr="00E87E0D">
        <w:tab/>
      </w:r>
      <w:r w:rsidRPr="00E87E0D">
        <w:tab/>
      </w:r>
    </w:p>
    <w:p w:rsidRDefault="00DE548D" w:rsidP="00DE548D" w:rsidR="00DE548D" w:rsidRPr="00E87E0D">
      <w:pPr>
        <w:ind w:firstLine="708" w:left="4956"/>
        <w:jc w:val="center"/>
      </w:pPr>
      <w:r w:rsidRPr="00E87E0D">
        <w:t>Stečajni sudac</w:t>
      </w:r>
    </w:p>
    <w:p w:rsidRDefault="00DE548D" w:rsidP="00DE548D" w:rsidR="00DE548D" w:rsidRPr="00E87E0D">
      <w:pPr>
        <w:jc w:val="both"/>
      </w:pPr>
      <w:r w:rsidRPr="00E87E0D">
        <w:tab/>
      </w:r>
      <w:r w:rsidRPr="00E87E0D">
        <w:tab/>
      </w:r>
      <w:r w:rsidRPr="00E87E0D">
        <w:tab/>
      </w:r>
      <w:r w:rsidRPr="00E87E0D">
        <w:tab/>
      </w:r>
      <w:r w:rsidRPr="00E87E0D">
        <w:tab/>
      </w:r>
      <w:r w:rsidRPr="00E87E0D">
        <w:tab/>
      </w:r>
      <w:r w:rsidRPr="00E87E0D">
        <w:tab/>
      </w:r>
      <w:r w:rsidRPr="00E87E0D">
        <w:tab/>
        <w:t xml:space="preserve">     </w:t>
      </w:r>
    </w:p>
    <w:p w:rsidRDefault="00DE548D" w:rsidP="00DE548D" w:rsidR="00DE548D" w:rsidRPr="00E87E0D">
      <w:pPr>
        <w:ind w:left="5664"/>
        <w:jc w:val="both"/>
      </w:pPr>
      <w:r w:rsidRPr="00E87E0D">
        <w:t xml:space="preserve">                   </w:t>
      </w:r>
      <w:smartTag w:element="PersonName" w:uri="urn:schemas-microsoft-com:office:smarttags">
        <w:r w:rsidRPr="00E87E0D">
          <w:t>Ivan Dujić</w:t>
        </w:r>
      </w:smartTag>
    </w:p>
    <w:p w:rsidRDefault="00DE548D" w:rsidP="00DE548D" w:rsidR="00DE548D" w:rsidRPr="00E87E0D">
      <w:pPr>
        <w:jc w:val="both"/>
      </w:pPr>
    </w:p>
    <w:p w:rsidRDefault="00DE548D" w:rsidP="00DE548D" w:rsidR="00DE548D" w:rsidRPr="00E87E0D">
      <w:pPr>
        <w:jc w:val="both"/>
      </w:pPr>
    </w:p>
    <w:p w:rsidRDefault="00DE548D" w:rsidP="00DE548D" w:rsidR="00DE548D">
      <w:pPr>
        <w:jc w:val="both"/>
      </w:pPr>
    </w:p>
    <w:p w:rsidRDefault="000F4E1B" w:rsidP="00DE548D" w:rsidR="000F4E1B" w:rsidRPr="00E87E0D">
      <w:pPr>
        <w:jc w:val="both"/>
      </w:pPr>
    </w:p>
    <w:p w:rsidRDefault="00DE548D" w:rsidP="00DE548D" w:rsidR="00DE548D" w:rsidRPr="00E87E0D">
      <w:pPr>
        <w:jc w:val="both"/>
      </w:pPr>
      <w:r w:rsidRPr="00E87E0D">
        <w:t>UPUTA O PRAVNOM LIJEKU</w:t>
      </w:r>
    </w:p>
    <w:p w:rsidRDefault="00DE548D" w:rsidP="00DE548D" w:rsidR="00DE548D" w:rsidRPr="00E87E0D">
      <w:pPr>
        <w:jc w:val="both"/>
      </w:pPr>
      <w:r w:rsidRPr="00E87E0D">
        <w:t xml:space="preserve">Protiv ovog rješenja nezadovoljna stranka može podnijeti žalbu u roku od 8 dana od dana primitka istog. Žalba se podnosi putem ovoga suda u 3 istovjetna primjerka, a o žalbi odlučuje Visoki trgovački sud Republike Hrvatske. </w:t>
      </w:r>
    </w:p>
    <w:p w:rsidRDefault="00DE548D" w:rsidP="00DE548D" w:rsidR="00DE548D" w:rsidRPr="00E87E0D">
      <w:pPr>
        <w:jc w:val="both"/>
      </w:pPr>
    </w:p>
    <w:p w:rsidRDefault="00DE548D" w:rsidP="00DE548D" w:rsidR="00DE548D" w:rsidRPr="00E87E0D">
      <w:pPr>
        <w:jc w:val="both"/>
      </w:pPr>
      <w:r w:rsidRPr="00E87E0D">
        <w:t>DNA</w:t>
      </w:r>
    </w:p>
    <w:p w:rsidRDefault="00DE548D" w:rsidP="00DE548D" w:rsidR="00DE548D" w:rsidRPr="00E87E0D">
      <w:r w:rsidRPr="00E87E0D">
        <w:rPr>
          <w:bCs/>
        </w:rPr>
        <w:t>Stečajn</w:t>
      </w:r>
      <w:r w:rsidR="001C3B6A" w:rsidRPr="00E87E0D">
        <w:rPr>
          <w:bCs/>
        </w:rPr>
        <w:t>i</w:t>
      </w:r>
      <w:r w:rsidRPr="00E87E0D">
        <w:rPr>
          <w:bCs/>
        </w:rPr>
        <w:t xml:space="preserve"> upravitelj</w:t>
      </w:r>
      <w:r w:rsidR="001C3B6A" w:rsidRPr="00E87E0D">
        <w:rPr>
          <w:bCs/>
        </w:rPr>
        <w:t xml:space="preserve"> Dražen Ezgeta</w:t>
      </w:r>
    </w:p>
    <w:p w:rsidRDefault="00DE548D" w:rsidP="00DE548D" w:rsidR="00DE548D" w:rsidRPr="00E87E0D">
      <w:pPr>
        <w:jc w:val="both"/>
      </w:pPr>
      <w:r w:rsidRPr="00E87E0D">
        <w:t>Oglasna ploča suda – 8 dana</w:t>
      </w:r>
    </w:p>
    <w:p w:rsidRDefault="00DE548D" w:rsidP="00DE548D" w:rsidR="00DE548D" w:rsidRPr="00E87E0D">
      <w:r w:rsidRPr="00E87E0D">
        <w:t>Narodne novine - oglas</w:t>
      </w:r>
    </w:p>
    <w:p w:rsidRDefault="00DE548D" w:rsidP="00DE548D" w:rsidR="00DE548D" w:rsidRPr="00E87E0D">
      <w:pPr>
        <w:jc w:val="both"/>
      </w:pPr>
      <w:r w:rsidRPr="00E87E0D">
        <w:t>ŽDO - Građansko upravni odjel Pula</w:t>
      </w:r>
    </w:p>
    <w:p w:rsidRDefault="00DE548D" w:rsidP="00DE548D" w:rsidR="00DE548D" w:rsidRPr="00E87E0D">
      <w:pPr>
        <w:jc w:val="both"/>
      </w:pPr>
      <w:r w:rsidRPr="00E87E0D">
        <w:t>FINA - Pula</w:t>
      </w:r>
    </w:p>
    <w:p w:rsidRDefault="00DE548D" w:rsidP="00DE548D" w:rsidR="00DE548D" w:rsidRPr="00E87E0D">
      <w:pPr>
        <w:jc w:val="both"/>
      </w:pPr>
      <w:r w:rsidRPr="00E87E0D">
        <w:t>Porezna uprava, Područni ured Pazin</w:t>
      </w:r>
    </w:p>
    <w:p w:rsidRDefault="00DE548D" w:rsidP="00DE548D" w:rsidR="00DE548D" w:rsidRPr="00E87E0D"/>
    <w:p w:rsidRDefault="00DE548D" w:rsidP="00DE548D" w:rsidR="00DE548D" w:rsidRPr="00E87E0D">
      <w:pPr>
        <w:rPr>
          <w:u w:val="single"/>
        </w:rPr>
      </w:pPr>
      <w:r w:rsidRPr="00E87E0D">
        <w:rPr>
          <w:u w:val="single"/>
        </w:rPr>
        <w:t xml:space="preserve">po pravomoćnosti : </w:t>
      </w:r>
    </w:p>
    <w:p w:rsidRDefault="00DE548D" w:rsidP="00DE548D" w:rsidR="00DE548D" w:rsidRPr="00E87E0D">
      <w:r w:rsidRPr="00E87E0D">
        <w:t xml:space="preserve">- Sudski registar </w:t>
      </w:r>
    </w:p>
    <w:p w:rsidRDefault="00DE548D" w:rsidP="00DE548D" w:rsidR="00DE548D" w:rsidRPr="00E87E0D">
      <w:pPr>
        <w:ind w:firstLine="708"/>
        <w:jc w:val="both"/>
      </w:pPr>
    </w:p>
    <w:p w:rsidRDefault="00196367" w:rsidP="00DE548D" w:rsidR="00196367" w:rsidRPr="00E87E0D">
      <w:pPr>
        <w:jc w:val="center"/>
      </w:pPr>
    </w:p>
    <w:sectPr w:rsidSect="00D6353C" w:rsidR="00196367" w:rsidRPr="00E87E0D">
      <w:headerReference w:type="default" r:id="rId10"/>
      <w:headerReference w:type="first" r:id="rId11"/>
      <w:pgSz w:h="16838" w:w="11906"/>
      <w:pgMar w:gutter="0" w:footer="709" w:header="709" w:left="1418" w:bottom="1276"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0F59" w:rsidR="00400F59">
      <w:r>
        <w:separator/>
      </w:r>
    </w:p>
  </w:endnote>
  <w:endnote w:id="0" w:type="continuationSeparator">
    <w:p w:rsidRDefault="00400F59" w:rsidR="00400F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0F59" w:rsidR="00400F59">
      <w:r>
        <w:separator/>
      </w:r>
    </w:p>
  </w:footnote>
  <w:footnote w:id="0" w:type="continuationSeparator">
    <w:p w:rsidRDefault="00400F59" w:rsidR="00400F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2"/>
        <w:szCs w:val="22"/>
      </w:rPr>
      <w:id w:val="-1809391907"/>
      <w:docPartObj>
        <w:docPartGallery w:val="Page Numbers (Top of Page)"/>
        <w:docPartUnique/>
      </w:docPartObj>
    </w:sdtPr>
    <w:sdtEndPr/>
    <w:sdtContent>
      <w:p w:rsidRDefault="000470AA" w:rsidP="000470AA" w:rsidR="000470AA">
        <w:pPr>
          <w:jc w:val="center"/>
          <w:rPr>
            <w:sz w:val="22"/>
            <w:szCs w:val="22"/>
          </w:rPr>
        </w:pPr>
        <w:r w:rsidRPr="000470AA">
          <w:rPr>
            <w:sz w:val="22"/>
            <w:szCs w:val="22"/>
          </w:rPr>
          <w:fldChar w:fldCharType="begin"/>
        </w:r>
        <w:r w:rsidRPr="000470AA">
          <w:rPr>
            <w:sz w:val="22"/>
            <w:szCs w:val="22"/>
          </w:rPr>
          <w:instrText>PAGE   \* MERGEFORMAT</w:instrText>
        </w:r>
        <w:r w:rsidRPr="000470AA">
          <w:rPr>
            <w:sz w:val="22"/>
            <w:szCs w:val="22"/>
          </w:rPr>
          <w:fldChar w:fldCharType="separate"/>
        </w:r>
        <w:r w:rsidR="00C446BF">
          <w:rPr>
            <w:noProof/>
            <w:sz w:val="22"/>
            <w:szCs w:val="22"/>
          </w:rPr>
          <w:t>7</w:t>
        </w:r>
        <w:r w:rsidRPr="000470AA">
          <w:rPr>
            <w:sz w:val="22"/>
            <w:szCs w:val="22"/>
          </w:rPr>
          <w:fldChar w:fldCharType="end"/>
        </w:r>
      </w:p>
      <w:p w:rsidRDefault="000470AA" w:rsidP="000470AA" w:rsidR="000470AA" w:rsidRPr="000470AA">
        <w:pPr>
          <w:jc w:val="right"/>
          <w:rPr>
            <w:noProof/>
          </w:rPr>
        </w:pPr>
        <w:r>
          <w:rPr>
            <w:noProof/>
          </w:rPr>
          <w:t>Posl.br. 10 St-10/15-234</w:t>
        </w:r>
      </w:p>
    </w:sdtContent>
  </w:sdt>
  <w:p w:rsidRDefault="00196367" w:rsidP="00DE548D" w:rsidR="00196367">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70AA" w:rsidP="000470AA" w:rsidR="000470AA">
    <w:pPr>
      <w:jc w:val="right"/>
      <w:rPr>
        <w:noProof/>
      </w:rPr>
    </w:pPr>
    <w:r>
      <w:rPr>
        <w:noProof/>
      </w:rPr>
      <w:t>Posl.br. 10 St-10/15-234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34E23D5C"/>
    <w:lvl w:ilvl="0">
      <w:start w:val="1"/>
      <w:numFmt w:val="bullet"/>
      <w:pStyle w:val="Grafikeoznake"/>
      <w:lvlText w:val=""/>
      <w:lvlJc w:val="left"/>
      <w:pPr>
        <w:tabs>
          <w:tab w:pos="360" w:val="num"/>
        </w:tabs>
        <w:ind w:hanging="360" w:left="360"/>
      </w:pPr>
      <w:rPr>
        <w:rFonts w:hAnsi="Symbol" w:ascii="Symbol" w:hint="default"/>
      </w:rPr>
    </w:lvl>
  </w:abstractNum>
  <w:abstractNum w:abstractNumId="1">
    <w:nsid w:val="36273D1E"/>
    <w:multiLevelType w:val="hybridMultilevel"/>
    <w:tmpl w:val="313411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E01164B"/>
    <w:multiLevelType w:val="hybridMultilevel"/>
    <w:tmpl w:val="83EA3E5C"/>
    <w:lvl w:tplc="32FEC86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8"/>
  <w:attachedTemplate r:id="rId1"/>
  <w:stylePaneFormatFilter w:val="3F0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3FB"/>
    <w:rsid w:val="000470AA"/>
    <w:rsid w:val="00074CA8"/>
    <w:rsid w:val="000B1791"/>
    <w:rsid w:val="000E13FB"/>
    <w:rsid w:val="000F4E1B"/>
    <w:rsid w:val="00105AF1"/>
    <w:rsid w:val="001125BA"/>
    <w:rsid w:val="00196367"/>
    <w:rsid w:val="001C3B6A"/>
    <w:rsid w:val="001C578D"/>
    <w:rsid w:val="0021370F"/>
    <w:rsid w:val="002202EA"/>
    <w:rsid w:val="00252C0B"/>
    <w:rsid w:val="00313DC0"/>
    <w:rsid w:val="003146F3"/>
    <w:rsid w:val="003C030E"/>
    <w:rsid w:val="003F0CAC"/>
    <w:rsid w:val="003F40A7"/>
    <w:rsid w:val="003F45EF"/>
    <w:rsid w:val="00400F59"/>
    <w:rsid w:val="004571D2"/>
    <w:rsid w:val="00523B4F"/>
    <w:rsid w:val="00535960"/>
    <w:rsid w:val="00536960"/>
    <w:rsid w:val="00563063"/>
    <w:rsid w:val="005A2F8B"/>
    <w:rsid w:val="005C14DF"/>
    <w:rsid w:val="005D5E38"/>
    <w:rsid w:val="00613FDF"/>
    <w:rsid w:val="0065147B"/>
    <w:rsid w:val="006C5159"/>
    <w:rsid w:val="006F1C74"/>
    <w:rsid w:val="006F5313"/>
    <w:rsid w:val="006F658B"/>
    <w:rsid w:val="00720DB5"/>
    <w:rsid w:val="00742DC7"/>
    <w:rsid w:val="0078778D"/>
    <w:rsid w:val="007A6838"/>
    <w:rsid w:val="007F44BD"/>
    <w:rsid w:val="007F616F"/>
    <w:rsid w:val="00822A9F"/>
    <w:rsid w:val="00843E64"/>
    <w:rsid w:val="00857FA9"/>
    <w:rsid w:val="008C0478"/>
    <w:rsid w:val="0093015F"/>
    <w:rsid w:val="009312F2"/>
    <w:rsid w:val="0097436E"/>
    <w:rsid w:val="00990E67"/>
    <w:rsid w:val="009B68D3"/>
    <w:rsid w:val="009E04C4"/>
    <w:rsid w:val="009F54BD"/>
    <w:rsid w:val="00A06DA2"/>
    <w:rsid w:val="00AA2DC6"/>
    <w:rsid w:val="00B00561"/>
    <w:rsid w:val="00C37F38"/>
    <w:rsid w:val="00C446BF"/>
    <w:rsid w:val="00C90557"/>
    <w:rsid w:val="00CE6F7C"/>
    <w:rsid w:val="00D359AA"/>
    <w:rsid w:val="00D6353C"/>
    <w:rsid w:val="00D71F4B"/>
    <w:rsid w:val="00D7707C"/>
    <w:rsid w:val="00D85DD7"/>
    <w:rsid w:val="00DD1E4B"/>
    <w:rsid w:val="00DE548D"/>
    <w:rsid w:val="00DE7623"/>
    <w:rsid w:val="00E66B05"/>
    <w:rsid w:val="00E87E0D"/>
    <w:rsid w:val="00EE3D14"/>
    <w:rsid w:val="00F0034A"/>
    <w:rsid w:val="00F022B7"/>
    <w:rsid w:val="00F3224B"/>
    <w:rsid w:val="00F54F38"/>
    <w:rsid w:val="00F76D95"/>
    <w:rsid w:val="00F83F1A"/>
    <w:rsid w:val="00F90130"/>
    <w:rsid w:val="00F95791"/>
    <w:rsid w:val="00FB661C"/>
    <w:rsid w:val="00FC1A0F"/>
    <w:rsid w:val="00FE59F5"/>
    <w:rsid w:val="00FF20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13F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36960"/>
    <w:pPr>
      <w:tabs>
        <w:tab w:pos="4536" w:val="center"/>
        <w:tab w:pos="9072" w:val="right"/>
      </w:tabs>
    </w:pPr>
  </w:style>
  <w:style w:styleId="Podnoje" w:type="paragraph">
    <w:name w:val="footer"/>
    <w:basedOn w:val="Normal"/>
    <w:rsid w:val="00536960"/>
    <w:pPr>
      <w:tabs>
        <w:tab w:pos="4536" w:val="center"/>
        <w:tab w:pos="9072" w:val="right"/>
      </w:tabs>
    </w:pPr>
  </w:style>
  <w:style w:styleId="Tekstbalonia" w:type="paragraph">
    <w:name w:val="Balloon Text"/>
    <w:basedOn w:val="Normal"/>
    <w:semiHidden/>
    <w:rsid w:val="00563063"/>
    <w:rPr>
      <w:rFonts w:cs="Tahoma" w:hAnsi="Tahoma" w:ascii="Tahoma"/>
      <w:sz w:val="16"/>
      <w:szCs w:val="16"/>
    </w:rPr>
  </w:style>
  <w:style w:customStyle="true" w:styleId="Bezproreda1" w:type="paragraph">
    <w:name w:val="Bez proreda1"/>
    <w:qFormat/>
    <w:rsid w:val="00DE548D"/>
    <w:rPr>
      <w:rFonts w:eastAsia="Calibri" w:hAnsi="Calibri" w:ascii="Calibri"/>
      <w:sz w:val="22"/>
      <w:szCs w:val="22"/>
    </w:rPr>
  </w:style>
  <w:style w:customStyle="true" w:styleId="ZaglavljeChar" w:type="character">
    <w:name w:val="Zaglavlje Char"/>
    <w:link w:val="Zaglavlje"/>
    <w:uiPriority w:val="99"/>
    <w:rsid w:val="00DE548D"/>
    <w:rPr>
      <w:sz w:val="24"/>
      <w:szCs w:val="24"/>
    </w:rPr>
  </w:style>
  <w:style w:styleId="Tijeloteksta" w:type="paragraph">
    <w:name w:val="Body Text"/>
    <w:basedOn w:val="Normal"/>
    <w:link w:val="TijelotekstaChar"/>
    <w:rsid w:val="003F45EF"/>
    <w:pPr>
      <w:jc w:val="both"/>
    </w:pPr>
  </w:style>
  <w:style w:customStyle="true" w:styleId="TijelotekstaChar" w:type="character">
    <w:name w:val="Tijelo teksta Char"/>
    <w:link w:val="Tijeloteksta"/>
    <w:rsid w:val="003F45EF"/>
    <w:rPr>
      <w:sz w:val="24"/>
      <w:szCs w:val="24"/>
    </w:rPr>
  </w:style>
  <w:style w:styleId="Hiperveza" w:type="character">
    <w:name w:val="Hyperlink"/>
    <w:rsid w:val="003F45EF"/>
    <w:rPr>
      <w:color w:val="0000FF"/>
      <w:u w:val="single"/>
    </w:rPr>
  </w:style>
  <w:style w:styleId="Grafikeoznake" w:type="paragraph">
    <w:name w:val="List Bullet"/>
    <w:basedOn w:val="Normal"/>
    <w:rsid w:val="003F45EF"/>
    <w:pPr>
      <w:numPr>
        <w:numId w:val="2"/>
      </w:numPr>
    </w:pPr>
    <w:rPr>
      <w:bCs/>
    </w:rPr>
  </w:style>
  <w:style w:styleId="Bezproreda" w:type="paragraph">
    <w:name w:val="No Spacing"/>
    <w:autoRedefine/>
    <w:uiPriority w:val="1"/>
    <w:qFormat/>
    <w:rsid w:val="006C5159"/>
    <w:rPr>
      <w:sz w:val="24"/>
      <w:szCs w:val="22"/>
      <w:lang w:eastAsia="en-US"/>
    </w:rPr>
  </w:style>
  <w:style w:styleId="Tekstrezerviranogmjesta" w:type="character">
    <w:name w:val="Placeholder Text"/>
    <w:basedOn w:val="Zadanifontodlomka"/>
    <w:uiPriority w:val="99"/>
    <w:semiHidden/>
    <w:rsid w:val="00C446BF"/>
    <w:rPr>
      <w:color w:val="808080"/>
      <w:bdr w:space="0" w:sz="0" w:color="auto" w:val="none"/>
      <w:shd w:fill="auto" w:color="auto" w:val="clear"/>
    </w:rPr>
  </w:style>
  <w:style w:customStyle="true" w:styleId="eSPISCCParagraphDefaultFont" w:type="character">
    <w:name w:val="eSPIS_CC_Paragraph Default Font"/>
    <w:basedOn w:val="Zadanifontodlomka"/>
    <w:rsid w:val="00C446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46BF"/>
    <w:rPr>
      <w:bdr w:space="0" w:sz="0" w:color="auto" w:val="none"/>
      <w:shd w:fill="FFFFCC" w:color="auto" w:val="clear"/>
      <w:lang w:val="hr-HR"/>
    </w:rPr>
  </w:style>
  <w:style w:customStyle="true" w:styleId="PozadinaSvijetloCrvena" w:type="character">
    <w:name w:val="Pozadina_SvijetloCrvena"/>
    <w:basedOn w:val="eSPISCCParagraphDefaultFont"/>
    <w:rsid w:val="00C446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46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E13F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36960"/>
    <w:pPr>
      <w:tabs>
        <w:tab w:pos="4536" w:val="center"/>
        <w:tab w:pos="9072" w:val="right"/>
      </w:tabs>
    </w:pPr>
  </w:style>
  <w:style w:styleId="Podnoje" w:type="paragraph">
    <w:name w:val="footer"/>
    <w:basedOn w:val="Normal"/>
    <w:rsid w:val="00536960"/>
    <w:pPr>
      <w:tabs>
        <w:tab w:pos="4536" w:val="center"/>
        <w:tab w:pos="9072" w:val="right"/>
      </w:tabs>
    </w:pPr>
  </w:style>
  <w:style w:styleId="Tekstbalonia" w:type="paragraph">
    <w:name w:val="Balloon Text"/>
    <w:basedOn w:val="Normal"/>
    <w:semiHidden/>
    <w:rsid w:val="00563063"/>
    <w:rPr>
      <w:rFonts w:ascii="Tahoma" w:cs="Tahoma" w:hAnsi="Tahoma"/>
      <w:sz w:val="16"/>
      <w:szCs w:val="16"/>
    </w:rPr>
  </w:style>
  <w:style w:customStyle="1" w:styleId="Bezproreda1" w:type="paragraph">
    <w:name w:val="Bez proreda1"/>
    <w:qFormat/>
    <w:rsid w:val="00DE548D"/>
    <w:rPr>
      <w:rFonts w:ascii="Calibri" w:eastAsia="Calibri" w:hAnsi="Calibri"/>
      <w:sz w:val="22"/>
      <w:szCs w:val="22"/>
    </w:rPr>
  </w:style>
  <w:style w:customStyle="1" w:styleId="ZaglavljeChar" w:type="character">
    <w:name w:val="Zaglavlje Char"/>
    <w:link w:val="Zaglavlje"/>
    <w:uiPriority w:val="99"/>
    <w:rsid w:val="00DE548D"/>
    <w:rPr>
      <w:sz w:val="24"/>
      <w:szCs w:val="24"/>
    </w:rPr>
  </w:style>
  <w:style w:styleId="Tijeloteksta" w:type="paragraph">
    <w:name w:val="Body Text"/>
    <w:basedOn w:val="Normal"/>
    <w:link w:val="TijelotekstaChar"/>
    <w:rsid w:val="003F45EF"/>
    <w:pPr>
      <w:jc w:val="both"/>
    </w:pPr>
  </w:style>
  <w:style w:customStyle="1" w:styleId="TijelotekstaChar" w:type="character">
    <w:name w:val="Tijelo teksta Char"/>
    <w:link w:val="Tijeloteksta"/>
    <w:rsid w:val="003F45EF"/>
    <w:rPr>
      <w:sz w:val="24"/>
      <w:szCs w:val="24"/>
    </w:rPr>
  </w:style>
  <w:style w:styleId="Hiperveza" w:type="character">
    <w:name w:val="Hyperlink"/>
    <w:rsid w:val="003F45EF"/>
    <w:rPr>
      <w:color w:val="0000FF"/>
      <w:u w:val="single"/>
    </w:rPr>
  </w:style>
  <w:style w:styleId="Grafikeoznake" w:type="paragraph">
    <w:name w:val="List Bullet"/>
    <w:basedOn w:val="Normal"/>
    <w:rsid w:val="003F45EF"/>
    <w:pPr>
      <w:numPr>
        <w:numId w:val="2"/>
      </w:numPr>
    </w:pPr>
    <w:rPr>
      <w:bCs/>
    </w:rPr>
  </w:style>
  <w:style w:styleId="Bezproreda" w:type="paragraph">
    <w:name w:val="No Spacing"/>
    <w:autoRedefine/>
    <w:uiPriority w:val="1"/>
    <w:qFormat/>
    <w:rsid w:val="006C5159"/>
    <w:rPr>
      <w:sz w:val="24"/>
      <w:szCs w:val="22"/>
      <w:lang w:eastAsia="en-US"/>
    </w:rPr>
  </w:style>
  <w:style w:styleId="Tekstrezerviranogmjesta" w:type="character">
    <w:name w:val="Placeholder Text"/>
    <w:basedOn w:val="Zadanifontodlomka"/>
    <w:uiPriority w:val="99"/>
    <w:semiHidden/>
    <w:rsid w:val="00C446BF"/>
    <w:rPr>
      <w:color w:val="808080"/>
      <w:bdr w:color="auto" w:space="0" w:sz="0" w:val="none"/>
      <w:shd w:color="auto" w:fill="auto" w:val="clear"/>
    </w:rPr>
  </w:style>
  <w:style w:customStyle="1" w:styleId="eSPISCCParagraphDefaultFont" w:type="character">
    <w:name w:val="eSPIS_CC_Paragraph Default Font"/>
    <w:basedOn w:val="Zadanifontodlomka"/>
    <w:rsid w:val="00C446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46BF"/>
    <w:rPr>
      <w:bdr w:color="auto" w:space="0" w:sz="0" w:val="none"/>
      <w:shd w:color="auto" w:fill="FFFFCC" w:val="clear"/>
      <w:lang w:val="hr-HR"/>
    </w:rPr>
  </w:style>
  <w:style w:customStyle="1" w:styleId="PozadinaSvijetloCrvena" w:type="character">
    <w:name w:val="Pozadina_SvijetloCrvena"/>
    <w:basedOn w:val="eSPISCCParagraphDefaultFont"/>
    <w:rsid w:val="00C446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46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prileže spisi St-18/10 i St-1/10
31.8.15. na uvidu u 8 P-1202/15</izvorni_sadrzaj>
    <derivirana_varijabla naziv="DomainObject.Predmet.Opis_1">prileže spisi St-18/10 i St-1/10
31.8.15. na uvidu u 8 P-1202/15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St-10/2015</izvorni_sadrzaj>
    <derivirana_varijabla naziv="DomainObject.Predmet.OznakaBroj_1">St-10/2015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OS Labin dana 27.3.15. dostavio spis
Ovr-170/09</izvorni_sadrzaj>
    <derivirana_varijabla naziv="DomainObject.Predmet.PrimjedbaSuca_1">OS Labin dana 27.3.15. dostavio spis
Ovr-170/09</derivirana_varijabla>
  </DomainObject.Predmet.PrimjedbaSuca>
  <DomainObject.Predmet.PrimjedbaUpisnicara>
    <izvorni_sadrzaj/>
    <derivirana_varijabla naziv="DomainObject.Predmet.PrimjedbaUpisnicara_1"/>
  </DomainObject.Predmet.PrimjedbaUpisnicara>
  <DomainObject.Predmet.ProtustrankaFormated>
    <izvorni_sadrzaj>  ARCUS DELTA d.o.o. Pula</izvorni_sadrzaj>
    <derivirana_varijabla naziv="DomainObject.Predmet.ProtustrankaFormated_1">  ARCUS DELTA d.o.o. Pula</derivirana_varijabla>
  </DomainObject.Predmet.ProtustrankaFormated>
  <DomainObject.Predmet.ProtustrankaFormatedOIB>
    <izvorni_sadrzaj>  ARCUS DELTA d.o.o. Pula, OIB 58785778125</izvorni_sadrzaj>
    <derivirana_varijabla naziv="DomainObject.Predmet.ProtustrankaFormatedOIB_1">  ARCUS DELTA d.o.o. Pula, OIB 58785778125</derivirana_varijabla>
  </DomainObject.Predmet.ProtustrankaFormatedOIB>
  <DomainObject.Predmet.ProtustrankaFormatedWithAdress>
    <izvorni_sadrzaj> ARCUS DELTA d.o.o. Pula, Kandlerova 8, 52100 Pula</izvorni_sadrzaj>
    <derivirana_varijabla naziv="DomainObject.Predmet.ProtustrankaFormatedWithAdress_1"> ARCUS DELTA d.o.o. Pula, Kandlerova 8, 52100 Pula</derivirana_varijabla>
  </DomainObject.Predmet.ProtustrankaFormatedWithAdress>
  <DomainObject.Predmet.ProtustrankaFormatedWithAdressOIB>
    <izvorni_sadrzaj> ARCUS DELTA d.o.o. Pula, OIB 58785778125, Kandlerova 8, 52100 Pula</izvorni_sadrzaj>
    <derivirana_varijabla naziv="DomainObject.Predmet.ProtustrankaFormatedWithAdressOIB_1"> ARCUS DELTA d.o.o. Pula, OIB 58785778125, Kandlerova 8, 52100 Pula</derivirana_varijabla>
  </DomainObject.Predmet.ProtustrankaFormatedWithAdressOIB>
  <DomainObject.Predmet.ProtustrankaWithAdress>
    <izvorni_sadrzaj>ARCUS DELTA d.o.o. Pula Kandlerova 8, 52100 Pula</izvorni_sadrzaj>
    <derivirana_varijabla naziv="DomainObject.Predmet.ProtustrankaWithAdress_1">ARCUS DELTA d.o.o. Pula Kandlerova 8, 52100 Pula</derivirana_varijabla>
  </DomainObject.Predmet.ProtustrankaWithAdress>
  <DomainObject.Predmet.ProtustrankaWithAdressOIB>
    <izvorni_sadrzaj>ARCUS DELTA d.o.o. Pula, OIB 58785778125, Kandlerova 8, 52100 Pula</izvorni_sadrzaj>
    <derivirana_varijabla naziv="DomainObject.Predmet.ProtustrankaWithAdressOIB_1">ARCUS DELTA d.o.o. Pula, OIB 58785778125, Kandlerova 8, 52100 Pula</derivirana_varijabla>
  </DomainObject.Predmet.ProtustrankaWithAdressOIB>
  <DomainObject.Predmet.ProtustrankaNazivFormated>
    <izvorni_sadrzaj>ARCUS DELTA d.o.o. Pula</izvorni_sadrzaj>
    <derivirana_varijabla naziv="DomainObject.Predmet.ProtustrankaNazivFormated_1">ARCUS DELTA d.o.o. Pula</derivirana_varijabla>
  </DomainObject.Predmet.ProtustrankaNazivFormated>
  <DomainObject.Predmet.ProtustrankaNazivFormatedOIB>
    <izvorni_sadrzaj>ARCUS DELTA d.o.o. Pula, OIB 58785778125</izvorni_sadrzaj>
    <derivirana_varijabla naziv="DomainObject.Predmet.ProtustrankaNazivFormatedOIB_1">ARCUS DELTA d.o.o. Pula, OIB 58785778125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ARCUS DELTA d.o.o. PULA</izvorni_sadrzaj>
    <derivirana_varijabla naziv="DomainObject.Predmet.StrankaFormated_1">  ARCUS DELTA d.o.o. PULA</derivirana_varijabla>
  </DomainObject.Predmet.StrankaFormated>
  <DomainObject.Predmet.StrankaFormatedOIB>
    <izvorni_sadrzaj>  ARCUS DELTA d.o.o. PULA, OIB 58785778125</izvorni_sadrzaj>
    <derivirana_varijabla naziv="DomainObject.Predmet.StrankaFormatedOIB_1">  ARCUS DELTA d.o.o. PULA, OIB 58785778125</derivirana_varijabla>
  </DomainObject.Predmet.StrankaFormatedOIB>
  <DomainObject.Predmet.StrankaFormatedWithAdress>
    <izvorni_sadrzaj> ARCUS DELTA d.o.o. PULA, Kandlerova 8, Pula</izvorni_sadrzaj>
    <derivirana_varijabla naziv="DomainObject.Predmet.StrankaFormatedWithAdress_1"> ARCUS DELTA d.o.o. PULA, Kandlerova 8, Pula</derivirana_varijabla>
  </DomainObject.Predmet.StrankaFormatedWithAdress>
  <DomainObject.Predmet.StrankaFormatedWithAdressOIB>
    <izvorni_sadrzaj> ARCUS DELTA d.o.o. PULA, OIB 58785778125, Kandlerova 8, Pula</izvorni_sadrzaj>
    <derivirana_varijabla naziv="DomainObject.Predmet.StrankaFormatedWithAdressOIB_1"> ARCUS DELTA d.o.o. PULA, OIB 58785778125, Kandlerova 8, Pula</derivirana_varijabla>
  </DomainObject.Predmet.StrankaFormatedWithAdressOIB>
  <DomainObject.Predmet.StrankaWithAdress>
    <izvorni_sadrzaj>ARCUS DELTA d.o.o. PULA Kandlerova 8,Pula</izvorni_sadrzaj>
    <derivirana_varijabla naziv="DomainObject.Predmet.StrankaWithAdress_1">ARCUS DELTA d.o.o. PULA Kandlerova 8,Pula</derivirana_varijabla>
  </DomainObject.Predmet.StrankaWithAdress>
  <DomainObject.Predmet.StrankaWithAdressOIB>
    <izvorni_sadrzaj>ARCUS DELTA d.o.o. PULA, OIB 58785778125, Kandlerova 8,Pula</izvorni_sadrzaj>
    <derivirana_varijabla naziv="DomainObject.Predmet.StrankaWithAdressOIB_1">ARCUS DELTA d.o.o. PULA, OIB 58785778125, Kandlerova 8,Pula</derivirana_varijabla>
  </DomainObject.Predmet.StrankaWithAdressOIB>
  <DomainObject.Predmet.StrankaNazivFormated>
    <izvorni_sadrzaj>ARCUS DELTA d.o.o. PULA</izvorni_sadrzaj>
    <derivirana_varijabla naziv="DomainObject.Predmet.StrankaNazivFormated_1">ARCUS DELTA d.o.o. PULA</derivirana_varijabla>
  </DomainObject.Predmet.StrankaNazivFormated>
  <DomainObject.Predmet.StrankaNazivFormatedOIB>
    <izvorni_sadrzaj>ARCUS DELTA d.o.o. PULA, OIB 58785778125</izvorni_sadrzaj>
    <derivirana_varijabla naziv="DomainObject.Predmet.StrankaNazivFormatedOIB_1">ARCUS DELTA d.o.o. PULA, OIB 58785778125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7794360.53</izvorni_sadrzaj>
    <derivirana_varijabla naziv="DomainObject.Predmet.TrenutnaVrijednost_1">7794360.53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ARCUS DELTA d.o.o. PULA</item>
    </izvorni_sadrzaj>
    <derivirana_varijabla naziv="DomainObject.Predmet.StrankaListFormated_1">
      <item>ARCUS DELTA d.o.o. PULA</item>
    </derivirana_varijabla>
  </DomainObject.Predmet.StrankaListFormated>
  <DomainObject.Predmet.StrankaListFormatedOIB>
    <izvorni_sadrzaj>
      <item>ARCUS DELTA d.o.o. PULA, OIB 58785778125</item>
    </izvorni_sadrzaj>
    <derivirana_varijabla naziv="DomainObject.Predmet.StrankaListFormatedOIB_1">
      <item>ARCUS DELTA d.o.o. PULA, OIB 58785778125</item>
    </derivirana_varijabla>
  </DomainObject.Predmet.StrankaListFormatedOIB>
  <DomainObject.Predmet.StrankaListFormatedWithAdress>
    <izvorni_sadrzaj>
      <item>ARCUS DELTA d.o.o. PULA, Kandlerova 8, Pula</item>
    </izvorni_sadrzaj>
    <derivirana_varijabla naziv="DomainObject.Predmet.StrankaListFormatedWithAdress_1">
      <item>ARCUS DELTA d.o.o. PULA, Kandlerova 8, Pula</item>
    </derivirana_varijabla>
  </DomainObject.Predmet.StrankaListFormatedWithAdress>
  <DomainObject.Predmet.StrankaListFormatedWithAdressOIB>
    <izvorni_sadrzaj>
      <item>ARCUS DELTA d.o.o. PULA, OIB 58785778125, Kandlerova 8, Pula</item>
    </izvorni_sadrzaj>
    <derivirana_varijabla naziv="DomainObject.Predmet.StrankaListFormatedWithAdressOIB_1">
      <item>ARCUS DELTA d.o.o. PULA, OIB 58785778125, Kandlerova 8, Pula</item>
    </derivirana_varijabla>
  </DomainObject.Predmet.StrankaListFormatedWithAdressOIB>
  <DomainObject.Predmet.StrankaListNazivFormated>
    <izvorni_sadrzaj>
      <item>ARCUS DELTA d.o.o. PULA</item>
    </izvorni_sadrzaj>
    <derivirana_varijabla naziv="DomainObject.Predmet.StrankaListNazivFormated_1">
      <item>ARCUS DELTA d.o.o. PULA</item>
    </derivirana_varijabla>
  </DomainObject.Predmet.StrankaListNazivFormated>
  <DomainObject.Predmet.StrankaListNazivFormatedOIB>
    <izvorni_sadrzaj>
      <item>ARCUS DELTA d.o.o. PULA, OIB 58785778125</item>
    </izvorni_sadrzaj>
    <derivirana_varijabla naziv="DomainObject.Predmet.StrankaListNazivFormatedOIB_1">
      <item>ARCUS DELTA d.o.o. PULA, OIB 58785778125</item>
    </derivirana_varijabla>
  </DomainObject.Predmet.StrankaListNazivFormatedOIB>
  <DomainObject.Predmet.ProtuStrankaListFormated>
    <izvorni_sadrzaj>
      <item>ARCUS DELTA d.o.o. Pula</item>
    </izvorni_sadrzaj>
    <derivirana_varijabla naziv="DomainObject.Predmet.ProtuStrankaListFormated_1">
      <item>ARCUS DELTA d.o.o. Pula</item>
    </derivirana_varijabla>
  </DomainObject.Predmet.ProtuStrankaListFormated>
  <DomainObject.Predmet.ProtuStrankaListFormatedOIB>
    <izvorni_sadrzaj>
      <item>ARCUS DELTA d.o.o. Pula, OIB 58785778125</item>
    </izvorni_sadrzaj>
    <derivirana_varijabla naziv="DomainObject.Predmet.ProtuStrankaListFormatedOIB_1">
      <item>ARCUS DELTA d.o.o. Pula, OIB 58785778125</item>
    </derivirana_varijabla>
  </DomainObject.Predmet.ProtuStrankaListFormatedOIB>
  <DomainObject.Predmet.ProtuStrankaListFormatedWithAdress>
    <izvorni_sadrzaj>
      <item>ARCUS DELTA d.o.o. Pula, Kandlerova 8, 52100 Pula</item>
    </izvorni_sadrzaj>
    <derivirana_varijabla naziv="DomainObject.Predmet.ProtuStrankaListFormatedWithAdress_1">
      <item>ARCUS DELTA d.o.o. Pula, Kandlerova 8, 52100 Pula</item>
    </derivirana_varijabla>
  </DomainObject.Predmet.ProtuStrankaListFormatedWithAdress>
  <DomainObject.Predmet.ProtuStrankaListFormatedWithAdressOIB>
    <izvorni_sadrzaj>
      <item>ARCUS DELTA d.o.o. Pula, OIB 58785778125, Kandlerova 8, 52100 Pula</item>
    </izvorni_sadrzaj>
    <derivirana_varijabla naziv="DomainObject.Predmet.ProtuStrankaListFormatedWithAdressOIB_1">
      <item>ARCUS DELTA d.o.o. Pula, OIB 58785778125, Kandlerova 8, 52100 Pula</item>
    </derivirana_varijabla>
  </DomainObject.Predmet.ProtuStrankaListFormatedWithAdressOIB>
  <DomainObject.Predmet.ProtuStrankaListNazivFormated>
    <izvorni_sadrzaj>
      <item>ARCUS DELTA d.o.o. Pula</item>
    </izvorni_sadrzaj>
    <derivirana_varijabla naziv="DomainObject.Predmet.ProtuStrankaListNazivFormated_1">
      <item>ARCUS DELTA d.o.o. Pula</item>
    </derivirana_varijabla>
  </DomainObject.Predmet.ProtuStrankaListNazivFormated>
  <DomainObject.Predmet.ProtuStrankaListNazivFormatedOIB>
    <izvorni_sadrzaj>
      <item>ARCUS DELTA d.o.o. Pula, OIB 58785778125</item>
    </izvorni_sadrzaj>
    <derivirana_varijabla naziv="DomainObject.Predmet.ProtuStrankaListNazivFormatedOIB_1">
      <item>ARCUS DELTA d.o.o. Pula, OIB 58785778125</item>
    </derivirana_varijabla>
  </DomainObject.Predmet.ProtuStrankaListNazivFormatedOIB>
  <DomainObject.Predmet.OstaliListFormated>
    <izvorni_sadrzaj>
      <item>DRAŽEN EZGETA</item>
    </izvorni_sadrzaj>
    <derivirana_varijabla naziv="DomainObject.Predmet.OstaliListFormated_1">
      <item>DRAŽEN EZGETA</item>
    </derivirana_varijabla>
  </DomainObject.Predmet.OstaliListFormated>
  <DomainObject.Predmet.OstaliListFormatedOIB>
    <izvorni_sadrzaj>
      <item>DRAŽEN EZGETA, OIB 62061046523</item>
    </izvorni_sadrzaj>
    <derivirana_varijabla naziv="DomainObject.Predmet.OstaliListFormatedOIB_1">
      <item>DRAŽEN EZGETA, OIB 62061046523</item>
    </derivirana_varijabla>
  </DomainObject.Predmet.OstaliListFormatedOIB>
  <DomainObject.Predmet.OstaliListFormatedWithAdress>
    <izvorni_sadrzaj>
      <item>DRAŽEN EZGETA, M. Benussi 8, 52440 Poreč</item>
    </izvorni_sadrzaj>
    <derivirana_varijabla naziv="DomainObject.Predmet.OstaliListFormatedWithAdress_1">
      <item>DRAŽEN EZGETA, M. Benussi 8, 52440 Poreč</item>
    </derivirana_varijabla>
  </DomainObject.Predmet.OstaliListFormatedWithAdress>
  <DomainObject.Predmet.OstaliListFormatedWithAdressOIB>
    <izvorni_sadrzaj>
      <item>DRAŽEN EZGETA, OIB 62061046523, M. Benussi 8, 52440 Poreč</item>
    </izvorni_sadrzaj>
    <derivirana_varijabla naziv="DomainObject.Predmet.OstaliListFormatedWithAdressOIB_1">
      <item>DRAŽEN EZGETA, OIB 62061046523, M. Benussi 8, 52440 Poreč</item>
    </derivirana_varijabla>
  </DomainObject.Predmet.OstaliListFormatedWithAdressOIB>
  <DomainObject.Predmet.OstaliListNazivFormated>
    <izvorni_sadrzaj>
      <item>DRAŽEN EZGETA</item>
    </izvorni_sadrzaj>
    <derivirana_varijabla naziv="DomainObject.Predmet.OstaliListNazivFormated_1">
      <item>DRAŽEN EZGETA</item>
    </derivirana_varijabla>
  </DomainObject.Predmet.OstaliListNazivFormated>
  <DomainObject.Predmet.OstaliListNazivFormatedOIB>
    <izvorni_sadrzaj>
      <item>DRAŽEN EZGETA, OIB 62061046523</item>
    </izvorni_sadrzaj>
    <derivirana_varijabla naziv="DomainObject.Predmet.OstaliListNazivFormatedOIB_1">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
    <derivirana_varijabla naziv="DomainObject.PoslovniBrojDokumenta_1"/>
  </DomainObject.PoslovniBrojDokumenta>
  <DomainObject.Predmet.StrankaIDrugi>
    <izvorni_sadrzaj>ARCUS DELTA d.o.o. PULA</izvorni_sadrzaj>
    <derivirana_varijabla naziv="DomainObject.Predmet.StrankaIDrugi_1">ARCUS DELTA d.o.o. PULA</derivirana_varijabla>
  </DomainObject.Predmet.StrankaIDrugi>
  <DomainObject.Predmet.ProtustrankaIDrugi>
    <izvorni_sadrzaj>ARCUS DELTA d.o.o. Pula</izvorni_sadrzaj>
    <derivirana_varijabla naziv="DomainObject.Predmet.ProtustrankaIDrugi_1">ARCUS DELTA d.o.o. Pula</derivirana_varijabla>
  </DomainObject.Predmet.ProtustrankaIDrugi>
  <DomainObject.Predmet.StrankaIDrugiAdressOIB>
    <izvorni_sadrzaj>ARCUS DELTA d.o.o. PULA, OIB 58785778125, Kandlerova 8, Pula</izvorni_sadrzaj>
    <derivirana_varijabla naziv="DomainObject.Predmet.StrankaIDrugiAdressOIB_1">ARCUS DELTA d.o.o. PULA, OIB 58785778125, Kandlerova 8, Pula</derivirana_varijabla>
  </DomainObject.Predmet.StrankaIDrugiAdressOIB>
  <DomainObject.Predmet.ProtustrankaIDrugiAdressOIB>
    <izvorni_sadrzaj>ARCUS DELTA d.o.o. Pula, OIB 58785778125, Kandlerova 8, 52100 Pula</izvorni_sadrzaj>
    <derivirana_varijabla naziv="DomainObject.Predmet.ProtustrankaIDrugiAdressOIB_1">ARCUS DELTA d.o.o. Pula, OIB 58785778125, Kandlerova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ARCUS DELTA d.o.o. Pula</item>
      <item>ARCUS DELTA d.o.o. PULA</item>
      <item>DRAŽEN EZGETA</item>
    </izvorni_sadrzaj>
    <derivirana_varijabla naziv="DomainObject.Predmet.SudioniciListNaziv_1">
      <item>ARCUS DELTA d.o.o. Pula</item>
      <item>ARCUS DELTA d.o.o. PULA</item>
      <item>DRAŽEN EZGETA</item>
    </derivirana_varijabla>
  </DomainObject.Predmet.SudioniciListNaziv>
  <DomainObject.Predmet.SudioniciListAdressOIB>
    <izvorni_sadrzaj>
      <item>ARCUS DELTA d.o.o. Pula, OIB 58785778125, Kandlerova 8,52100 Pula</item>
      <item>ARCUS DELTA d.o.o. PULA, OIB 58785778125, Kandlerova 8,Pula</item>
      <item>DRAŽEN EZGETA, OIB 62061046523, M. Benussi 8,52440 Poreč</item>
    </izvorni_sadrzaj>
    <derivirana_varijabla naziv="DomainObject.Predmet.SudioniciListAdressOIB_1">
      <item>ARCUS DELTA d.o.o. Pula, OIB 58785778125, Kandlerova 8,52100 Pula</item>
      <item>ARCUS DELTA d.o.o. PULA, OIB 58785778125, Kandlerova 8,Pula</item>
      <item>DRAŽEN EZGETA, OIB 62061046523, M. Benussi 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58785778125</item>
      <item>, OIB 58785778125</item>
      <item>, OIB 62061046523</item>
    </izvorni_sadrzaj>
    <derivirana_varijabla naziv="DomainObject.Predmet.SudioniciListNazivOIB_1">
      <item>, OIB 58785778125</item>
      <item>, OIB 58785778125</item>
      <item>, OIB 62061046523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7</properties:Pages>
  <properties:Words>2625</properties:Words>
  <properties:Characters>14926</properties:Characters>
  <properties:Lines>456</properties:Lines>
  <properties:Paragraphs>174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17525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2016-04-18T12:12:00Z</dcterms:created>
  <dc:creator>sblazevic</dc:creator>
  <cp:lastModifiedBy>Sanja Lakošeljac</cp:lastModifiedBy>
  <cp:lastPrinted>2016-04-18T12:39:00Z</cp:lastPrinted>
  <dcterms:modified xmlns:xsi="http://www.w3.org/2001/XMLSchema-instance" xsi:type="dcterms:W3CDTF">2016-04-18T12:53:00Z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