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54d802" w14:paraId="c54d802" w:rsidRDefault="005015DE" w:rsidP="005015DE" w:rsidR="005015DE" w:rsidRPr="009D697C">
      <w:pPr>
        <w:ind w:left="708"/>
        <w15:collapsed w:val="false"/>
        <w:rPr>
          <w:rFonts w:cstheme="majorBidi" w:hAnsiTheme="majorBidi" w:asciiTheme="majorBidi"/>
          <w:sz w:val="24"/>
          <w:szCs w:val="24"/>
        </w:rPr>
      </w:pPr>
      <w:bookmarkStart w:name="_GoBack" w:id="0"/>
      <w:bookmarkEnd w:id="0"/>
      <w:r w:rsidRPr="009D697C">
        <w:rPr>
          <w:rFonts w:cstheme="majorBidi" w:hAnsiTheme="majorBidi" w:asciiTheme="majorBidi"/>
          <w:sz w:val="24"/>
          <w:szCs w:val="24"/>
        </w:rPr>
        <w:t xml:space="preserve">    </w:t>
      </w:r>
      <w:r w:rsidRPr="009D697C">
        <w:rPr>
          <w:rFonts w:cstheme="majorBidi" w:hAnsiTheme="majorBidi" w:asciiTheme="majorBidi"/>
          <w:noProof/>
          <w:sz w:val="24"/>
          <w:szCs w:val="24"/>
        </w:rPr>
        <w:drawing>
          <wp:inline distR="0" distL="0" distB="0" distT="0">
            <wp:extent cy="813661" cx="609600"/>
            <wp:effectExtent b="5715" r="0" t="0" l="0"/>
            <wp:docPr name="Slika 1" id="1"/>
            <wp:cNvGraphicFramePr>
              <a:graphicFrameLocks noChangeAspect="true"/>
            </wp:cNvGraphicFramePr>
            <a:graphic>
              <a:graphicData uri="http://schemas.openxmlformats.org/drawingml/2006/picture">
                <pic:pic>
                  <pic:nvPicPr>
                    <pic:cNvPr name="grb 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19373" cx="613879"/>
                    </a:xfrm>
                    <a:prstGeom prst="rect">
                      <a:avLst/>
                    </a:prstGeom>
                  </pic:spPr>
                </pic:pic>
              </a:graphicData>
            </a:graphic>
          </wp:inline>
        </w:drawing>
      </w:r>
    </w:p>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794766" w:rsidR="005015DE" w:rsidRPr="009D697C">
        <w:tc>
          <w:tcPr>
            <w:tcW w:type="dxa" w:w="3060"/>
          </w:tcPr>
          <w:p w:rsidRDefault="005015DE" w:rsidP="00794766" w:rsidR="005015DE" w:rsidRPr="009D697C">
            <w:pPr>
              <w:pStyle w:val="Naslov2"/>
              <w:jc w:val="left"/>
              <w:rPr>
                <w:rFonts w:cstheme="majorBidi" w:hAnsiTheme="majorBidi" w:asciiTheme="majorBidi"/>
                <w:b w:val="false"/>
                <w:bCs w:val="false"/>
                <w:sz w:val="24"/>
              </w:rPr>
            </w:pPr>
            <w:r w:rsidRPr="009D697C">
              <w:rPr>
                <w:rFonts w:cstheme="majorBidi" w:hAnsiTheme="majorBidi" w:asciiTheme="majorBidi"/>
                <w:b w:val="false"/>
                <w:bCs w:val="false"/>
                <w:sz w:val="24"/>
              </w:rPr>
              <w:t>REPUBLIKA HRVATSKA</w:t>
            </w:r>
          </w:p>
          <w:p w:rsidRDefault="005015DE" w:rsidP="00794766" w:rsidR="005015DE" w:rsidRPr="009D697C">
            <w:pPr>
              <w:rPr>
                <w:rFonts w:cstheme="majorBidi" w:hAnsiTheme="majorBidi" w:asciiTheme="majorBidi"/>
                <w:sz w:val="24"/>
                <w:szCs w:val="24"/>
              </w:rPr>
            </w:pPr>
            <w:r w:rsidRPr="009D697C">
              <w:rPr>
                <w:rFonts w:cstheme="majorBidi" w:hAnsiTheme="majorBidi" w:asciiTheme="majorBidi"/>
                <w:sz w:val="24"/>
                <w:szCs w:val="24"/>
              </w:rPr>
              <w:t xml:space="preserve"> Trgovački sud u Zagrebu</w:t>
            </w:r>
          </w:p>
          <w:p w:rsidRDefault="005015DE" w:rsidP="00794766" w:rsidR="005015DE" w:rsidRPr="009D697C">
            <w:pPr>
              <w:rPr>
                <w:rFonts w:cstheme="majorBidi" w:hAnsiTheme="majorBidi" w:asciiTheme="majorBidi"/>
                <w:sz w:val="24"/>
                <w:szCs w:val="24"/>
              </w:rPr>
            </w:pPr>
            <w:r w:rsidRPr="009D697C">
              <w:rPr>
                <w:rFonts w:cstheme="majorBidi" w:hAnsiTheme="majorBidi" w:asciiTheme="majorBidi"/>
                <w:sz w:val="24"/>
                <w:szCs w:val="24"/>
              </w:rPr>
              <w:t xml:space="preserve">  Zagreb, Amruševa 2/II</w:t>
            </w:r>
          </w:p>
        </w:tc>
      </w:tr>
    </w:tbl>
    <w:p w:rsidRDefault="005015DE" w:rsidP="005015DE" w:rsidR="005015DE" w:rsidRPr="009D697C">
      <w:pPr>
        <w:jc w:val="right"/>
        <w:rPr>
          <w:rFonts w:cstheme="majorBidi" w:hAnsiTheme="majorBidi" w:asciiTheme="majorBidi"/>
          <w:b/>
          <w:sz w:val="24"/>
          <w:szCs w:val="24"/>
        </w:rPr>
      </w:pPr>
      <w:r w:rsidRPr="009D697C">
        <w:rPr>
          <w:rFonts w:cstheme="majorBidi" w:hAnsiTheme="majorBidi" w:asciiTheme="majorBidi"/>
          <w:b/>
          <w:sz w:val="24"/>
          <w:szCs w:val="24"/>
        </w:rPr>
        <w:br w:clear="all" w:type="textWrapping"/>
      </w:r>
      <w:r w:rsidRPr="009D697C">
        <w:rPr>
          <w:rFonts w:cstheme="majorBidi" w:hAnsiTheme="majorBidi" w:asciiTheme="majorBidi"/>
          <w:b/>
          <w:sz w:val="24"/>
          <w:szCs w:val="24"/>
        </w:rPr>
        <w:tab/>
      </w:r>
      <w:r w:rsidRPr="009D697C">
        <w:rPr>
          <w:rFonts w:cstheme="majorBidi" w:hAnsiTheme="majorBidi" w:asciiTheme="majorBidi"/>
          <w:b/>
          <w:sz w:val="24"/>
          <w:szCs w:val="24"/>
        </w:rPr>
        <w:tab/>
      </w:r>
      <w:r w:rsidRPr="009D697C">
        <w:rPr>
          <w:rFonts w:cstheme="majorBidi" w:hAnsiTheme="majorBidi" w:asciiTheme="majorBidi"/>
          <w:b/>
          <w:sz w:val="24"/>
          <w:szCs w:val="24"/>
        </w:rPr>
        <w:tab/>
      </w:r>
      <w:r w:rsidRPr="009D697C">
        <w:rPr>
          <w:rFonts w:cstheme="majorBidi" w:hAnsiTheme="majorBidi" w:asciiTheme="majorBidi"/>
          <w:b/>
          <w:sz w:val="24"/>
          <w:szCs w:val="24"/>
        </w:rPr>
        <w:tab/>
      </w:r>
      <w:r w:rsidRPr="009D697C">
        <w:rPr>
          <w:rFonts w:cstheme="majorBidi" w:hAnsiTheme="majorBidi" w:asciiTheme="majorBidi"/>
          <w:b/>
          <w:sz w:val="24"/>
          <w:szCs w:val="24"/>
        </w:rPr>
        <w:tab/>
      </w:r>
      <w:r w:rsidRPr="009D697C">
        <w:rPr>
          <w:rFonts w:cstheme="majorBidi" w:hAnsiTheme="majorBidi" w:asciiTheme="majorBidi"/>
          <w:b/>
          <w:sz w:val="24"/>
          <w:szCs w:val="24"/>
        </w:rPr>
        <w:tab/>
      </w:r>
      <w:r w:rsidRPr="009D697C">
        <w:rPr>
          <w:rFonts w:cstheme="majorBidi" w:hAnsiTheme="majorBidi" w:asciiTheme="majorBidi"/>
          <w:b/>
          <w:sz w:val="24"/>
          <w:szCs w:val="24"/>
        </w:rPr>
        <w:tab/>
      </w:r>
      <w:r w:rsidRPr="009D697C">
        <w:rPr>
          <w:rFonts w:cstheme="majorBidi" w:hAnsiTheme="majorBidi" w:asciiTheme="majorBidi"/>
          <w:b/>
          <w:sz w:val="24"/>
          <w:szCs w:val="24"/>
        </w:rPr>
        <w:tab/>
      </w:r>
      <w:r w:rsidRPr="009D697C">
        <w:rPr>
          <w:rFonts w:cstheme="majorBidi" w:hAnsiTheme="majorBidi" w:asciiTheme="majorBidi"/>
          <w:b/>
          <w:sz w:val="24"/>
          <w:szCs w:val="24"/>
        </w:rPr>
        <w:tab/>
      </w:r>
    </w:p>
    <w:p w:rsidRDefault="005015DE" w:rsidP="005015DE" w:rsidR="005015DE" w:rsidRPr="009D697C">
      <w:pPr>
        <w:jc w:val="right"/>
        <w:rPr>
          <w:rFonts w:cstheme="majorBidi" w:hAnsiTheme="majorBidi" w:asciiTheme="majorBidi"/>
          <w:sz w:val="24"/>
          <w:szCs w:val="24"/>
        </w:rPr>
      </w:pPr>
      <w:r w:rsidRPr="009D697C">
        <w:rPr>
          <w:rFonts w:cstheme="majorBidi" w:hAnsiTheme="majorBidi" w:asciiTheme="majorBidi"/>
          <w:bCs/>
          <w:sz w:val="24"/>
          <w:szCs w:val="24"/>
        </w:rPr>
        <w:t xml:space="preserve">  </w:t>
      </w:r>
      <w:r w:rsidR="007C3340">
        <w:rPr>
          <w:rFonts w:cstheme="majorBidi" w:hAnsiTheme="majorBidi" w:asciiTheme="majorBidi"/>
          <w:bCs/>
          <w:sz w:val="24"/>
          <w:szCs w:val="24"/>
        </w:rPr>
        <w:t>8.</w:t>
      </w:r>
      <w:r w:rsidRPr="009D697C">
        <w:rPr>
          <w:rFonts w:cstheme="majorBidi" w:hAnsiTheme="majorBidi" w:asciiTheme="majorBidi"/>
          <w:b/>
          <w:sz w:val="24"/>
          <w:szCs w:val="24"/>
        </w:rPr>
        <w:t xml:space="preserve"> </w:t>
      </w:r>
      <w:r w:rsidRPr="009D697C">
        <w:rPr>
          <w:rFonts w:cstheme="majorBidi" w:hAnsiTheme="majorBidi" w:asciiTheme="majorBidi"/>
          <w:sz w:val="24"/>
          <w:szCs w:val="24"/>
        </w:rPr>
        <w:t>St-</w:t>
      </w:r>
      <w:r w:rsidR="007C3340">
        <w:rPr>
          <w:rFonts w:cstheme="majorBidi" w:hAnsiTheme="majorBidi" w:asciiTheme="majorBidi"/>
          <w:sz w:val="24"/>
          <w:szCs w:val="24"/>
        </w:rPr>
        <w:t>2410/2015</w:t>
      </w:r>
    </w:p>
    <w:p w:rsidRDefault="005015DE" w:rsidP="005015DE" w:rsidR="005015DE" w:rsidRPr="009D697C">
      <w:pPr>
        <w:jc w:val="center"/>
        <w:rPr>
          <w:rFonts w:cstheme="majorBidi" w:hAnsiTheme="majorBidi" w:asciiTheme="majorBidi"/>
          <w:sz w:val="24"/>
          <w:szCs w:val="24"/>
        </w:rPr>
      </w:pPr>
      <w:r w:rsidRPr="009D697C">
        <w:rPr>
          <w:rFonts w:cstheme="majorBidi" w:hAnsiTheme="majorBidi" w:asciiTheme="majorBidi"/>
          <w:sz w:val="24"/>
          <w:szCs w:val="24"/>
        </w:rPr>
        <w:t xml:space="preserve">R E P U B L I K A  H R V A T S K A </w:t>
      </w:r>
    </w:p>
    <w:p w:rsidRDefault="005015DE" w:rsidP="005015DE" w:rsidR="005015DE" w:rsidRPr="009D697C">
      <w:pPr>
        <w:rPr>
          <w:rFonts w:cstheme="majorBidi" w:hAnsiTheme="majorBidi" w:asciiTheme="majorBidi"/>
          <w:sz w:val="24"/>
          <w:szCs w:val="24"/>
        </w:rPr>
      </w:pPr>
    </w:p>
    <w:p w:rsidRDefault="005015DE" w:rsidP="005015DE" w:rsidR="005015DE" w:rsidRPr="009D697C">
      <w:pPr>
        <w:ind w:hanging="2880" w:left="2880"/>
        <w:jc w:val="center"/>
        <w:rPr>
          <w:rFonts w:cstheme="majorBidi" w:hAnsiTheme="majorBidi" w:asciiTheme="majorBidi"/>
          <w:sz w:val="24"/>
          <w:szCs w:val="24"/>
        </w:rPr>
      </w:pPr>
      <w:r w:rsidRPr="009D697C">
        <w:rPr>
          <w:rFonts w:cstheme="majorBidi" w:hAnsiTheme="majorBidi" w:asciiTheme="majorBidi"/>
          <w:sz w:val="24"/>
          <w:szCs w:val="24"/>
        </w:rPr>
        <w:t xml:space="preserve">R J E Š E N J E </w:t>
      </w:r>
    </w:p>
    <w:p w:rsidRDefault="005015DE" w:rsidP="005015DE" w:rsidR="005015DE" w:rsidRPr="009D697C">
      <w:pPr>
        <w:ind w:hanging="2880" w:left="2880"/>
        <w:jc w:val="center"/>
        <w:rPr>
          <w:rFonts w:cstheme="majorBidi" w:hAnsiTheme="majorBidi" w:asciiTheme="majorBidi"/>
          <w:sz w:val="24"/>
          <w:szCs w:val="24"/>
        </w:rPr>
      </w:pPr>
    </w:p>
    <w:p w:rsidRDefault="005015DE" w:rsidP="005015DE" w:rsidR="005015DE" w:rsidRPr="009D697C">
      <w:pPr>
        <w:jc w:val="both"/>
        <w:rPr>
          <w:rFonts w:cstheme="majorBidi" w:hAnsiTheme="majorBidi" w:asciiTheme="majorBidi"/>
          <w:sz w:val="24"/>
          <w:szCs w:val="24"/>
        </w:rPr>
      </w:pPr>
      <w:r w:rsidRPr="009D697C">
        <w:rPr>
          <w:rFonts w:cstheme="majorBidi" w:hAnsiTheme="majorBidi" w:asciiTheme="majorBidi"/>
          <w:sz w:val="24"/>
          <w:szCs w:val="24"/>
        </w:rPr>
        <w:tab/>
      </w:r>
      <w:r>
        <w:rPr>
          <w:rFonts w:cstheme="majorBidi" w:hAnsiTheme="majorBidi" w:asciiTheme="majorBidi"/>
          <w:sz w:val="24"/>
          <w:szCs w:val="24"/>
        </w:rPr>
        <w:t>Trgo</w:t>
      </w:r>
      <w:r w:rsidR="007C3340">
        <w:rPr>
          <w:rFonts w:cstheme="majorBidi" w:hAnsiTheme="majorBidi" w:asciiTheme="majorBidi"/>
          <w:sz w:val="24"/>
          <w:szCs w:val="24"/>
        </w:rPr>
        <w:t>vački sud u Zagrebu, po sucu Mariji Jurdana</w:t>
      </w:r>
      <w:r>
        <w:rPr>
          <w:rFonts w:cstheme="majorBidi" w:hAnsiTheme="majorBidi" w:asciiTheme="majorBidi"/>
          <w:sz w:val="24"/>
          <w:szCs w:val="24"/>
        </w:rPr>
        <w:t xml:space="preserve"> u stečajnom predmetu povodom zahtjeva FINANCIJSKE AGENCIJE,</w:t>
      </w:r>
      <w:r w:rsidR="007C3340">
        <w:rPr>
          <w:rFonts w:cstheme="majorBidi" w:hAnsiTheme="majorBidi" w:asciiTheme="majorBidi"/>
          <w:sz w:val="24"/>
          <w:szCs w:val="24"/>
        </w:rPr>
        <w:t xml:space="preserve"> Podružnica Zagreb,</w:t>
      </w:r>
      <w:r>
        <w:rPr>
          <w:rFonts w:cstheme="majorBidi" w:hAnsiTheme="majorBidi" w:asciiTheme="majorBidi"/>
          <w:sz w:val="24"/>
          <w:szCs w:val="24"/>
        </w:rPr>
        <w:t xml:space="preserve"> za provedbu skraćenog steč</w:t>
      </w:r>
      <w:r w:rsidR="007C3340">
        <w:rPr>
          <w:rFonts w:cstheme="majorBidi" w:hAnsiTheme="majorBidi" w:asciiTheme="majorBidi"/>
          <w:sz w:val="24"/>
          <w:szCs w:val="24"/>
        </w:rPr>
        <w:t>ajnog postupka nad dužnikom Dobra Anđela d.o.o. OIB: 94887290854 sa sjedištem u Sesvetama, Livadarski put 21 dana 01. prosinca 2017. godine</w:t>
      </w:r>
    </w:p>
    <w:p w:rsidRDefault="005015DE" w:rsidP="005015DE" w:rsidR="005015DE" w:rsidRPr="009D697C">
      <w:pPr>
        <w:jc w:val="both"/>
        <w:rPr>
          <w:rFonts w:cstheme="majorBidi" w:hAnsiTheme="majorBidi" w:asciiTheme="majorBidi"/>
          <w:sz w:val="24"/>
          <w:szCs w:val="24"/>
        </w:rPr>
      </w:pPr>
    </w:p>
    <w:p w:rsidRDefault="005015DE" w:rsidP="005015DE" w:rsidR="005015DE" w:rsidRPr="009D697C">
      <w:pPr>
        <w:jc w:val="center"/>
        <w:rPr>
          <w:rFonts w:cstheme="majorBidi" w:hAnsiTheme="majorBidi" w:asciiTheme="majorBidi"/>
          <w:bCs/>
          <w:sz w:val="24"/>
          <w:szCs w:val="24"/>
        </w:rPr>
      </w:pPr>
      <w:r w:rsidRPr="009D697C">
        <w:rPr>
          <w:rFonts w:cstheme="majorBidi" w:hAnsiTheme="majorBidi" w:asciiTheme="majorBidi"/>
          <w:bCs/>
          <w:sz w:val="24"/>
          <w:szCs w:val="24"/>
        </w:rPr>
        <w:t>r i j e š i o  j e</w:t>
      </w:r>
    </w:p>
    <w:p w:rsidRDefault="005015DE" w:rsidP="005015DE" w:rsidR="005015DE" w:rsidRPr="009D697C">
      <w:pPr>
        <w:jc w:val="center"/>
        <w:rPr>
          <w:rFonts w:cstheme="majorBidi" w:hAnsiTheme="majorBidi" w:asciiTheme="majorBidi"/>
          <w:bCs/>
          <w:sz w:val="24"/>
          <w:szCs w:val="24"/>
        </w:rPr>
      </w:pPr>
    </w:p>
    <w:p w:rsidRDefault="005015DE" w:rsidP="005015DE" w:rsidR="005015DE" w:rsidRPr="009D697C">
      <w:pPr>
        <w:ind w:firstLine="720"/>
        <w:jc w:val="both"/>
        <w:rPr>
          <w:rFonts w:cstheme="majorBidi" w:hAnsiTheme="majorBidi" w:asciiTheme="majorBidi"/>
          <w:sz w:val="24"/>
          <w:szCs w:val="24"/>
        </w:rPr>
      </w:pPr>
      <w:r w:rsidRPr="009D697C">
        <w:rPr>
          <w:rFonts w:cstheme="majorBidi" w:hAnsiTheme="majorBidi" w:asciiTheme="majorBidi"/>
          <w:sz w:val="24"/>
          <w:szCs w:val="24"/>
        </w:rPr>
        <w:t>Obustavlja se skraćeni stečajni postupak nad dužnikom</w:t>
      </w:r>
      <w:r w:rsidR="007C3340">
        <w:rPr>
          <w:rFonts w:cstheme="majorBidi" w:hAnsiTheme="majorBidi" w:asciiTheme="majorBidi"/>
          <w:sz w:val="24"/>
          <w:szCs w:val="24"/>
        </w:rPr>
        <w:t xml:space="preserve"> obra Anđela d.o.o. OIB: 94887290854 sa sjedištem u Sesvetama, Livadarski put 21</w:t>
      </w:r>
      <w:r w:rsidRPr="009D697C">
        <w:rPr>
          <w:rFonts w:cstheme="majorBidi" w:hAnsiTheme="majorBidi" w:asciiTheme="majorBidi"/>
          <w:sz w:val="24"/>
          <w:szCs w:val="24"/>
        </w:rPr>
        <w:t xml:space="preserve"> </w:t>
      </w:r>
      <w:r w:rsidR="007C3340">
        <w:rPr>
          <w:rFonts w:cstheme="majorBidi" w:hAnsiTheme="majorBidi" w:asciiTheme="majorBidi"/>
          <w:sz w:val="24"/>
          <w:szCs w:val="24"/>
        </w:rPr>
        <w:t>, MBS: 080590241.</w:t>
      </w:r>
    </w:p>
    <w:p w:rsidRDefault="005015DE" w:rsidP="005015DE" w:rsidR="005015DE" w:rsidRPr="009D697C">
      <w:pPr>
        <w:ind w:firstLine="720"/>
        <w:jc w:val="both"/>
        <w:rPr>
          <w:rFonts w:cstheme="majorBidi" w:hAnsiTheme="majorBidi" w:asciiTheme="majorBidi"/>
          <w:sz w:val="24"/>
          <w:szCs w:val="24"/>
        </w:rPr>
      </w:pPr>
    </w:p>
    <w:p w:rsidRDefault="005015DE" w:rsidP="005015DE" w:rsidR="005015DE" w:rsidRPr="009D697C">
      <w:pPr>
        <w:jc w:val="center"/>
        <w:rPr>
          <w:rFonts w:cstheme="majorBidi" w:hAnsiTheme="majorBidi" w:asciiTheme="majorBidi"/>
          <w:sz w:val="24"/>
          <w:szCs w:val="24"/>
        </w:rPr>
      </w:pPr>
      <w:r w:rsidRPr="009D697C">
        <w:rPr>
          <w:rFonts w:cstheme="majorBidi" w:hAnsiTheme="majorBidi" w:asciiTheme="majorBidi"/>
          <w:sz w:val="24"/>
          <w:szCs w:val="24"/>
        </w:rPr>
        <w:t>Obrazloženje</w:t>
      </w:r>
    </w:p>
    <w:p w:rsidRDefault="005015DE" w:rsidP="005015DE" w:rsidR="005015DE" w:rsidRPr="009D697C">
      <w:pPr>
        <w:jc w:val="both"/>
        <w:rPr>
          <w:rFonts w:cstheme="majorBidi" w:hAnsiTheme="majorBidi" w:asciiTheme="majorBidi"/>
          <w:sz w:val="24"/>
          <w:szCs w:val="24"/>
        </w:rPr>
      </w:pPr>
    </w:p>
    <w:p w:rsidRDefault="005015DE" w:rsidP="007C3340" w:rsidR="005015DE" w:rsidRPr="009D697C">
      <w:pPr>
        <w:ind w:firstLine="720"/>
        <w:jc w:val="both"/>
        <w:rPr>
          <w:rFonts w:cstheme="majorBidi" w:hAnsiTheme="majorBidi" w:asciiTheme="majorBidi"/>
          <w:sz w:val="24"/>
          <w:szCs w:val="24"/>
        </w:rPr>
      </w:pPr>
      <w:r w:rsidRPr="009D697C">
        <w:rPr>
          <w:rFonts w:cstheme="majorBidi" w:hAnsiTheme="majorBidi" w:asciiTheme="majorBidi"/>
          <w:sz w:val="24"/>
          <w:szCs w:val="24"/>
        </w:rPr>
        <w:t xml:space="preserve">Financijska agencija podnijela je ovom sudu, na temelju odredbe čl. </w:t>
      </w:r>
      <w:r w:rsidR="007C3340">
        <w:rPr>
          <w:rFonts w:cstheme="majorBidi" w:hAnsiTheme="majorBidi" w:asciiTheme="majorBidi"/>
          <w:sz w:val="24"/>
          <w:szCs w:val="24"/>
        </w:rPr>
        <w:t>429</w:t>
      </w:r>
      <w:r w:rsidRPr="009D697C">
        <w:rPr>
          <w:rFonts w:cstheme="majorBidi" w:hAnsiTheme="majorBidi" w:asciiTheme="majorBidi"/>
          <w:sz w:val="24"/>
          <w:szCs w:val="24"/>
        </w:rPr>
        <w:t xml:space="preserve"> st. 1 Stečajnog zakona ("Narodne novine" broj 71/15 – dalje: SZ), zahtjev za provedbu skraćenog stečajnog postupka nad dužnikom </w:t>
      </w:r>
      <w:r w:rsidR="007C3340">
        <w:rPr>
          <w:rFonts w:cstheme="majorBidi" w:hAnsiTheme="majorBidi" w:asciiTheme="majorBidi"/>
          <w:sz w:val="24"/>
          <w:szCs w:val="24"/>
        </w:rPr>
        <w:t>Anđela d.o.o. OIB: 94887290854 sa sjedištem u Sesvetama, Livadarski put 21</w:t>
      </w:r>
      <w:r w:rsidR="007C3340" w:rsidRPr="009D697C">
        <w:rPr>
          <w:rFonts w:cstheme="majorBidi" w:hAnsiTheme="majorBidi" w:asciiTheme="majorBidi"/>
          <w:sz w:val="24"/>
          <w:szCs w:val="24"/>
        </w:rPr>
        <w:t xml:space="preserve"> </w:t>
      </w:r>
      <w:r w:rsidR="007C3340">
        <w:rPr>
          <w:rFonts w:cstheme="majorBidi" w:hAnsiTheme="majorBidi" w:asciiTheme="majorBidi"/>
          <w:sz w:val="24"/>
          <w:szCs w:val="24"/>
        </w:rPr>
        <w:t>, MBS: 080590241.</w:t>
      </w:r>
    </w:p>
    <w:p w:rsidRDefault="005015DE" w:rsidP="005015DE" w:rsidR="005015DE" w:rsidRPr="009D697C">
      <w:pPr>
        <w:ind w:firstLine="708"/>
        <w:jc w:val="both"/>
        <w:rPr>
          <w:rFonts w:cstheme="majorBidi" w:hAnsiTheme="majorBidi" w:asciiTheme="majorBidi"/>
          <w:sz w:val="24"/>
          <w:szCs w:val="24"/>
        </w:rPr>
      </w:pPr>
      <w:r w:rsidRPr="009D697C">
        <w:rPr>
          <w:rFonts w:cstheme="majorBidi" w:hAnsiTheme="majorBidi" w:asciiTheme="majorBidi"/>
          <w:sz w:val="24"/>
          <w:szCs w:val="24"/>
        </w:rPr>
        <w:t>Prema odredbi čl. 428 st. 1 SZ  sud će provesti skraćeni stečajni postupak nad pravnom osobom ako su ispunjene sljedeće pretpostavke: ako nema zaposlenih, ako u Očevidniku redoslijeda osnova za plaćanje ima evidentirane neizvršene osnove za plaćanje u neprekinutom razdoblju od 120 dana i ako nisu ispunjene pretpostavke za pokretanje drugog postupka radi</w:t>
      </w:r>
      <w:r w:rsidR="007C3340">
        <w:rPr>
          <w:rFonts w:cstheme="majorBidi" w:hAnsiTheme="majorBidi" w:asciiTheme="majorBidi"/>
          <w:sz w:val="24"/>
          <w:szCs w:val="24"/>
        </w:rPr>
        <w:t xml:space="preserve"> brisanja iz sudskoga registra.</w:t>
      </w:r>
    </w:p>
    <w:p w:rsidRDefault="005015DE" w:rsidP="005015DE" w:rsidR="005015DE" w:rsidRPr="009D697C">
      <w:pPr>
        <w:ind w:firstLine="708"/>
        <w:jc w:val="both"/>
        <w:rPr>
          <w:rFonts w:cstheme="majorBidi" w:hAnsiTheme="majorBidi" w:asciiTheme="majorBidi"/>
          <w:sz w:val="24"/>
          <w:szCs w:val="24"/>
        </w:rPr>
      </w:pPr>
      <w:r w:rsidRPr="009D697C">
        <w:rPr>
          <w:rFonts w:cstheme="majorBidi" w:hAnsiTheme="majorBidi" w:asciiTheme="majorBidi"/>
          <w:sz w:val="24"/>
          <w:szCs w:val="24"/>
        </w:rPr>
        <w:t xml:space="preserve">Sud je temeljem čl. 430 SZ na mrežnoj stranici e-Oglasna ploča suda dana </w:t>
      </w:r>
      <w:r w:rsidR="007C3340">
        <w:rPr>
          <w:rFonts w:cstheme="majorBidi" w:hAnsiTheme="majorBidi" w:asciiTheme="majorBidi"/>
          <w:sz w:val="24"/>
          <w:szCs w:val="24"/>
        </w:rPr>
        <w:t>8.1.2016.</w:t>
      </w:r>
      <w:r w:rsidRPr="009D697C">
        <w:rPr>
          <w:rFonts w:cstheme="majorBidi" w:hAnsiTheme="majorBidi" w:asciiTheme="majorBidi"/>
          <w:sz w:val="24"/>
          <w:szCs w:val="24"/>
        </w:rPr>
        <w:t xml:space="preserve"> objavio oglas kojim je pozvao osobe ovlaštene za zastupanje dužnika po zakonu u roku 15 dana od dana objave oglasa, </w:t>
      </w:r>
      <w:r>
        <w:rPr>
          <w:rFonts w:cstheme="majorBidi" w:hAnsiTheme="majorBidi" w:asciiTheme="majorBidi"/>
          <w:sz w:val="24"/>
          <w:szCs w:val="24"/>
        </w:rPr>
        <w:t xml:space="preserve">da </w:t>
      </w:r>
      <w:r w:rsidRPr="009D697C">
        <w:rPr>
          <w:rFonts w:cstheme="majorBidi" w:hAnsiTheme="majorBidi" w:asciiTheme="majorBidi"/>
          <w:sz w:val="24"/>
          <w:szCs w:val="24"/>
        </w:rPr>
        <w:t>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uz upozorenje na pravne posljedice nepodnošenja takvog prijedloga.</w:t>
      </w:r>
    </w:p>
    <w:p w:rsidRDefault="005015DE" w:rsidP="007C3340" w:rsidR="005015DE">
      <w:pPr>
        <w:ind w:firstLine="720"/>
        <w:jc w:val="both"/>
        <w:rPr>
          <w:rFonts w:cstheme="majorBidi" w:hAnsiTheme="majorBidi" w:asciiTheme="majorBidi"/>
          <w:sz w:val="24"/>
          <w:szCs w:val="24"/>
        </w:rPr>
      </w:pPr>
      <w:r w:rsidRPr="00DE4F55">
        <w:rPr>
          <w:rFonts w:cstheme="majorBidi" w:hAnsiTheme="majorBidi" w:asciiTheme="majorBidi"/>
          <w:sz w:val="24"/>
          <w:szCs w:val="24"/>
        </w:rPr>
        <w:t xml:space="preserve">Vjerovnik dužnika </w:t>
      </w:r>
      <w:r w:rsidR="007C3340">
        <w:rPr>
          <w:rFonts w:cstheme="majorBidi" w:hAnsiTheme="majorBidi" w:asciiTheme="majorBidi"/>
          <w:sz w:val="24"/>
          <w:szCs w:val="24"/>
        </w:rPr>
        <w:t>Credo banka d.d. u stečaju Split, Zrinjsko-Frankopana 58</w:t>
      </w:r>
      <w:r w:rsidRPr="00DE4F55">
        <w:rPr>
          <w:rFonts w:cstheme="majorBidi" w:hAnsiTheme="majorBidi" w:asciiTheme="majorBidi"/>
          <w:sz w:val="24"/>
          <w:szCs w:val="24"/>
        </w:rPr>
        <w:t xml:space="preserve"> je </w:t>
      </w:r>
      <w:r w:rsidR="007C3340">
        <w:rPr>
          <w:rFonts w:cstheme="majorBidi" w:hAnsiTheme="majorBidi" w:asciiTheme="majorBidi"/>
          <w:sz w:val="24"/>
          <w:szCs w:val="24"/>
        </w:rPr>
        <w:t>dana 24.2.2015.</w:t>
      </w:r>
      <w:r w:rsidRPr="00DE4F55">
        <w:rPr>
          <w:rFonts w:cstheme="majorBidi" w:hAnsiTheme="majorBidi" w:asciiTheme="majorBidi"/>
          <w:sz w:val="24"/>
          <w:szCs w:val="24"/>
        </w:rPr>
        <w:t xml:space="preserve"> podnio prijedlog za otvaranje stečajnog postupka nad dužnikom te je izvijestio sud da prema dužniku na dan </w:t>
      </w:r>
      <w:r w:rsidR="007C3340">
        <w:rPr>
          <w:rFonts w:cstheme="majorBidi" w:hAnsiTheme="majorBidi" w:asciiTheme="majorBidi"/>
          <w:sz w:val="24"/>
          <w:szCs w:val="24"/>
        </w:rPr>
        <w:t>31.1.2016.</w:t>
      </w:r>
      <w:r w:rsidRPr="00DE4F55">
        <w:rPr>
          <w:rFonts w:cstheme="majorBidi" w:hAnsiTheme="majorBidi" w:asciiTheme="majorBidi"/>
          <w:sz w:val="24"/>
          <w:szCs w:val="24"/>
        </w:rPr>
        <w:t xml:space="preserve"> ima potraživanje u iznosu od </w:t>
      </w:r>
      <w:r w:rsidR="007C3340">
        <w:rPr>
          <w:rFonts w:cstheme="majorBidi" w:hAnsiTheme="majorBidi" w:asciiTheme="majorBidi"/>
          <w:sz w:val="24"/>
          <w:szCs w:val="24"/>
        </w:rPr>
        <w:t>7.671.569,92</w:t>
      </w:r>
      <w:r w:rsidRPr="00DE4F55">
        <w:rPr>
          <w:rFonts w:cstheme="majorBidi" w:hAnsiTheme="majorBidi" w:asciiTheme="majorBidi"/>
          <w:sz w:val="24"/>
          <w:szCs w:val="24"/>
        </w:rPr>
        <w:t xml:space="preserve"> kn</w:t>
      </w:r>
      <w:r w:rsidR="007C3340">
        <w:rPr>
          <w:rFonts w:cstheme="majorBidi" w:hAnsiTheme="majorBidi" w:asciiTheme="majorBidi"/>
          <w:sz w:val="24"/>
          <w:szCs w:val="24"/>
        </w:rPr>
        <w:t xml:space="preserve"> s valutnom klauzlom vezanom za EUR prema prodajnom tečaju banke na dan 31.1.2016., koja se temelji na Ugovoru o dugoročnom kreditu broj 8575000366, Aneksu broj 3 istom Ugovoru od 27.12.2010.g. Aneksu broj 4 istom Ugovoru od 6.5.2011. koji je zaključen kao Aneks i sastavni dio Ugovoru o okvirnom zaduženju broj 169/59/08 od 30.12.2008. i njegovih Aneksa. </w:t>
      </w:r>
      <w:r w:rsidRPr="00DE4F55">
        <w:rPr>
          <w:rFonts w:cstheme="majorBidi" w:hAnsiTheme="majorBidi" w:asciiTheme="majorBidi"/>
          <w:sz w:val="24"/>
          <w:szCs w:val="24"/>
        </w:rPr>
        <w:t xml:space="preserve"> </w:t>
      </w:r>
    </w:p>
    <w:p w:rsidRDefault="007C3340" w:rsidP="007C3340" w:rsidR="007C3340">
      <w:pPr>
        <w:ind w:firstLine="720"/>
        <w:jc w:val="both"/>
        <w:rPr>
          <w:rFonts w:cstheme="majorBidi" w:hAnsiTheme="majorBidi" w:asciiTheme="majorBidi"/>
          <w:sz w:val="24"/>
          <w:szCs w:val="24"/>
        </w:rPr>
      </w:pPr>
    </w:p>
    <w:p w:rsidRDefault="007C3340" w:rsidP="007C3340" w:rsidR="007C3340">
      <w:pPr>
        <w:ind w:firstLine="720"/>
        <w:jc w:val="both"/>
        <w:rPr>
          <w:rFonts w:cstheme="majorBidi" w:hAnsiTheme="majorBidi" w:asciiTheme="majorBidi"/>
          <w:sz w:val="24"/>
          <w:szCs w:val="24"/>
        </w:rPr>
      </w:pPr>
      <w:r>
        <w:rPr>
          <w:rFonts w:cstheme="majorBidi" w:hAnsiTheme="majorBidi" w:asciiTheme="majorBidi"/>
          <w:sz w:val="24"/>
          <w:szCs w:val="24"/>
        </w:rPr>
        <w:lastRenderedPageBreak/>
        <w:t xml:space="preserve">Tražbina iz navedenog Ugovora osigurana je </w:t>
      </w:r>
      <w:r w:rsidR="00713E73">
        <w:rPr>
          <w:rFonts w:cstheme="majorBidi" w:hAnsiTheme="majorBidi" w:asciiTheme="majorBidi"/>
          <w:sz w:val="24"/>
          <w:szCs w:val="24"/>
        </w:rPr>
        <w:t>založnim pravom uknjiženim na teret nekretnina u vlasništvu dužnika Anđela d.o.o. OIB: 94887290854 sa sjedištem u Sesvetama, Livadarski put 21</w:t>
      </w:r>
      <w:r w:rsidR="00713E73" w:rsidRPr="009D697C">
        <w:rPr>
          <w:rFonts w:cstheme="majorBidi" w:hAnsiTheme="majorBidi" w:asciiTheme="majorBidi"/>
          <w:sz w:val="24"/>
          <w:szCs w:val="24"/>
        </w:rPr>
        <w:t xml:space="preserve"> </w:t>
      </w:r>
      <w:r w:rsidR="00713E73">
        <w:rPr>
          <w:rFonts w:cstheme="majorBidi" w:hAnsiTheme="majorBidi" w:asciiTheme="majorBidi"/>
          <w:sz w:val="24"/>
          <w:szCs w:val="24"/>
        </w:rPr>
        <w:t>, MBS: 080590241 označene kao:</w:t>
      </w:r>
    </w:p>
    <w:p w:rsidRDefault="00713E73" w:rsidP="00713E73" w:rsidR="00713E73">
      <w:pPr>
        <w:pStyle w:val="Odlomakpopisa"/>
        <w:numPr>
          <w:ilvl w:val="0"/>
          <w:numId w:val="2"/>
        </w:numPr>
        <w:jc w:val="both"/>
        <w:rPr>
          <w:rFonts w:cstheme="majorBidi" w:hAnsiTheme="majorBidi" w:asciiTheme="majorBidi"/>
          <w:sz w:val="24"/>
          <w:szCs w:val="24"/>
        </w:rPr>
      </w:pPr>
      <w:r>
        <w:rPr>
          <w:rFonts w:cstheme="majorBidi" w:hAnsiTheme="majorBidi" w:asciiTheme="majorBidi"/>
          <w:sz w:val="24"/>
          <w:szCs w:val="24"/>
        </w:rPr>
        <w:t>odgovarajući suvlasnički dio nekretnine, uključujući zemljište i zajedničke dijelove zgrade, povezan s vlasništvom posebnog dijela zgrade sagrađene na čest. br. 4810/117, ZKUL 12105, KO Grad Zagreb, anagrafske oznake Ulica Rade Končara broj 155, što u naravi predstavlja poslovni prostor, površine 53,22 m2, koji se sastoji od prodajnog prostora s WC-om, kabine i spremišta u uličnom dijelu stambeno-poslovne zgrade, smješten lijevo od ulaza na adresi Ozaljska 35, upisan u poduložak broj 3</w:t>
      </w:r>
      <w:r w:rsidR="00683A98">
        <w:rPr>
          <w:rFonts w:cstheme="majorBidi" w:hAnsiTheme="majorBidi" w:asciiTheme="majorBidi"/>
          <w:sz w:val="24"/>
          <w:szCs w:val="24"/>
        </w:rPr>
        <w:t>,</w:t>
      </w:r>
    </w:p>
    <w:p w:rsidRDefault="00683A98" w:rsidP="00683A98" w:rsidR="00683A98">
      <w:pPr>
        <w:jc w:val="both"/>
        <w:rPr>
          <w:rFonts w:cstheme="majorBidi" w:hAnsiTheme="majorBidi" w:asciiTheme="majorBidi"/>
          <w:sz w:val="24"/>
          <w:szCs w:val="24"/>
        </w:rPr>
      </w:pPr>
    </w:p>
    <w:p w:rsidRDefault="00683A98" w:rsidP="00683A98" w:rsidR="00683A98">
      <w:pPr>
        <w:ind w:left="1080"/>
        <w:jc w:val="both"/>
        <w:rPr>
          <w:rFonts w:cstheme="majorBidi" w:hAnsiTheme="majorBidi" w:asciiTheme="majorBidi"/>
          <w:sz w:val="24"/>
          <w:szCs w:val="24"/>
        </w:rPr>
      </w:pPr>
      <w:r>
        <w:rPr>
          <w:rFonts w:cstheme="majorBidi" w:hAnsiTheme="majorBidi" w:asciiTheme="majorBidi"/>
          <w:sz w:val="24"/>
          <w:szCs w:val="24"/>
        </w:rPr>
        <w:t>temeljem Sporazuma radi osiguranja novčane tražbine zasnivanjem založnog prava na nekretninama od 20.02.2009.g. solemniziranog od strane javnog bilježnika Mladena Ježeka, Zagreb, Šoštarićeva 8/III, pod brojem OV-352/09, a koji Sporazum je postao ovršna dana 01.10.2012.g.</w:t>
      </w:r>
    </w:p>
    <w:p w:rsidRDefault="00683A98" w:rsidP="00683A98" w:rsidR="00683A98">
      <w:pPr>
        <w:ind w:left="1080"/>
        <w:jc w:val="both"/>
        <w:rPr>
          <w:rFonts w:cstheme="majorBidi" w:hAnsiTheme="majorBidi" w:asciiTheme="majorBidi"/>
          <w:sz w:val="24"/>
          <w:szCs w:val="24"/>
        </w:rPr>
      </w:pPr>
    </w:p>
    <w:p w:rsidRDefault="00683A98" w:rsidP="00683A98" w:rsidR="00683A98">
      <w:pPr>
        <w:ind w:firstLine="708"/>
        <w:jc w:val="both"/>
        <w:rPr>
          <w:rFonts w:cstheme="majorBidi" w:hAnsiTheme="majorBidi" w:asciiTheme="majorBidi"/>
          <w:sz w:val="24"/>
          <w:szCs w:val="24"/>
        </w:rPr>
      </w:pPr>
      <w:r>
        <w:rPr>
          <w:rFonts w:cstheme="majorBidi" w:hAnsiTheme="majorBidi" w:asciiTheme="majorBidi"/>
          <w:sz w:val="24"/>
          <w:szCs w:val="24"/>
        </w:rPr>
        <w:t>Vjerovnik prema dužniku ima i tražbinu u iznosu od 179,37 kn po osnovi provizije i naknade iz poslova platnog prometa u zemlji.</w:t>
      </w:r>
    </w:p>
    <w:p w:rsidRDefault="00683A98" w:rsidP="00683A98" w:rsidR="00683A98">
      <w:pPr>
        <w:ind w:firstLine="708"/>
        <w:jc w:val="both"/>
        <w:rPr>
          <w:rFonts w:cstheme="majorBidi" w:hAnsiTheme="majorBidi" w:asciiTheme="majorBidi"/>
          <w:sz w:val="24"/>
          <w:szCs w:val="24"/>
        </w:rPr>
      </w:pPr>
    </w:p>
    <w:p w:rsidRDefault="00683A98" w:rsidP="00683A98" w:rsidR="00683A98">
      <w:pPr>
        <w:ind w:firstLine="708"/>
        <w:jc w:val="both"/>
        <w:rPr>
          <w:rFonts w:cstheme="majorBidi" w:hAnsiTheme="majorBidi" w:asciiTheme="majorBidi"/>
          <w:sz w:val="24"/>
          <w:szCs w:val="24"/>
        </w:rPr>
      </w:pPr>
      <w:r>
        <w:rPr>
          <w:rFonts w:cstheme="majorBidi" w:hAnsiTheme="majorBidi" w:asciiTheme="majorBidi"/>
          <w:sz w:val="24"/>
          <w:szCs w:val="24"/>
        </w:rPr>
        <w:t xml:space="preserve">Obzirom da iz stanja u spisu proizlazi da u konkretnom slučaju nisu ispunjene pretpostavke za provedbu skraćenog stečajnog postupka koji završava otvaranjem i istovremenim zaključenjem skraćenog stečajnog postupka (čl.431 SZ), jer je vjerovnik dužnik podnio prijedlog za otvaranje stečajnog postupka nad dužnikom, valjalo je primjenom odredbe čl. 433 SZ odlučiti kao u izreci rješenja. </w:t>
      </w:r>
    </w:p>
    <w:p w:rsidRDefault="00683A98" w:rsidP="00683A98" w:rsidR="00683A98" w:rsidRPr="00683A98">
      <w:pPr>
        <w:ind w:firstLine="708"/>
        <w:jc w:val="both"/>
        <w:rPr>
          <w:rFonts w:cstheme="majorBidi" w:hAnsiTheme="majorBidi" w:asciiTheme="majorBidi"/>
          <w:sz w:val="24"/>
          <w:szCs w:val="24"/>
        </w:rPr>
      </w:pPr>
      <w:r>
        <w:rPr>
          <w:rFonts w:cstheme="majorBidi" w:hAnsiTheme="majorBidi" w:asciiTheme="majorBidi"/>
          <w:sz w:val="24"/>
          <w:szCs w:val="24"/>
        </w:rPr>
        <w:t>Nakon pravomoćnosti ovog rješenja posebnim će se rješenjem odlučiti da li će se nad gore navedenim dužnikom poreknuti prethodni postupak ili će se rješenjem odmah otvoriti stečajni postupak (čl. 433 SZ).</w:t>
      </w:r>
    </w:p>
    <w:p w:rsidRDefault="005015DE" w:rsidP="005015DE" w:rsidR="005015DE" w:rsidRPr="009D697C">
      <w:pPr>
        <w:ind w:firstLine="360"/>
        <w:jc w:val="both"/>
        <w:rPr>
          <w:rFonts w:cstheme="majorBidi" w:hAnsiTheme="majorBidi" w:asciiTheme="majorBidi"/>
          <w:sz w:val="24"/>
          <w:szCs w:val="24"/>
        </w:rPr>
      </w:pPr>
    </w:p>
    <w:p w:rsidRDefault="005015DE" w:rsidP="005015DE" w:rsidR="005015DE" w:rsidRPr="009D697C">
      <w:pPr>
        <w:jc w:val="both"/>
        <w:rPr>
          <w:rFonts w:cstheme="majorBidi" w:hAnsiTheme="majorBidi" w:asciiTheme="majorBidi"/>
          <w:sz w:val="24"/>
          <w:szCs w:val="24"/>
        </w:rPr>
      </w:pPr>
      <w:r w:rsidRPr="009D697C">
        <w:rPr>
          <w:rFonts w:cstheme="majorBidi" w:hAnsiTheme="majorBidi" w:asciiTheme="majorBidi"/>
          <w:sz w:val="24"/>
          <w:szCs w:val="24"/>
        </w:rPr>
        <w:tab/>
      </w:r>
      <w:r w:rsidRPr="009D697C">
        <w:rPr>
          <w:rFonts w:cstheme="majorBidi" w:hAnsiTheme="majorBidi" w:asciiTheme="majorBidi"/>
          <w:sz w:val="24"/>
          <w:szCs w:val="24"/>
        </w:rPr>
        <w:tab/>
      </w:r>
      <w:r w:rsidRPr="009D697C">
        <w:rPr>
          <w:rFonts w:cstheme="majorBidi" w:hAnsiTheme="majorBidi" w:asciiTheme="majorBidi"/>
          <w:sz w:val="24"/>
          <w:szCs w:val="24"/>
        </w:rPr>
        <w:tab/>
      </w:r>
      <w:r w:rsidRPr="009D697C">
        <w:rPr>
          <w:rFonts w:cstheme="majorBidi" w:hAnsiTheme="majorBidi" w:asciiTheme="majorBidi"/>
          <w:sz w:val="24"/>
          <w:szCs w:val="24"/>
        </w:rPr>
        <w:tab/>
        <w:t xml:space="preserve">U Zagrebu, </w:t>
      </w:r>
      <w:r w:rsidR="00683A98">
        <w:rPr>
          <w:rFonts w:cstheme="majorBidi" w:hAnsiTheme="majorBidi" w:asciiTheme="majorBidi"/>
          <w:sz w:val="24"/>
          <w:szCs w:val="24"/>
        </w:rPr>
        <w:t>1. prosinca 2017. godine</w:t>
      </w:r>
    </w:p>
    <w:p w:rsidRDefault="005015DE" w:rsidP="005015DE" w:rsidR="005015DE">
      <w:pPr>
        <w:ind w:left="6372"/>
        <w:jc w:val="both"/>
        <w:rPr>
          <w:rFonts w:cstheme="majorBidi" w:hAnsiTheme="majorBidi" w:asciiTheme="majorBidi"/>
          <w:sz w:val="24"/>
          <w:szCs w:val="24"/>
        </w:rPr>
      </w:pPr>
      <w:r w:rsidRPr="009D697C">
        <w:rPr>
          <w:rFonts w:cstheme="majorBidi" w:hAnsiTheme="majorBidi" w:asciiTheme="majorBidi"/>
          <w:sz w:val="24"/>
          <w:szCs w:val="24"/>
        </w:rPr>
        <w:t>SUDAC</w:t>
      </w:r>
      <w:r w:rsidR="00D209CA">
        <w:rPr>
          <w:rFonts w:cstheme="majorBidi" w:hAnsiTheme="majorBidi" w:asciiTheme="majorBidi"/>
          <w:sz w:val="24"/>
          <w:szCs w:val="24"/>
        </w:rPr>
        <w:t>:</w:t>
      </w:r>
    </w:p>
    <w:p w:rsidRDefault="00D209CA" w:rsidP="005015DE" w:rsidR="00D209CA">
      <w:pPr>
        <w:ind w:left="6372"/>
        <w:jc w:val="both"/>
        <w:rPr>
          <w:rFonts w:cstheme="majorBidi" w:hAnsiTheme="majorBidi" w:asciiTheme="majorBidi"/>
          <w:sz w:val="24"/>
          <w:szCs w:val="24"/>
        </w:rPr>
      </w:pPr>
      <w:r>
        <w:rPr>
          <w:rFonts w:cstheme="majorBidi" w:hAnsiTheme="majorBidi" w:asciiTheme="majorBidi"/>
          <w:sz w:val="24"/>
          <w:szCs w:val="24"/>
        </w:rPr>
        <w:t>Marija Jurdana</w:t>
      </w:r>
      <w:r w:rsidR="00D23140">
        <w:rPr>
          <w:rFonts w:cstheme="majorBidi" w:hAnsiTheme="majorBidi" w:asciiTheme="majorBidi"/>
          <w:sz w:val="24"/>
          <w:szCs w:val="24"/>
        </w:rPr>
        <w:t>, v.r.</w:t>
      </w:r>
    </w:p>
    <w:p w:rsidRDefault="00D23140" w:rsidP="005015DE" w:rsidR="00D23140">
      <w:pPr>
        <w:ind w:left="6372"/>
        <w:jc w:val="both"/>
        <w:rPr>
          <w:rFonts w:cstheme="majorBidi" w:hAnsiTheme="majorBidi" w:asciiTheme="majorBidi"/>
          <w:sz w:val="24"/>
          <w:szCs w:val="24"/>
        </w:rPr>
      </w:pPr>
    </w:p>
    <w:p w:rsidRDefault="00D23140" w:rsidP="00D23140" w:rsidR="00D23140" w:rsidRPr="00D23140">
      <w:pPr>
        <w:ind w:left="6372"/>
        <w:rPr>
          <w:sz w:val="24"/>
          <w:szCs w:val="24"/>
        </w:rPr>
      </w:pPr>
      <w:r w:rsidRPr="00D23140">
        <w:rPr>
          <w:sz w:val="24"/>
          <w:szCs w:val="24"/>
        </w:rPr>
        <w:t>Za točnost otpravka</w:t>
      </w:r>
    </w:p>
    <w:p w:rsidRDefault="00D23140" w:rsidP="00D23140" w:rsidR="00D23140">
      <w:pPr>
        <w:ind w:left="6372"/>
      </w:pPr>
      <w:r w:rsidRPr="00D23140">
        <w:rPr>
          <w:sz w:val="24"/>
          <w:szCs w:val="24"/>
        </w:rPr>
        <w:t>Nikolina Krunić</w:t>
      </w:r>
    </w:p>
    <w:p w:rsidRDefault="00D23140" w:rsidP="005015DE" w:rsidR="00D23140" w:rsidRPr="009D697C">
      <w:pPr>
        <w:ind w:left="6372"/>
        <w:jc w:val="both"/>
        <w:rPr>
          <w:rFonts w:cstheme="majorBidi" w:hAnsiTheme="majorBidi" w:asciiTheme="majorBidi"/>
          <w:sz w:val="24"/>
          <w:szCs w:val="24"/>
        </w:rPr>
      </w:pPr>
    </w:p>
    <w:p w:rsidRDefault="005015DE" w:rsidP="005015DE" w:rsidR="005015DE" w:rsidRPr="009D697C">
      <w:pPr>
        <w:ind w:left="6372"/>
        <w:jc w:val="both"/>
        <w:rPr>
          <w:rFonts w:cstheme="majorBidi" w:hAnsiTheme="majorBidi" w:asciiTheme="majorBidi"/>
          <w:sz w:val="24"/>
          <w:szCs w:val="24"/>
        </w:rPr>
      </w:pPr>
    </w:p>
    <w:p w:rsidRDefault="005015DE" w:rsidP="005015DE" w:rsidR="005015DE" w:rsidRPr="009D697C">
      <w:pPr>
        <w:jc w:val="both"/>
        <w:rPr>
          <w:rFonts w:cstheme="majorBidi" w:hAnsiTheme="majorBidi" w:asciiTheme="majorBidi"/>
          <w:sz w:val="24"/>
          <w:szCs w:val="24"/>
        </w:rPr>
      </w:pPr>
    </w:p>
    <w:p w:rsidRDefault="005015DE" w:rsidP="005015DE" w:rsidR="005015DE" w:rsidRPr="009D697C">
      <w:pPr>
        <w:jc w:val="both"/>
        <w:rPr>
          <w:rFonts w:cstheme="majorBidi" w:hAnsiTheme="majorBidi" w:asciiTheme="majorBidi"/>
          <w:iCs/>
          <w:sz w:val="24"/>
          <w:szCs w:val="24"/>
        </w:rPr>
      </w:pPr>
      <w:r w:rsidRPr="009D697C">
        <w:rPr>
          <w:rFonts w:cstheme="majorBidi" w:hAnsiTheme="majorBidi" w:asciiTheme="majorBidi"/>
          <w:iCs/>
          <w:sz w:val="24"/>
          <w:szCs w:val="24"/>
        </w:rPr>
        <w:t>UPUTA O PRAVNOM LIJEKU</w:t>
      </w:r>
    </w:p>
    <w:p w:rsidRDefault="005015DE" w:rsidP="005015DE" w:rsidR="005015DE" w:rsidRPr="009D697C">
      <w:pPr>
        <w:jc w:val="both"/>
        <w:rPr>
          <w:rFonts w:cstheme="majorBidi" w:hAnsiTheme="majorBidi" w:asciiTheme="majorBidi"/>
          <w:sz w:val="24"/>
          <w:szCs w:val="24"/>
        </w:rPr>
      </w:pPr>
      <w:r w:rsidRPr="009D697C">
        <w:rPr>
          <w:rFonts w:cstheme="majorBidi" w:hAnsiTheme="majorBidi" w:asciiTheme="majorBidi"/>
          <w:iCs/>
          <w:sz w:val="24"/>
          <w:szCs w:val="24"/>
        </w:rPr>
        <w:t>Protiv ovog rješenja dopuštena je žalba u roku 8 (osam) dana od primitka rješenja. Žalba se podnosi ovom sudu u 3 (tri) primjerka, a o žalbi odlučuje Visoki trgovački sudu Republike Hrvatske.</w:t>
      </w:r>
    </w:p>
    <w:p w:rsidRDefault="005015DE" w:rsidP="005015DE" w:rsidR="005015DE" w:rsidRPr="009D697C">
      <w:pPr>
        <w:jc w:val="both"/>
        <w:rPr>
          <w:rFonts w:cstheme="majorBidi" w:hAnsiTheme="majorBidi" w:asciiTheme="majorBidi"/>
          <w:i/>
          <w:sz w:val="24"/>
          <w:szCs w:val="24"/>
        </w:rPr>
      </w:pPr>
    </w:p>
    <w:p w:rsidRDefault="005015DE" w:rsidP="005015DE" w:rsidR="005015DE" w:rsidRPr="009D697C">
      <w:pPr>
        <w:jc w:val="both"/>
        <w:rPr>
          <w:rFonts w:cstheme="majorBidi" w:hAnsiTheme="majorBidi" w:asciiTheme="majorBidi"/>
          <w:sz w:val="24"/>
          <w:szCs w:val="24"/>
        </w:rPr>
      </w:pPr>
    </w:p>
    <w:p w:rsidRDefault="005015DE" w:rsidP="005015DE" w:rsidR="005015DE" w:rsidRPr="009D697C">
      <w:pPr>
        <w:ind w:firstLine="708"/>
        <w:jc w:val="both"/>
        <w:rPr>
          <w:rFonts w:cstheme="majorBidi" w:hAnsiTheme="majorBidi" w:asciiTheme="majorBidi"/>
          <w:sz w:val="24"/>
          <w:szCs w:val="24"/>
        </w:rPr>
      </w:pPr>
    </w:p>
    <w:p w:rsidRDefault="007719F1" w:rsidR="007719F1"/>
    <w:sectPr w:rsidSect="004738D5" w:rsidR="007719F1">
      <w:headerReference w:type="even" r:id="rId10"/>
      <w:headerReference w:type="default" r:id="rId11"/>
      <w:headerReference w:type="first" r:id="rId12"/>
      <w:footerReference w:type="first" r:id="rId13"/>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13E73" w:rsidR="004B4F69">
      <w:r>
        <w:separator/>
      </w:r>
    </w:p>
  </w:endnote>
  <w:endnote w:id="0" w:type="continuationSeparator">
    <w:p w:rsidRDefault="00713E73" w:rsidR="004B4F6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23140" w:rsidP="004738D5" w:rsidR="004738D5">
    <w:pPr>
      <w:pStyle w:val="Podnoje"/>
      <w:jc w:val="center"/>
    </w:pPr>
  </w:p>
  <w:p w:rsidRDefault="00D23140" w:rsidR="004738D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13E73" w:rsidR="004B4F69">
      <w:r>
        <w:separator/>
      </w:r>
    </w:p>
  </w:footnote>
  <w:footnote w:id="0" w:type="continuationSeparator">
    <w:p w:rsidRDefault="00713E73" w:rsidR="004B4F6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13E73"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23140"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72442325"/>
      <w:docPartObj>
        <w:docPartGallery w:val="Page Numbers (Top of Page)"/>
        <w:docPartUnique/>
      </w:docPartObj>
    </w:sdtPr>
    <w:sdtEndPr>
      <w:rPr>
        <w:sz w:val="24"/>
        <w:szCs w:val="24"/>
      </w:rPr>
    </w:sdtEndPr>
    <w:sdtContent>
      <w:p w:rsidRDefault="00713E73" w:rsidP="00110897" w:rsidR="004738D5">
        <w:pPr>
          <w:pStyle w:val="Zaglavlje"/>
          <w:jc w:val="right"/>
        </w:pPr>
        <w:r>
          <w:rPr>
            <w:bCs/>
            <w:sz w:val="24"/>
            <w:szCs w:val="24"/>
          </w:rPr>
          <w:t>8. St-2410/2015</w:t>
        </w:r>
      </w:p>
      <w:p w:rsidRDefault="00713E73" w:rsidR="004738D5" w:rsidRPr="004738D5">
        <w:pPr>
          <w:pStyle w:val="Zaglavlje"/>
          <w:jc w:val="center"/>
          <w:rPr>
            <w:sz w:val="24"/>
            <w:szCs w:val="24"/>
          </w:rPr>
        </w:pPr>
        <w:r w:rsidRPr="004738D5">
          <w:rPr>
            <w:sz w:val="24"/>
            <w:szCs w:val="24"/>
          </w:rPr>
          <w:fldChar w:fldCharType="begin"/>
        </w:r>
        <w:r w:rsidRPr="004738D5">
          <w:rPr>
            <w:sz w:val="24"/>
            <w:szCs w:val="24"/>
          </w:rPr>
          <w:instrText>PAGE   \* MERGEFORMAT</w:instrText>
        </w:r>
        <w:r w:rsidRPr="004738D5">
          <w:rPr>
            <w:sz w:val="24"/>
            <w:szCs w:val="24"/>
          </w:rPr>
          <w:fldChar w:fldCharType="separate"/>
        </w:r>
        <w:r w:rsidR="00D23140">
          <w:rPr>
            <w:noProof/>
            <w:sz w:val="24"/>
            <w:szCs w:val="24"/>
          </w:rPr>
          <w:t>2</w:t>
        </w:r>
        <w:r w:rsidRPr="004738D5">
          <w:rPr>
            <w:sz w:val="24"/>
            <w:szCs w:val="24"/>
          </w:rPr>
          <w:fldChar w:fldCharType="end"/>
        </w:r>
      </w:p>
    </w:sdtContent>
  </w:sdt>
  <w:p w:rsidRDefault="00D23140" w:rsidP="00F470AA" w:rsidR="00E87384" w:rsidRPr="00010102">
    <w:pPr>
      <w:pStyle w:val="Zaglavlje"/>
      <w:jc w:val="right"/>
      <w:rPr>
        <w:sz w:val="24"/>
        <w:szCs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23140" w:rsidP="004738D5" w:rsidR="004738D5">
    <w:pPr>
      <w:pStyle w:val="Zaglavlje"/>
      <w:jc w:val="right"/>
    </w:pPr>
  </w:p>
  <w:p w:rsidRDefault="00D23140" w:rsidR="004738D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B851C0"/>
    <w:multiLevelType w:val="hybridMultilevel"/>
    <w:tmpl w:val="F3BC00EE"/>
    <w:lvl w:tplc="CA0A8C0A" w:ilvl="0">
      <w:start w:val="5"/>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6E24371D"/>
    <w:multiLevelType w:val="hybridMultilevel"/>
    <w:tmpl w:val="8DBABEEC"/>
    <w:lvl w:tplc="769C9D50" w:ilvl="0">
      <w:start w:val="8"/>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015DE"/>
    <w:rsid w:val="004B4F69"/>
    <w:rsid w:val="005015DE"/>
    <w:rsid w:val="00683A98"/>
    <w:rsid w:val="00713E73"/>
    <w:rsid w:val="007719F1"/>
    <w:rsid w:val="007C3340"/>
    <w:rsid w:val="008D42EF"/>
    <w:rsid w:val="00D209CA"/>
    <w:rsid w:val="00D2314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015DE"/>
    <w:pPr>
      <w:overflowPunct w:val="false"/>
      <w:autoSpaceDE w:val="false"/>
      <w:autoSpaceDN w:val="false"/>
      <w:adjustRightInd w:val="false"/>
      <w:spacing w:lineRule="auto" w:line="240" w:after="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5015DE"/>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5015DE"/>
    <w:rPr>
      <w:rFonts w:cs="Times New Roman" w:eastAsia="Times New Roman"/>
      <w:b/>
      <w:bCs/>
      <w:sz w:val="28"/>
      <w:szCs w:val="24"/>
      <w:lang w:eastAsia="hr-HR"/>
    </w:rPr>
  </w:style>
  <w:style w:styleId="Zaglavlje" w:type="paragraph">
    <w:name w:val="header"/>
    <w:basedOn w:val="Normal"/>
    <w:link w:val="ZaglavljeChar"/>
    <w:uiPriority w:val="99"/>
    <w:rsid w:val="005015DE"/>
    <w:pPr>
      <w:tabs>
        <w:tab w:pos="4536" w:val="center"/>
        <w:tab w:pos="9072" w:val="right"/>
      </w:tabs>
    </w:pPr>
  </w:style>
  <w:style w:customStyle="true" w:styleId="ZaglavljeChar" w:type="character">
    <w:name w:val="Zaglavlje Char"/>
    <w:basedOn w:val="Zadanifontodlomka"/>
    <w:link w:val="Zaglavlje"/>
    <w:uiPriority w:val="99"/>
    <w:rsid w:val="005015DE"/>
    <w:rPr>
      <w:rFonts w:cs="Times New Roman" w:eastAsia="Times New Roman"/>
      <w:sz w:val="20"/>
      <w:szCs w:val="20"/>
      <w:lang w:eastAsia="hr-HR"/>
    </w:rPr>
  </w:style>
  <w:style w:styleId="Brojstranice" w:type="character">
    <w:name w:val="page number"/>
    <w:basedOn w:val="Zadanifontodlomka"/>
    <w:rsid w:val="005015DE"/>
  </w:style>
  <w:style w:styleId="Podnoje" w:type="paragraph">
    <w:name w:val="footer"/>
    <w:basedOn w:val="Normal"/>
    <w:link w:val="PodnojeChar"/>
    <w:uiPriority w:val="99"/>
    <w:rsid w:val="005015DE"/>
    <w:pPr>
      <w:tabs>
        <w:tab w:pos="4536" w:val="center"/>
        <w:tab w:pos="9072" w:val="right"/>
      </w:tabs>
    </w:pPr>
  </w:style>
  <w:style w:customStyle="true" w:styleId="PodnojeChar" w:type="character">
    <w:name w:val="Podnožje Char"/>
    <w:basedOn w:val="Zadanifontodlomka"/>
    <w:link w:val="Podnoje"/>
    <w:uiPriority w:val="99"/>
    <w:rsid w:val="005015DE"/>
    <w:rPr>
      <w:rFonts w:cs="Times New Roman" w:eastAsia="Times New Roman"/>
      <w:sz w:val="20"/>
      <w:szCs w:val="20"/>
      <w:lang w:eastAsia="hr-HR"/>
    </w:rPr>
  </w:style>
  <w:style w:styleId="Odlomakpopisa" w:type="paragraph">
    <w:name w:val="List Paragraph"/>
    <w:basedOn w:val="Normal"/>
    <w:uiPriority w:val="34"/>
    <w:qFormat/>
    <w:rsid w:val="005015DE"/>
    <w:pPr>
      <w:ind w:left="720"/>
      <w:contextualSpacing/>
    </w:pPr>
  </w:style>
  <w:style w:styleId="Tekstbalonia" w:type="paragraph">
    <w:name w:val="Balloon Text"/>
    <w:basedOn w:val="Normal"/>
    <w:link w:val="TekstbaloniaChar"/>
    <w:uiPriority w:val="99"/>
    <w:semiHidden/>
    <w:unhideWhenUsed/>
    <w:rsid w:val="005015D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015DE"/>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D209CA"/>
    <w:rPr>
      <w:color w:val="808080"/>
      <w:bdr w:space="0" w:sz="0" w:color="auto" w:val="none"/>
      <w:shd w:fill="auto" w:color="auto" w:val="clear"/>
    </w:rPr>
  </w:style>
  <w:style w:customStyle="true" w:styleId="eSPISCCParagraphDefaultFont" w:type="character">
    <w:name w:val="eSPIS_CC_Paragraph Default Font"/>
    <w:basedOn w:val="Zadanifontodlomka"/>
    <w:rsid w:val="00D209C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209CA"/>
    <w:rPr>
      <w:rFonts w:cstheme="majorBidi" w:hAnsiTheme="majorBidi" w:asciiTheme="majorBidi"/>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209CA"/>
    <w:rPr>
      <w:rFonts w:cstheme="majorBidi" w:hAnsiTheme="majorBidi" w:asciiTheme="majorBidi"/>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209CA"/>
    <w:rPr>
      <w:rFonts w:cstheme="majorBidi" w:hAnsiTheme="majorBidi" w:asciiTheme="majorBidi"/>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015DE"/>
    <w:pPr>
      <w:overflowPunct w:val="0"/>
      <w:autoSpaceDE w:val="0"/>
      <w:autoSpaceDN w:val="0"/>
      <w:adjustRightInd w:val="0"/>
      <w:spacing w:after="0" w:line="240" w:lineRule="auto"/>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5015DE"/>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5015DE"/>
    <w:rPr>
      <w:rFonts w:cs="Times New Roman" w:eastAsia="Times New Roman"/>
      <w:b/>
      <w:bCs/>
      <w:sz w:val="28"/>
      <w:szCs w:val="24"/>
      <w:lang w:eastAsia="hr-HR"/>
    </w:rPr>
  </w:style>
  <w:style w:styleId="Zaglavlje" w:type="paragraph">
    <w:name w:val="header"/>
    <w:basedOn w:val="Normal"/>
    <w:link w:val="ZaglavljeChar"/>
    <w:uiPriority w:val="99"/>
    <w:rsid w:val="005015DE"/>
    <w:pPr>
      <w:tabs>
        <w:tab w:pos="4536" w:val="center"/>
        <w:tab w:pos="9072" w:val="right"/>
      </w:tabs>
    </w:pPr>
  </w:style>
  <w:style w:customStyle="1" w:styleId="ZaglavljeChar" w:type="character">
    <w:name w:val="Zaglavlje Char"/>
    <w:basedOn w:val="Zadanifontodlomka"/>
    <w:link w:val="Zaglavlje"/>
    <w:uiPriority w:val="99"/>
    <w:rsid w:val="005015DE"/>
    <w:rPr>
      <w:rFonts w:cs="Times New Roman" w:eastAsia="Times New Roman"/>
      <w:sz w:val="20"/>
      <w:szCs w:val="20"/>
      <w:lang w:eastAsia="hr-HR"/>
    </w:rPr>
  </w:style>
  <w:style w:styleId="Brojstranice" w:type="character">
    <w:name w:val="page number"/>
    <w:basedOn w:val="Zadanifontodlomka"/>
    <w:rsid w:val="005015DE"/>
  </w:style>
  <w:style w:styleId="Podnoje" w:type="paragraph">
    <w:name w:val="footer"/>
    <w:basedOn w:val="Normal"/>
    <w:link w:val="PodnojeChar"/>
    <w:uiPriority w:val="99"/>
    <w:rsid w:val="005015DE"/>
    <w:pPr>
      <w:tabs>
        <w:tab w:pos="4536" w:val="center"/>
        <w:tab w:pos="9072" w:val="right"/>
      </w:tabs>
    </w:pPr>
  </w:style>
  <w:style w:customStyle="1" w:styleId="PodnojeChar" w:type="character">
    <w:name w:val="Podnožje Char"/>
    <w:basedOn w:val="Zadanifontodlomka"/>
    <w:link w:val="Podnoje"/>
    <w:uiPriority w:val="99"/>
    <w:rsid w:val="005015DE"/>
    <w:rPr>
      <w:rFonts w:cs="Times New Roman" w:eastAsia="Times New Roman"/>
      <w:sz w:val="20"/>
      <w:szCs w:val="20"/>
      <w:lang w:eastAsia="hr-HR"/>
    </w:rPr>
  </w:style>
  <w:style w:styleId="Odlomakpopisa" w:type="paragraph">
    <w:name w:val="List Paragraph"/>
    <w:basedOn w:val="Normal"/>
    <w:uiPriority w:val="34"/>
    <w:qFormat/>
    <w:rsid w:val="005015DE"/>
    <w:pPr>
      <w:ind w:left="720"/>
      <w:contextualSpacing/>
    </w:pPr>
  </w:style>
  <w:style w:styleId="Tekstbalonia" w:type="paragraph">
    <w:name w:val="Balloon Text"/>
    <w:basedOn w:val="Normal"/>
    <w:link w:val="TekstbaloniaChar"/>
    <w:uiPriority w:val="99"/>
    <w:semiHidden/>
    <w:unhideWhenUsed/>
    <w:rsid w:val="005015DE"/>
    <w:rPr>
      <w:rFonts w:ascii="Tahoma" w:cs="Tahoma" w:hAnsi="Tahoma"/>
      <w:sz w:val="16"/>
      <w:szCs w:val="16"/>
    </w:rPr>
  </w:style>
  <w:style w:customStyle="1" w:styleId="TekstbaloniaChar" w:type="character">
    <w:name w:val="Tekst balončića Char"/>
    <w:basedOn w:val="Zadanifontodlomka"/>
    <w:link w:val="Tekstbalonia"/>
    <w:uiPriority w:val="99"/>
    <w:semiHidden/>
    <w:rsid w:val="005015DE"/>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D209CA"/>
    <w:rPr>
      <w:color w:val="808080"/>
      <w:bdr w:color="auto" w:space="0" w:sz="0" w:val="none"/>
      <w:shd w:color="auto" w:fill="auto" w:val="clear"/>
    </w:rPr>
  </w:style>
  <w:style w:customStyle="1" w:styleId="eSPISCCParagraphDefaultFont" w:type="character">
    <w:name w:val="eSPIS_CC_Paragraph Default Font"/>
    <w:basedOn w:val="Zadanifontodlomka"/>
    <w:rsid w:val="00D209C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209CA"/>
    <w:rPr>
      <w:rFonts w:asciiTheme="majorBidi" w:cstheme="majorBidi" w:hAnsiTheme="majorBidi"/>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209CA"/>
    <w:rPr>
      <w:rFonts w:asciiTheme="majorBidi" w:cstheme="majorBidi" w:hAnsiTheme="majorBidi"/>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209CA"/>
    <w:rPr>
      <w:rFonts w:asciiTheme="majorBidi" w:cstheme="majorBidi" w:hAnsiTheme="majorBidi"/>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550802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prosinca 2017.</izvorni_sadrzaj>
    <derivirana_varijabla naziv="DomainObject.DatumDonosenjaOdluke_1">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Marija</izvorni_sadrzaj>
    <derivirana_varijabla naziv="DomainObject.DonositeljOdluke.Ime_1">Marija</derivirana_varijabla>
  </DomainObject.DonositeljOdluke.Ime>
  <DomainObject.DonositeljOdluke.Prezime>
    <izvorni_sadrzaj>Jurdana</izvorni_sadrzaj>
    <derivirana_varijabla naziv="DomainObject.DonositeljOdluke.Prezime_1">Jurdana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2410</izvorni_sadrzaj>
    <derivirana_varijabla naziv="DomainObject.Predmet.Broj_1">2410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St-2410/2015</izvorni_sadrzaj>
    <derivirana_varijabla naziv="DomainObject.Predmet.OznakaBroj_1">St-2410/2015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DOBRA ANĐELA d.o.o.</izvorni_sadrzaj>
    <derivirana_varijabla naziv="DomainObject.Predmet.ProtustrankaFormated_1">  DOBRA ANĐELA d.o.o.</derivirana_varijabla>
  </DomainObject.Predmet.ProtustrankaFormated>
  <DomainObject.Predmet.ProtustrankaFormatedOIB>
    <izvorni_sadrzaj>  DOBRA ANĐELA d.o.o., OIB 94887290854</izvorni_sadrzaj>
    <derivirana_varijabla naziv="DomainObject.Predmet.ProtustrankaFormatedOIB_1">  DOBRA ANĐELA d.o.o., OIB 94887290854</derivirana_varijabla>
  </DomainObject.Predmet.ProtustrankaFormatedOIB>
  <DomainObject.Predmet.ProtustrankaFormatedWithAdress>
    <izvorni_sadrzaj> DOBRA ANĐELA d.o.o., Livadarski put 21, 10360 Sesvete</izvorni_sadrzaj>
    <derivirana_varijabla naziv="DomainObject.Predmet.ProtustrankaFormatedWithAdress_1"> DOBRA ANĐELA d.o.o., Livadarski put 21, 10360 Sesvete</derivirana_varijabla>
  </DomainObject.Predmet.ProtustrankaFormatedWithAdress>
  <DomainObject.Predmet.ProtustrankaFormatedWithAdressOIB>
    <izvorni_sadrzaj> DOBRA ANĐELA d.o.o., OIB 94887290854, Livadarski put 21, 10360 Sesvete</izvorni_sadrzaj>
    <derivirana_varijabla naziv="DomainObject.Predmet.ProtustrankaFormatedWithAdressOIB_1"> DOBRA ANĐELA d.o.o., OIB 94887290854, Livadarski put 21, 10360 Sesvete</derivirana_varijabla>
  </DomainObject.Predmet.ProtustrankaFormatedWithAdressOIB>
  <DomainObject.Predmet.ProtustrankaWithAdress>
    <izvorni_sadrzaj>DOBRA ANĐELA d.o.o. Livadarski put 21, 10360 Sesvete</izvorni_sadrzaj>
    <derivirana_varijabla naziv="DomainObject.Predmet.ProtustrankaWithAdress_1">DOBRA ANĐELA d.o.o. Livadarski put 21, 10360 Sesvete</derivirana_varijabla>
  </DomainObject.Predmet.ProtustrankaWithAdress>
  <DomainObject.Predmet.ProtustrankaWithAdressOIB>
    <izvorni_sadrzaj>DOBRA ANĐELA d.o.o., OIB 94887290854, Livadarski put 21, 10360 Sesvete</izvorni_sadrzaj>
    <derivirana_varijabla naziv="DomainObject.Predmet.ProtustrankaWithAdressOIB_1">DOBRA ANĐELA d.o.o., OIB 94887290854, Livadarski put 21, 10360 Sesvete</derivirana_varijabla>
  </DomainObject.Predmet.ProtustrankaWithAdressOIB>
  <DomainObject.Predmet.ProtustrankaNazivFormated>
    <izvorni_sadrzaj>DOBRA ANĐELA d.o.o.</izvorni_sadrzaj>
    <derivirana_varijabla naziv="DomainObject.Predmet.ProtustrankaNazivFormated_1">DOBRA ANĐELA d.o.o.</derivirana_varijabla>
  </DomainObject.Predmet.ProtustrankaNazivFormated>
  <DomainObject.Predmet.ProtustrankaNazivFormatedOIB>
    <izvorni_sadrzaj>DOBRA ANĐELA d.o.o., OIB 94887290854</izvorni_sadrzaj>
    <derivirana_varijabla naziv="DomainObject.Predmet.ProtustrankaNazivFormatedOIB_1">DOBRA ANĐELA d.o.o., OIB 94887290854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 St - M. Jurdana</izvorni_sadrzaj>
    <derivirana_varijabla naziv="DomainObject.Predmet.Referada.Naziv_1">8. St - M. Jurdana</derivirana_varijabla>
  </DomainObject.Predmet.Referada.Naziv>
  <DomainObject.Predmet.Referada.Oznaka>
    <izvorni_sadrzaj>8. St</izvorni_sadrzaj>
    <derivirana_varijabla naziv="DomainObject.Predmet.Referada.Oznaka_1">8.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Marija Jurdana</izvorni_sadrzaj>
    <derivirana_varijabla naziv="DomainObject.Predmet.Referada.Sudac_1">Marija Jurdana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 St - M. Jurdana</izvorni_sadrzaj>
    <derivirana_varijabla naziv="DomainObject.Predmet.TrenutnaLokacijaSpisa.Naziv_1">8. St - M. Jurdana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DOBRA ANĐELA d.o.o.</item>
    </izvorni_sadrzaj>
    <derivirana_varijabla naziv="DomainObject.Predmet.ProtuStrankaListFormated_1">
      <item>DOBRA ANĐELA d.o.o.</item>
    </derivirana_varijabla>
  </DomainObject.Predmet.ProtuStrankaListFormated>
  <DomainObject.Predmet.ProtuStrankaListFormatedOIB>
    <izvorni_sadrzaj>
      <item>DOBRA ANĐELA d.o.o., OIB 94887290854</item>
    </izvorni_sadrzaj>
    <derivirana_varijabla naziv="DomainObject.Predmet.ProtuStrankaListFormatedOIB_1">
      <item>DOBRA ANĐELA d.o.o., OIB 94887290854</item>
    </derivirana_varijabla>
  </DomainObject.Predmet.ProtuStrankaListFormatedOIB>
  <DomainObject.Predmet.ProtuStrankaListFormatedWithAdress>
    <izvorni_sadrzaj>
      <item>DOBRA ANĐELA d.o.o., Livadarski put 21, 10360 Sesvete</item>
    </izvorni_sadrzaj>
    <derivirana_varijabla naziv="DomainObject.Predmet.ProtuStrankaListFormatedWithAdress_1">
      <item>DOBRA ANĐELA d.o.o., Livadarski put 21, 10360 Sesvete</item>
    </derivirana_varijabla>
  </DomainObject.Predmet.ProtuStrankaListFormatedWithAdress>
  <DomainObject.Predmet.ProtuStrankaListFormatedWithAdressOIB>
    <izvorni_sadrzaj>
      <item>DOBRA ANĐELA d.o.o., OIB 94887290854, Livadarski put 21, 10360 Sesvete</item>
    </izvorni_sadrzaj>
    <derivirana_varijabla naziv="DomainObject.Predmet.ProtuStrankaListFormatedWithAdressOIB_1">
      <item>DOBRA ANĐELA d.o.o., OIB 94887290854, Livadarski put 21, 10360 Sesvete</item>
    </derivirana_varijabla>
  </DomainObject.Predmet.ProtuStrankaListFormatedWithAdressOIB>
  <DomainObject.Predmet.ProtuStrankaListNazivFormated>
    <izvorni_sadrzaj>
      <item>DOBRA ANĐELA d.o.o.</item>
    </izvorni_sadrzaj>
    <derivirana_varijabla naziv="DomainObject.Predmet.ProtuStrankaListNazivFormated_1">
      <item>DOBRA ANĐELA d.o.o.</item>
    </derivirana_varijabla>
  </DomainObject.Predmet.ProtuStrankaListNazivFormated>
  <DomainObject.Predmet.ProtuStrankaListNazivFormatedOIB>
    <izvorni_sadrzaj>
      <item>DOBRA ANĐELA d.o.o., OIB 94887290854</item>
    </izvorni_sadrzaj>
    <derivirana_varijabla naziv="DomainObject.Predmet.ProtuStrankaListNazivFormatedOIB_1">
      <item>DOBRA ANĐELA d.o.o., OIB 94887290854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prosinca 2017.</izvorni_sadrzaj>
    <derivirana_varijabla naziv="DomainObject.Datum_1">1. prosinca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DOBRA ANĐELA d.o.o.</izvorni_sadrzaj>
    <derivirana_varijabla naziv="DomainObject.Predmet.ProtustrankaIDrugi_1">DOBRA ANĐELA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DOBRA ANĐELA d.o.o., OIB 94887290854, Livadarski put 21, 10360 Sesvete</izvorni_sadrzaj>
    <derivirana_varijabla naziv="DomainObject.Predmet.ProtustrankaIDrugiAdressOIB_1">DOBRA ANĐELA d.o.o., OIB 94887290854, Livadarski put 21,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DOBRA ANĐELA d.o.o.</item>
      <item>FINA Regionalni centar Zagreb</item>
    </izvorni_sadrzaj>
    <derivirana_varijabla naziv="DomainObject.Predmet.SudioniciListNaziv_1">
      <item>DOBRA ANĐELA d.o.o.</item>
      <item>FINA Regionalni centar Zagreb</item>
    </derivirana_varijabla>
  </DomainObject.Predmet.SudioniciListNaziv>
  <DomainObject.Predmet.SudioniciListAdressOIB>
    <izvorni_sadrzaj>
      <item>DOBRA ANĐELA d.o.o., OIB 94887290854, Livadarski put 21,10360 Sesvete</item>
      <item>FINA Regionalni centar Zagreb, OIB 85821130368, Trg svibanjskih žrtava 1995. 1,10000 Zagreb</item>
    </izvorni_sadrzaj>
    <derivirana_varijabla naziv="DomainObject.Predmet.SudioniciListAdressOIB_1">
      <item>DOBRA ANĐELA d.o.o., OIB 94887290854, Livadarski put 21,10360 Sesvete</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94887290854</item>
      <item>, OIB 85821130368</item>
    </izvorni_sadrzaj>
    <derivirana_varijabla naziv="DomainObject.Predmet.SudioniciListNazivOIB_1">
      <item>, OIB 94887290854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683</properties:Words>
  <properties:Characters>3780</properties:Characters>
  <properties:Lines>92</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2017-12-01T10:57:00Z</dcterms:created>
  <dc:creator>Teuta Klinžić Zajec</dc:creator>
  <cp:lastModifiedBy>Nikolina Krunić</cp:lastModifiedBy>
  <cp:lastPrinted>2017-12-01T12:29:00Z</cp:lastPrinted>
  <dcterms:modified xmlns:xsi="http://www.w3.org/2001/XMLSchema-instance" xsi:type="dcterms:W3CDTF">2017-12-01T12:30:00Z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