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A253E" w:rsidR="00A16EB9" w:rsidP="00DF7481" w:rsidRDefault="00BA7C42" w14:paraId="d09acd4" w14:textId="d09acd4">
      <w:pPr>
        <w:jc w:val="center"/>
        <w15:collapsed w:val="false"/>
        <w:rPr>
          <w:rFonts w:ascii="Times New Roman" w:hAnsi="Times New Roman"/>
          <w:b/>
          <w:color w:val="1D1B11"/>
          <w:sz w:val="24"/>
        </w:rPr>
      </w:pPr>
      <w:bookmarkStart w:name="_GoBack" w:id="0"/>
      <w:bookmarkEnd w:id="0"/>
      <w:r w:rsidRPr="00BA253E">
        <w:rPr>
          <w:rFonts w:ascii="Times New Roman" w:hAnsi="Times New Roman"/>
          <w:b/>
          <w:color w:val="1D1B11"/>
          <w:sz w:val="24"/>
        </w:rPr>
        <w:t>Obrazac 20.</w:t>
      </w:r>
    </w:p>
    <w:p w:rsidRPr="00BA253E" w:rsidR="00DF7481" w:rsidP="00DF7481" w:rsidRDefault="00DF7481">
      <w:pPr>
        <w:jc w:val="center"/>
        <w:rPr>
          <w:rFonts w:ascii="Times New Roman" w:hAnsi="Times New Roman"/>
          <w:b/>
          <w:color w:val="1D1B11"/>
          <w:sz w:val="24"/>
        </w:rPr>
      </w:pPr>
      <w:r w:rsidRPr="00BA253E">
        <w:rPr>
          <w:rFonts w:ascii="Times New Roman" w:hAnsi="Times New Roman"/>
          <w:b/>
          <w:color w:val="1D1B11"/>
          <w:sz w:val="24"/>
        </w:rPr>
        <w:t xml:space="preserve">IZVJEŠĆE </w:t>
      </w:r>
      <w:r w:rsidRPr="00BA253E">
        <w:rPr>
          <w:rFonts w:ascii="Times New Roman" w:hAnsi="Times New Roman"/>
          <w:b/>
          <w:color w:val="1D1B11"/>
          <w:sz w:val="24"/>
          <w:szCs w:val="24"/>
        </w:rPr>
        <w:t>STEČAJNOGA</w:t>
      </w:r>
      <w:r w:rsidRPr="00BA253E">
        <w:rPr>
          <w:rFonts w:ascii="Times New Roman" w:hAnsi="Times New Roman"/>
          <w:b/>
          <w:color w:val="1D1B11"/>
          <w:sz w:val="24"/>
        </w:rPr>
        <w:t xml:space="preserve"> UPRAVITELJA O TIJEKU </w:t>
      </w:r>
      <w:r w:rsidRPr="00BA253E">
        <w:rPr>
          <w:rFonts w:ascii="Times New Roman" w:hAnsi="Times New Roman"/>
          <w:b/>
          <w:color w:val="1D1B11"/>
          <w:sz w:val="24"/>
          <w:szCs w:val="24"/>
        </w:rPr>
        <w:t>STEČAJNOGA</w:t>
      </w:r>
      <w:r w:rsidRPr="00BA253E">
        <w:rPr>
          <w:rFonts w:ascii="Times New Roman" w:hAnsi="Times New Roman"/>
          <w:b/>
          <w:color w:val="1D1B11"/>
          <w:sz w:val="24"/>
        </w:rPr>
        <w:t xml:space="preserve"> POSTUPKA I STANJU STEČAJNE MASE</w:t>
      </w:r>
    </w:p>
    <w:p w:rsidRPr="00BA253E" w:rsidR="00DF7481" w:rsidP="00DF7481" w:rsidRDefault="00DF7481">
      <w:pPr>
        <w:jc w:val="center"/>
        <w:rPr>
          <w:rFonts w:ascii="Times New Roman" w:hAnsi="Times New Roman"/>
          <w:color w:val="1D1B11"/>
          <w:sz w:val="24"/>
        </w:rPr>
      </w:pPr>
    </w:p>
    <w:p w:rsidRPr="00BA253E" w:rsidR="00DF7481" w:rsidP="00DF7481" w:rsidRDefault="00DF7481">
      <w:pPr>
        <w:jc w:val="both"/>
        <w:rPr>
          <w:rFonts w:ascii="Times New Roman" w:hAnsi="Times New Roman"/>
          <w:color w:val="1D1B11"/>
          <w:sz w:val="24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Nadle</w:t>
      </w:r>
      <w:r w:rsidRPr="00BA253E">
        <w:rPr>
          <w:rFonts w:ascii="Times New Roman" w:hAnsi="Times New Roman"/>
          <w:color w:val="1D1B11"/>
          <w:sz w:val="24"/>
        </w:rPr>
        <w:t>ž</w:t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ni</w:t>
      </w:r>
      <w:r w:rsidRPr="00BA253E">
        <w:rPr>
          <w:rFonts w:ascii="Times New Roman" w:hAnsi="Times New Roman"/>
          <w:color w:val="1D1B11"/>
          <w:sz w:val="24"/>
        </w:rPr>
        <w:t xml:space="preserve"> </w:t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trgova</w:t>
      </w:r>
      <w:r w:rsidRPr="00BA253E">
        <w:rPr>
          <w:rFonts w:ascii="Times New Roman" w:hAnsi="Times New Roman"/>
          <w:color w:val="1D1B11"/>
          <w:sz w:val="24"/>
        </w:rPr>
        <w:t>č</w:t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ki</w:t>
      </w:r>
      <w:r w:rsidRPr="00BA253E">
        <w:rPr>
          <w:rFonts w:ascii="Times New Roman" w:hAnsi="Times New Roman"/>
          <w:color w:val="1D1B11"/>
          <w:sz w:val="24"/>
        </w:rPr>
        <w:t xml:space="preserve"> </w:t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sud: Trgovački sud</w:t>
      </w:r>
      <w:r w:rsidRPr="00BA253E">
        <w:rPr>
          <w:rFonts w:ascii="Times New Roman" w:hAnsi="Times New Roman"/>
          <w:color w:val="1D1B11"/>
          <w:sz w:val="24"/>
        </w:rPr>
        <w:t xml:space="preserve"> u Zagrebu</w:t>
      </w:r>
    </w:p>
    <w:p w:rsidRPr="00BA253E" w:rsidR="00DF7481" w:rsidP="00DF7481" w:rsidRDefault="00DF7481">
      <w:p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 xml:space="preserve">Poslovni broj spisa </w:t>
      </w:r>
      <w:r w:rsidRPr="00BA253E">
        <w:rPr>
          <w:rFonts w:ascii="Times New Roman" w:hAnsi="Times New Roman"/>
          <w:bCs/>
          <w:sz w:val="24"/>
          <w:szCs w:val="24"/>
        </w:rPr>
        <w:t>St-1936/17</w:t>
      </w:r>
    </w:p>
    <w:p w:rsidRPr="00BA253E" w:rsidR="00DF7481" w:rsidP="00DF7481" w:rsidRDefault="00DF7481">
      <w:pPr>
        <w:jc w:val="both"/>
        <w:rPr>
          <w:rFonts w:ascii="Times New Roman" w:hAnsi="Times New Roman"/>
          <w:b/>
          <w:sz w:val="24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 xml:space="preserve">Dužnik (ime i prezime / tvrtka ili naziv, OIB, adresa / sjedište): </w:t>
      </w:r>
      <w:r w:rsidRPr="00BA253E">
        <w:rPr>
          <w:rFonts w:ascii="Times New Roman" w:hAnsi="Times New Roman"/>
          <w:sz w:val="24"/>
        </w:rPr>
        <w:t xml:space="preserve">Stečajna masa iza stečajnog dužnika GRUPA AURORA d.o.o., Zagreb, Ulica grada Chicaga 18, MBS: 081170738, OIB: </w:t>
      </w:r>
      <w:r w:rsidRPr="00BA253E">
        <w:rPr>
          <w:rFonts w:ascii="Times New Roman" w:hAnsi="Times New Roman"/>
          <w:sz w:val="24"/>
          <w:szCs w:val="16"/>
          <w:shd w:val="clear" w:color="auto" w:fill="F8F8F8"/>
        </w:rPr>
        <w:t>74806888539</w:t>
      </w:r>
    </w:p>
    <w:p w:rsidRPr="00BA253E" w:rsidR="00DF7481" w:rsidP="00DF7481" w:rsidRDefault="00DF7481">
      <w:pPr>
        <w:rPr>
          <w:rFonts w:ascii="Times New Roman" w:hAnsi="Times New Roman"/>
          <w:color w:val="1D1B11"/>
          <w:sz w:val="24"/>
          <w:szCs w:val="24"/>
          <w:lang w:val="pl-PL"/>
        </w:rPr>
      </w:pPr>
    </w:p>
    <w:p w:rsidRPr="00BA253E" w:rsidR="00DF7481" w:rsidP="00DF7481" w:rsidRDefault="00DF7481">
      <w:pPr>
        <w:jc w:val="center"/>
        <w:rPr>
          <w:rFonts w:ascii="Times New Roman" w:hAnsi="Times New Roman"/>
          <w:color w:val="1D1B11"/>
          <w:sz w:val="24"/>
          <w:szCs w:val="24"/>
          <w:lang w:val="pl-PL"/>
        </w:rPr>
      </w:pPr>
    </w:p>
    <w:p w:rsidRPr="00BA253E" w:rsidR="00DF7481" w:rsidP="00DF7481" w:rsidRDefault="00DF7481">
      <w:p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I.  TIJEK STEČAJNOGA POSTUPKA U RAZDOBLJU OD 15.05.2019. DO 19.07.2019. godine</w:t>
      </w:r>
    </w:p>
    <w:p w:rsidRPr="00BA253E" w:rsidR="00DF7481" w:rsidP="00DF7481" w:rsidRDefault="00DF7481">
      <w:p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U razdoblju od održavanja ispitnog i izvještajnog ročišta 15. svibnja 2019. godine stečajni upravitelj je nastojao stupiti u kontakt sa odgovornom osobom stečajnog dužnika radi utvrđivanja činjenica gdje se nalaze, u kojemu su stanju i radi preuzimanja u posjed stečajne mase.</w:t>
      </w:r>
    </w:p>
    <w:p w:rsidRPr="00BA253E" w:rsidR="00DF7481" w:rsidP="00DF7481" w:rsidRDefault="00DF7481">
      <w:p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</w:p>
    <w:p w:rsidRPr="00BA253E" w:rsidR="00DF7481" w:rsidP="00DF7481" w:rsidRDefault="00DF7481">
      <w:pPr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II. STANJE STEČAJNE MASE</w:t>
      </w:r>
    </w:p>
    <w:p w:rsidRPr="00BA253E" w:rsidR="00DF7481" w:rsidP="00DF7481" w:rsidRDefault="00DF7481">
      <w:pPr>
        <w:numPr>
          <w:ilvl w:val="0"/>
          <w:numId w:val="1"/>
        </w:num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sustavan pregled predmeta stečajne mase s početka razdoblja izvješća prema članku 223. Stečajnog zakona.</w:t>
      </w:r>
    </w:p>
    <w:p w:rsidRPr="00BA253E" w:rsidR="00DF7481" w:rsidP="00DF7481" w:rsidRDefault="00DF7481">
      <w:pPr>
        <w:ind w:left="720"/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Stečajnu masu sačinjavaju slijedeće pokretnine:</w:t>
      </w:r>
    </w:p>
    <w:p w:rsidRPr="00BA253E" w:rsidR="00DF7481" w:rsidP="00DF7481" w:rsidRDefault="00DF7481">
      <w:pPr>
        <w:ind w:left="720"/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sz w:val="24"/>
          <w:szCs w:val="20"/>
        </w:rPr>
        <w:t>inventar procijenjene vrijednosti 0,00 kn sukladno nalazu i mišljenju vještaka</w:t>
      </w:r>
      <w:r w:rsidRPr="00BA253E">
        <w:rPr>
          <w:rFonts w:ascii="Times New Roman" w:hAnsi="Times New Roman" w:cs="Calibri"/>
          <w:color w:val="1D1B11"/>
          <w:sz w:val="24"/>
        </w:rPr>
        <w:t xml:space="preserve">. </w:t>
      </w:r>
    </w:p>
    <w:p w:rsidRPr="00BA253E" w:rsidR="00DF7481" w:rsidP="00DF7481" w:rsidRDefault="00DF7481">
      <w:pPr>
        <w:numPr>
          <w:ilvl w:val="0"/>
          <w:numId w:val="1"/>
        </w:num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dati podatak koji su predmeti stečajne mase unovčeni i u kojem iznosu</w:t>
      </w:r>
    </w:p>
    <w:p w:rsidRPr="00BA253E" w:rsidR="00DF7481" w:rsidP="00DF7481" w:rsidRDefault="00DF7481">
      <w:pPr>
        <w:ind w:left="720"/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</w:p>
    <w:p w:rsidRPr="00BA253E" w:rsidR="00DF7481" w:rsidP="00DF7481" w:rsidRDefault="00DF7481">
      <w:pPr>
        <w:numPr>
          <w:ilvl w:val="0"/>
          <w:numId w:val="1"/>
        </w:num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dati podatak koji predmeti stečajne mase nisu unovčeni i zbog kojeg razloga</w:t>
      </w:r>
    </w:p>
    <w:p w:rsidRPr="00BA253E" w:rsidR="00DF7481" w:rsidP="00DF7481" w:rsidRDefault="00DF7481">
      <w:pPr>
        <w:ind w:left="720"/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Predmeti stečajne mase nisu unovčeni iz razloga što nisu u posjedu stečajne upraviteljice.</w:t>
      </w:r>
    </w:p>
    <w:p w:rsidRPr="00BA253E" w:rsidR="00DF7481" w:rsidP="00DF7481" w:rsidRDefault="00DF7481">
      <w:pPr>
        <w:numPr>
          <w:ilvl w:val="0"/>
          <w:numId w:val="1"/>
        </w:num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 xml:space="preserve">dati podatak o tome kako je ostvareno razlučno pravo, ako ono postoji </w:t>
      </w:r>
    </w:p>
    <w:p w:rsidRPr="00BA253E" w:rsidR="00DF7481" w:rsidP="00DF7481" w:rsidRDefault="00DF7481">
      <w:pPr>
        <w:ind w:left="720"/>
        <w:jc w:val="both"/>
        <w:rPr>
          <w:rFonts w:ascii="Times New Roman" w:hAnsi="Times New Roman"/>
          <w:color w:val="1D1B11"/>
          <w:sz w:val="24"/>
        </w:rPr>
      </w:pPr>
    </w:p>
    <w:p w:rsidRPr="00BA253E" w:rsidR="00DF7481" w:rsidP="00DF7481" w:rsidRDefault="00DF7481">
      <w:pPr>
        <w:numPr>
          <w:ilvl w:val="0"/>
          <w:numId w:val="1"/>
        </w:num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dati podatak o tome kako je ostvareno izlučno pravo, ako ono postoji</w:t>
      </w:r>
    </w:p>
    <w:p w:rsidRPr="00BA253E" w:rsidR="00DF7481" w:rsidP="00DF7481" w:rsidRDefault="00DF7481">
      <w:pPr>
        <w:numPr>
          <w:ilvl w:val="0"/>
          <w:numId w:val="1"/>
        </w:num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dati podatak o vjerovnicima stečajne mase i njihovom namirenju</w:t>
      </w:r>
    </w:p>
    <w:tbl>
      <w:tblPr>
        <w:tblW w:w="8640" w:type="dxa"/>
        <w:tblInd w:w="-162" w:type="dxa"/>
        <w:tblBorders>
          <w:top w:val="nil"/>
          <w:left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7002"/>
        <w:gridCol w:w="1638"/>
      </w:tblGrid>
      <w:tr w:rsidRPr="00BA253E" w:rsidR="00DF7481">
        <w:tc>
          <w:tcPr>
            <w:tcW w:w="7002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Pr="00BA253E" w:rsidR="00DF7481" w:rsidP="00DF7481" w:rsidRDefault="00DF7481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cs="Trebuchet MS"/>
                <w:b/>
                <w:bCs/>
                <w:color w:val="1D1B11"/>
                <w:sz w:val="24"/>
              </w:rPr>
            </w:pPr>
            <w:r w:rsidRPr="00BA253E">
              <w:rPr>
                <w:rFonts w:ascii="Times New Roman" w:hAnsi="Times New Roman" w:cs="Trebuchet MS"/>
                <w:b/>
                <w:bCs/>
                <w:color w:val="1D1B11"/>
                <w:sz w:val="24"/>
              </w:rPr>
              <w:t>Materijalni troškovi:</w:t>
            </w:r>
          </w:p>
        </w:tc>
        <w:tc>
          <w:tcPr>
            <w:tcW w:w="1638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Pr="00BA253E" w:rsidR="00DF7481" w:rsidRDefault="00DF7481">
            <w:pPr>
              <w:widowControl w:val="false"/>
              <w:autoSpaceDE w:val="false"/>
              <w:autoSpaceDN w:val="false"/>
              <w:adjustRightInd w:val="false"/>
              <w:jc w:val="right"/>
              <w:rPr>
                <w:rFonts w:ascii="Times New Roman" w:hAnsi="Times New Roman" w:cs="Trebuchet MS"/>
                <w:b/>
                <w:bCs/>
                <w:color w:val="1D1B11"/>
                <w:sz w:val="24"/>
              </w:rPr>
            </w:pPr>
          </w:p>
        </w:tc>
      </w:tr>
      <w:tr w:rsidRPr="00BA253E" w:rsidR="00DF7481">
        <w:tblPrEx>
          <w:tblBorders>
            <w:top w:val="none" w:color="auto" w:sz="0" w:space="0"/>
          </w:tblBorders>
        </w:tblPrEx>
        <w:tc>
          <w:tcPr>
            <w:tcW w:w="7002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Pr="00BA253E" w:rsidR="00DF7481" w:rsidP="00DF7481" w:rsidRDefault="00DF7481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cs="Helvetica"/>
                <w:color w:val="1D1B11"/>
                <w:sz w:val="24"/>
              </w:rPr>
            </w:pPr>
            <w:r w:rsidRPr="00BA253E">
              <w:rPr>
                <w:rFonts w:ascii="Times New Roman" w:hAnsi="Times New Roman" w:cs="Trebuchet MS"/>
                <w:color w:val="1D1B11"/>
                <w:sz w:val="24"/>
              </w:rPr>
              <w:t xml:space="preserve">               izrada pečata</w:t>
            </w:r>
          </w:p>
        </w:tc>
        <w:tc>
          <w:tcPr>
            <w:tcW w:w="1638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Pr="00BA253E" w:rsidR="00DF7481" w:rsidP="00DF7481" w:rsidRDefault="00DF7481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cs="Helvetica"/>
                <w:color w:val="1D1B11"/>
                <w:sz w:val="24"/>
              </w:rPr>
            </w:pPr>
            <w:r w:rsidRPr="00BA253E">
              <w:rPr>
                <w:rFonts w:ascii="Times New Roman" w:hAnsi="Times New Roman" w:cs="Trebuchet MS"/>
                <w:color w:val="1D1B11"/>
                <w:sz w:val="24"/>
              </w:rPr>
              <w:t xml:space="preserve">   150,00 kn</w:t>
            </w:r>
          </w:p>
        </w:tc>
      </w:tr>
      <w:tr w:rsidRPr="00BA253E" w:rsidR="00DF7481">
        <w:tblPrEx>
          <w:tblBorders>
            <w:top w:val="none" w:color="auto" w:sz="0" w:space="0"/>
          </w:tblBorders>
        </w:tblPrEx>
        <w:tc>
          <w:tcPr>
            <w:tcW w:w="7002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Pr="00BA253E" w:rsidR="00DF7481" w:rsidRDefault="00DF7481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cs="Helvetica"/>
                <w:color w:val="1D1B11"/>
                <w:sz w:val="24"/>
              </w:rPr>
            </w:pPr>
            <w:r w:rsidRPr="00BA253E">
              <w:rPr>
                <w:rFonts w:ascii="Times New Roman" w:hAnsi="Times New Roman" w:cs="Trebuchet MS"/>
                <w:color w:val="1D1B11"/>
                <w:sz w:val="24"/>
              </w:rPr>
              <w:t xml:space="preserve">               ovjera potpisa za sudski registar</w:t>
            </w:r>
          </w:p>
        </w:tc>
        <w:tc>
          <w:tcPr>
            <w:tcW w:w="1638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Pr="00BA253E" w:rsidR="00DF7481" w:rsidP="00DF7481" w:rsidRDefault="00DF7481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cs="Helvetica"/>
                <w:color w:val="1D1B11"/>
                <w:sz w:val="24"/>
              </w:rPr>
            </w:pPr>
            <w:r w:rsidRPr="00BA253E">
              <w:rPr>
                <w:rFonts w:ascii="Times New Roman" w:hAnsi="Times New Roman" w:cs="Trebuchet MS"/>
                <w:color w:val="1D1B11"/>
                <w:sz w:val="24"/>
              </w:rPr>
              <w:t xml:space="preserve">     47,50 kn</w:t>
            </w:r>
          </w:p>
        </w:tc>
      </w:tr>
      <w:tr w:rsidRPr="00BA253E" w:rsidR="00DF7481">
        <w:tblPrEx>
          <w:tblBorders>
            <w:top w:val="none" w:color="auto" w:sz="0" w:space="0"/>
          </w:tblBorders>
        </w:tblPrEx>
        <w:tc>
          <w:tcPr>
            <w:tcW w:w="7002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Pr="00BA253E" w:rsidR="00DF7481" w:rsidP="00DF7481" w:rsidRDefault="00DF7481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cs="Helvetica"/>
                <w:color w:val="1D1B11"/>
                <w:sz w:val="24"/>
              </w:rPr>
            </w:pPr>
            <w:r w:rsidRPr="00BA253E">
              <w:rPr>
                <w:rFonts w:ascii="Times New Roman" w:hAnsi="Times New Roman" w:cs="Trebuchet MS"/>
                <w:color w:val="1D1B11"/>
                <w:sz w:val="24"/>
              </w:rPr>
              <w:t xml:space="preserve">               poštarina</w:t>
            </w:r>
          </w:p>
        </w:tc>
        <w:tc>
          <w:tcPr>
            <w:tcW w:w="1638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Pr="00BA253E" w:rsidR="00DF7481" w:rsidP="00DF7481" w:rsidRDefault="00DF7481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cs="Helvetica"/>
                <w:color w:val="1D1B11"/>
                <w:sz w:val="24"/>
              </w:rPr>
            </w:pPr>
            <w:r w:rsidRPr="00BA253E">
              <w:rPr>
                <w:rFonts w:ascii="Times New Roman" w:hAnsi="Times New Roman" w:cs="Trebuchet MS"/>
                <w:color w:val="1D1B11"/>
                <w:sz w:val="24"/>
              </w:rPr>
              <w:t xml:space="preserve">     </w:t>
            </w:r>
            <w:r w:rsidRPr="00BA253E">
              <w:rPr>
                <w:rFonts w:ascii="Times New Roman" w:hAnsi="Times New Roman"/>
                <w:sz w:val="24"/>
              </w:rPr>
              <w:t xml:space="preserve">27,60 </w:t>
            </w:r>
            <w:r w:rsidRPr="00BA253E">
              <w:rPr>
                <w:rFonts w:ascii="Times New Roman" w:hAnsi="Times New Roman" w:cs="Trebuchet MS"/>
                <w:color w:val="1D1B11"/>
                <w:sz w:val="24"/>
              </w:rPr>
              <w:t>kn</w:t>
            </w:r>
          </w:p>
        </w:tc>
      </w:tr>
      <w:tr w:rsidRPr="00BA253E" w:rsidR="00DF7481">
        <w:tblPrEx>
          <w:tblBorders>
            <w:top w:val="none" w:color="auto" w:sz="0" w:space="0"/>
          </w:tblBorders>
        </w:tblPrEx>
        <w:tc>
          <w:tcPr>
            <w:tcW w:w="7002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Pr="00BA253E" w:rsidR="00DF7481" w:rsidP="00DF7481" w:rsidRDefault="00DF7481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cs="Helvetica"/>
                <w:color w:val="1D1B11"/>
                <w:sz w:val="24"/>
              </w:rPr>
            </w:pPr>
            <w:r w:rsidRPr="00BA253E">
              <w:rPr>
                <w:rFonts w:ascii="Times New Roman" w:hAnsi="Times New Roman" w:cs="Trebuchet MS"/>
                <w:color w:val="1D1B11"/>
                <w:sz w:val="24"/>
              </w:rPr>
              <w:t xml:space="preserve">               Troškovi prijevoza </w:t>
            </w:r>
          </w:p>
        </w:tc>
        <w:tc>
          <w:tcPr>
            <w:tcW w:w="1638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Pr="00BA253E" w:rsidR="00DF7481" w:rsidP="00DF7481" w:rsidRDefault="00DF7481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cs="Helvetica"/>
                <w:color w:val="1D1B11"/>
                <w:sz w:val="24"/>
              </w:rPr>
            </w:pPr>
            <w:r w:rsidRPr="00BA253E">
              <w:rPr>
                <w:rFonts w:ascii="Times New Roman" w:hAnsi="Times New Roman" w:cs="Trebuchet MS"/>
                <w:color w:val="1D1B11"/>
                <w:sz w:val="24"/>
              </w:rPr>
              <w:t xml:space="preserve">     200,00 kn</w:t>
            </w:r>
          </w:p>
        </w:tc>
      </w:tr>
    </w:tbl>
    <w:p w:rsidRPr="00BA253E" w:rsidR="00DF7481" w:rsidP="00DF7481" w:rsidRDefault="00DF7481">
      <w:pPr>
        <w:pStyle w:val="Obojanipopis-Isticanje11"/>
        <w:rPr>
          <w:rFonts w:ascii="Times New Roman" w:hAnsi="Times New Roman"/>
          <w:color w:val="1D1B11"/>
          <w:sz w:val="24"/>
        </w:rPr>
      </w:pPr>
      <w:r w:rsidRPr="00BA253E">
        <w:rPr>
          <w:rFonts w:ascii="Times New Roman" w:hAnsi="Times New Roman"/>
          <w:color w:val="1D1B11"/>
          <w:sz w:val="24"/>
        </w:rPr>
        <w:tab/>
      </w:r>
      <w:r w:rsidRPr="00BA253E">
        <w:rPr>
          <w:rFonts w:ascii="Times New Roman" w:hAnsi="Times New Roman"/>
          <w:color w:val="1D1B11"/>
          <w:sz w:val="24"/>
        </w:rPr>
        <w:tab/>
      </w:r>
      <w:r w:rsidRPr="00BA253E">
        <w:rPr>
          <w:rFonts w:ascii="Times New Roman" w:hAnsi="Times New Roman"/>
          <w:color w:val="1D1B11"/>
          <w:sz w:val="24"/>
        </w:rPr>
        <w:tab/>
      </w:r>
      <w:r w:rsidRPr="00BA253E">
        <w:rPr>
          <w:rFonts w:ascii="Times New Roman" w:hAnsi="Times New Roman"/>
          <w:color w:val="1D1B11"/>
          <w:sz w:val="24"/>
        </w:rPr>
        <w:tab/>
      </w:r>
      <w:r w:rsidRPr="00BA253E">
        <w:rPr>
          <w:rFonts w:ascii="Times New Roman" w:hAnsi="Times New Roman"/>
          <w:color w:val="1D1B11"/>
          <w:sz w:val="24"/>
        </w:rPr>
        <w:tab/>
      </w:r>
      <w:r w:rsidRPr="00BA253E">
        <w:rPr>
          <w:rFonts w:ascii="Times New Roman" w:hAnsi="Times New Roman"/>
          <w:color w:val="1D1B11"/>
          <w:sz w:val="24"/>
        </w:rPr>
        <w:tab/>
      </w:r>
      <w:r w:rsidRPr="00BA253E">
        <w:rPr>
          <w:rFonts w:ascii="Times New Roman" w:hAnsi="Times New Roman"/>
          <w:color w:val="1D1B11"/>
          <w:sz w:val="24"/>
        </w:rPr>
        <w:tab/>
      </w:r>
      <w:r w:rsidRPr="00BA253E">
        <w:rPr>
          <w:rFonts w:ascii="Times New Roman" w:hAnsi="Times New Roman"/>
          <w:color w:val="1D1B11"/>
          <w:sz w:val="24"/>
        </w:rPr>
        <w:tab/>
        <w:t xml:space="preserve">           425,10 kn</w:t>
      </w:r>
    </w:p>
    <w:p w:rsidRPr="00BA253E" w:rsidR="00DF7481" w:rsidP="00DF7481" w:rsidRDefault="00DF7481">
      <w:pPr>
        <w:pStyle w:val="Obojanipopis-Isticanje11"/>
        <w:jc w:val="both"/>
        <w:rPr>
          <w:rFonts w:ascii="Times New Roman" w:hAnsi="Times New Roman" w:cs="Calibri"/>
          <w:b/>
          <w:color w:val="1D1B11"/>
          <w:sz w:val="24"/>
        </w:rPr>
      </w:pPr>
      <w:r w:rsidRPr="00BA253E">
        <w:rPr>
          <w:rFonts w:ascii="Times New Roman" w:hAnsi="Times New Roman" w:cs="Calibri"/>
          <w:b/>
          <w:color w:val="1D1B11"/>
          <w:sz w:val="24"/>
        </w:rPr>
        <w:t>Ostale obveze stečajne mase:</w:t>
      </w:r>
    </w:p>
    <w:tbl>
      <w:tblPr>
        <w:tblW w:w="8549" w:type="dxa"/>
        <w:tblInd w:w="-162" w:type="dxa"/>
        <w:tblBorders>
          <w:left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6928"/>
        <w:gridCol w:w="1621"/>
      </w:tblGrid>
      <w:tr w:rsidRPr="00BA253E" w:rsidR="00DF7481">
        <w:trPr>
          <w:trHeight w:val="462"/>
        </w:trPr>
        <w:tc>
          <w:tcPr>
            <w:tcW w:w="6928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Pr="00BA253E" w:rsidR="00DF7481" w:rsidRDefault="00DF7481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cs="Helvetica"/>
                <w:color w:val="1D1B11"/>
                <w:sz w:val="24"/>
              </w:rPr>
            </w:pPr>
            <w:r w:rsidRPr="00BA253E">
              <w:rPr>
                <w:rFonts w:ascii="Times New Roman" w:hAnsi="Times New Roman" w:cs="Trebuchet MS"/>
                <w:color w:val="1D1B11"/>
                <w:sz w:val="24"/>
              </w:rPr>
              <w:t xml:space="preserve">               usluge knjigovodstvenog servisa za cjelokupno poslovanje od dana otvaranja do zaključenja stečajnog postupka</w:t>
            </w:r>
          </w:p>
        </w:tc>
        <w:tc>
          <w:tcPr>
            <w:tcW w:w="1621" w:type="dxa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Pr="00BA253E" w:rsidR="00DF7481" w:rsidP="00DF7481" w:rsidRDefault="00DF7481">
            <w:pPr>
              <w:widowControl w:val="false"/>
              <w:autoSpaceDE w:val="false"/>
              <w:autoSpaceDN w:val="false"/>
              <w:adjustRightInd w:val="false"/>
              <w:rPr>
                <w:rFonts w:ascii="Times New Roman" w:hAnsi="Times New Roman" w:cs="Helvetica"/>
                <w:color w:val="1D1B11"/>
                <w:sz w:val="24"/>
              </w:rPr>
            </w:pPr>
            <w:r w:rsidRPr="00BA253E">
              <w:rPr>
                <w:rFonts w:ascii="Times New Roman" w:hAnsi="Times New Roman" w:cs="Trebuchet MS"/>
                <w:color w:val="1D1B11"/>
                <w:sz w:val="24"/>
              </w:rPr>
              <w:t xml:space="preserve">    </w:t>
            </w:r>
            <w:r w:rsidRPr="00BA253E">
              <w:rPr>
                <w:rFonts w:ascii="Times New Roman" w:hAnsi="Times New Roman"/>
                <w:sz w:val="24"/>
              </w:rPr>
              <w:t xml:space="preserve">1.500,00 </w:t>
            </w:r>
            <w:r w:rsidRPr="00BA253E">
              <w:rPr>
                <w:rFonts w:ascii="Times New Roman" w:hAnsi="Times New Roman" w:cs="Trebuchet MS"/>
                <w:color w:val="1D1B11"/>
                <w:sz w:val="24"/>
              </w:rPr>
              <w:t>kn</w:t>
            </w:r>
          </w:p>
        </w:tc>
      </w:tr>
    </w:tbl>
    <w:p w:rsidRPr="00BA253E" w:rsidR="00DF7481" w:rsidP="00DF7481" w:rsidRDefault="00DF7481">
      <w:pPr>
        <w:jc w:val="both"/>
        <w:rPr>
          <w:rFonts w:ascii="Times New Roman" w:hAnsi="Times New Roman" w:cs="Calibri"/>
          <w:color w:val="1D1B11"/>
          <w:sz w:val="24"/>
        </w:rPr>
      </w:pPr>
    </w:p>
    <w:p w:rsidRPr="00BA253E" w:rsidR="00DF7481" w:rsidP="00DF7481" w:rsidRDefault="00DF7481">
      <w:pPr>
        <w:pStyle w:val="Obojanipopis-Isticanje11"/>
        <w:rPr>
          <w:rFonts w:ascii="Times New Roman" w:hAnsi="Times New Roman" w:cs="Calibri"/>
          <w:color w:val="1D1B11"/>
          <w:sz w:val="24"/>
        </w:rPr>
      </w:pPr>
      <w:r w:rsidRPr="00BA253E">
        <w:rPr>
          <w:rFonts w:ascii="Times New Roman" w:hAnsi="Times New Roman" w:cs="Calibri"/>
          <w:color w:val="1D1B11"/>
          <w:sz w:val="24"/>
        </w:rPr>
        <w:lastRenderedPageBreak/>
        <w:t>Ukupno:</w:t>
      </w:r>
      <w:r w:rsidRPr="00BA253E">
        <w:rPr>
          <w:rFonts w:ascii="Times New Roman" w:hAnsi="Times New Roman" w:cs="Calibri"/>
          <w:color w:val="1D1B11"/>
          <w:sz w:val="24"/>
        </w:rPr>
        <w:tab/>
      </w:r>
      <w:r w:rsidRPr="00BA253E">
        <w:rPr>
          <w:rFonts w:ascii="Times New Roman" w:hAnsi="Times New Roman" w:cs="Calibri"/>
          <w:color w:val="1D1B11"/>
          <w:sz w:val="24"/>
        </w:rPr>
        <w:tab/>
      </w:r>
      <w:r w:rsidRPr="00BA253E">
        <w:rPr>
          <w:rFonts w:ascii="Times New Roman" w:hAnsi="Times New Roman" w:cs="Calibri"/>
          <w:color w:val="1D1B11"/>
          <w:sz w:val="24"/>
        </w:rPr>
        <w:tab/>
      </w:r>
      <w:r w:rsidRPr="00BA253E">
        <w:rPr>
          <w:rFonts w:ascii="Times New Roman" w:hAnsi="Times New Roman" w:cs="Calibri"/>
          <w:color w:val="1D1B11"/>
          <w:sz w:val="24"/>
        </w:rPr>
        <w:tab/>
      </w:r>
      <w:r w:rsidRPr="00BA253E">
        <w:rPr>
          <w:rFonts w:ascii="Times New Roman" w:hAnsi="Times New Roman" w:cs="Calibri"/>
          <w:color w:val="1D1B11"/>
          <w:sz w:val="24"/>
        </w:rPr>
        <w:tab/>
      </w:r>
      <w:r w:rsidRPr="00BA253E">
        <w:rPr>
          <w:rFonts w:ascii="Times New Roman" w:hAnsi="Times New Roman" w:cs="Calibri"/>
          <w:color w:val="1D1B11"/>
          <w:sz w:val="24"/>
        </w:rPr>
        <w:tab/>
        <w:t xml:space="preserve">                     1.925,10 kn</w:t>
      </w:r>
    </w:p>
    <w:p w:rsidRPr="00BA253E" w:rsidR="00DF7481" w:rsidP="00DF7481" w:rsidRDefault="00DF7481">
      <w:pPr>
        <w:pStyle w:val="Obojanipopis-Isticanje11"/>
        <w:rPr>
          <w:rFonts w:ascii="Times New Roman" w:hAnsi="Times New Roman" w:cs="Calibri"/>
          <w:color w:val="1D1B11"/>
          <w:sz w:val="24"/>
        </w:rPr>
      </w:pPr>
    </w:p>
    <w:p w:rsidRPr="00BA253E" w:rsidR="00DF7481" w:rsidP="00DF7481" w:rsidRDefault="00DF7481">
      <w:pPr>
        <w:pStyle w:val="Obojanipopis-Isticanje11"/>
        <w:rPr>
          <w:rFonts w:ascii="Times New Roman" w:hAnsi="Times New Roman"/>
          <w:color w:val="1D1B11"/>
          <w:sz w:val="24"/>
        </w:rPr>
      </w:pPr>
      <w:r w:rsidRPr="00BA253E">
        <w:rPr>
          <w:rFonts w:ascii="Times New Roman" w:hAnsi="Times New Roman" w:cs="Calibri"/>
          <w:color w:val="1D1B11"/>
          <w:sz w:val="24"/>
        </w:rPr>
        <w:t>Vjerovnici stečajne mase nisu namireni.</w:t>
      </w:r>
    </w:p>
    <w:p w:rsidRPr="00BA253E" w:rsidR="00DF7481" w:rsidP="00DF7481" w:rsidRDefault="00DF7481">
      <w:pPr>
        <w:ind w:left="720"/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</w:p>
    <w:p w:rsidRPr="00BA253E" w:rsidR="00DF7481" w:rsidP="00DF7481" w:rsidRDefault="00DF7481">
      <w:pPr>
        <w:numPr>
          <w:ilvl w:val="0"/>
          <w:numId w:val="1"/>
        </w:num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dati podatak o isplatama plaća radnika ako su nastavili s radom nakon otvaranja stečajnoga postupka</w:t>
      </w:r>
    </w:p>
    <w:p w:rsidRPr="00BA253E" w:rsidR="00DF7481" w:rsidP="00DF7481" w:rsidRDefault="00DF7481">
      <w:pPr>
        <w:numPr>
          <w:ilvl w:val="0"/>
          <w:numId w:val="1"/>
        </w:num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dati podatak o namirenju stečajnih vjerovnika (diobe).</w:t>
      </w:r>
    </w:p>
    <w:p w:rsidRPr="00BA253E" w:rsidR="00DF7481" w:rsidP="00DF7481" w:rsidRDefault="00DF7481">
      <w:pPr>
        <w:numPr>
          <w:ilvl w:val="0"/>
          <w:numId w:val="1"/>
        </w:num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ostali podaci.</w:t>
      </w:r>
    </w:p>
    <w:p w:rsidRPr="00BA253E" w:rsidR="00DF7481" w:rsidP="00DF7481" w:rsidRDefault="00DF7481">
      <w:pPr>
        <w:ind w:left="720"/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</w:p>
    <w:p w:rsidRPr="00BA253E" w:rsidR="00DF7481" w:rsidP="00DF7481" w:rsidRDefault="00DF7481">
      <w:pPr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III. RADNJE KOJE ĆE SE PODUZETI U NAREDNOM RAZDOBLJU</w:t>
      </w:r>
    </w:p>
    <w:p w:rsidRPr="00BA253E" w:rsidR="00DF7481" w:rsidP="00DF7481" w:rsidRDefault="00DF7481">
      <w:pPr>
        <w:jc w:val="both"/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Kako je u konkretnom slučaju utvrđeno postojanje stečajnog razloga, a dužnik nema imovine, predlaže se donošenje rješenja o zaključenju stečajnog postupka kao i da se troškovi otvorenog stečajnog postupka namire iz Fonda za namirenje troškova stečajnoga postupka.</w:t>
      </w:r>
    </w:p>
    <w:p w:rsidRPr="00BA253E" w:rsidR="00DF7481" w:rsidP="00DF7481" w:rsidRDefault="00DF7481">
      <w:pPr>
        <w:rPr>
          <w:rFonts w:ascii="Times New Roman" w:hAnsi="Times New Roman"/>
          <w:color w:val="1D1B11"/>
          <w:sz w:val="24"/>
          <w:szCs w:val="24"/>
          <w:lang w:val="pl-PL"/>
        </w:rPr>
      </w:pPr>
    </w:p>
    <w:p w:rsidRPr="00BA253E" w:rsidR="00DF7481" w:rsidP="00DF7481" w:rsidRDefault="00DF7481">
      <w:pPr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 xml:space="preserve">Mjesto i datum </w:t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  <w:t>Stečajni upravitelj</w:t>
      </w:r>
    </w:p>
    <w:p w:rsidRPr="00BA253E" w:rsidR="00DF7481" w:rsidP="00DF7481" w:rsidRDefault="00DF7481">
      <w:pPr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>Zagreb, 19. srpnja 2019. godine</w:t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</w:p>
    <w:p w:rsidRPr="00BA253E" w:rsidR="00DF7481" w:rsidP="00DF7481" w:rsidRDefault="00DF7481">
      <w:pPr>
        <w:rPr>
          <w:rFonts w:ascii="Times New Roman" w:hAnsi="Times New Roman"/>
          <w:color w:val="1D1B11"/>
          <w:sz w:val="24"/>
          <w:szCs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  <w:t>____________________</w:t>
      </w:r>
    </w:p>
    <w:p w:rsidRPr="00BA253E" w:rsidR="00DF7481" w:rsidRDefault="00DF7481">
      <w:pPr>
        <w:rPr>
          <w:rFonts w:ascii="Times New Roman" w:hAnsi="Times New Roman"/>
          <w:color w:val="1D1B11"/>
          <w:sz w:val="24"/>
          <w:lang w:val="pl-PL"/>
        </w:rPr>
      </w:pP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</w:r>
      <w:r w:rsidRPr="00BA253E">
        <w:rPr>
          <w:rFonts w:ascii="Times New Roman" w:hAnsi="Times New Roman"/>
          <w:color w:val="1D1B11"/>
          <w:sz w:val="24"/>
          <w:szCs w:val="24"/>
          <w:lang w:val="pl-PL"/>
        </w:rPr>
        <w:tab/>
        <w:t>Marijana Sabljić</w:t>
      </w:r>
    </w:p>
    <w:sectPr w:rsidRPr="00BA253E" w:rsidR="00DF7481" w:rsidSect="00DF7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414A91"/>
    <w:multiLevelType w:val="hybridMultilevel"/>
    <w:tmpl w:val="B5BC8A0A"/>
    <w:lvl w:ilvl="0" w:tplc="C83C287E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Times New Roman"/>
        <w:sz w:val="22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stylePaneSortMethod w:val="00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BA7C42"/>
    <w:rsid w:val="00DF7481"/>
    <w:rsid w:val="00FC2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SimSu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(Web)" w:uiPriority="99"/>
    <w:lsdException w:name="No Spacing" w:qFormat="true"/>
    <w:lsdException w:name="List Paragraph" w:qFormat="true"/>
    <w:lsdException w:name="Quote" w:qFormat="true"/>
    <w:lsdException w:name="Intense Quote" w:qFormat="true"/>
    <w:lsdException w:name="Colorful List Accent 1" w:uiPriority="34" w:qFormat="true"/>
    <w:lsdException w:name="Subtle Emphasis" w:qFormat="true"/>
    <w:lsdException w:name="Intense Emphasis" w:qFormat="true"/>
    <w:lsdException w:name="Subtle Reference" w:qFormat="true"/>
    <w:lsdException w:name="Intense Reference" w:qFormat="true"/>
    <w:lsdException w:name="Book Title" w:qFormat="true"/>
    <w:lsdException w:name="TOC Heading" w:semiHidden="true" w:unhideWhenUsed="true" w:qFormat="true"/>
  </w:latentStyles>
  <w:style w:type="paragraph" w:styleId="Normal" w:default="true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6B2451"/>
    <w:pPr>
      <w:spacing w:after="0"/>
      <w:jc w:val="both"/>
    </w:pPr>
    <w:rPr>
      <w:rFonts w:ascii="Times New Roman" w:hAnsi="Times New Roman" w:eastAsia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6B2451"/>
    <w:rPr>
      <w:rFonts w:ascii="Times New Roman" w:hAnsi="Times New Roman" w:eastAsia="Times New Roman" w:cs="Times New Roman"/>
      <w:sz w:val="24"/>
      <w:szCs w:val="24"/>
      <w:lang w:eastAsia="en-US"/>
    </w:rPr>
  </w:style>
  <w:style w:type="paragraph" w:styleId="Obojanipopis-Isticanje11" w:customStyle="true">
    <w:name w:val="Obojani popis - Isticanje 11"/>
    <w:basedOn w:val="Normal"/>
    <w:uiPriority w:val="34"/>
    <w:qFormat/>
    <w:rsid w:val="00E87357"/>
    <w:pPr>
      <w:ind w:left="720"/>
      <w:contextualSpacing/>
    </w:pPr>
  </w:style>
  <w:style w:type="paragraph" w:styleId="StandardWeb">
    <w:name w:val="Normal (Web)"/>
    <w:basedOn w:val="Normal"/>
    <w:uiPriority w:val="99"/>
    <w:rsid w:val="00954963"/>
    <w:pPr>
      <w:spacing w:beforeLines="1" w:after="0" w:afterLines="1"/>
    </w:pPr>
    <w:rPr>
      <w:rFonts w:ascii="Times" w:hAnsi="Times" w:eastAsia="SimSun"/>
      <w:sz w:val="20"/>
      <w:szCs w:val="20"/>
      <w:lang w:val="en-US"/>
    </w:rPr>
  </w:style>
  <w:style w:type="character" w:styleId="Tekstrezerviranogmjesta">
    <w:name w:val="Placeholder Text"/>
    <w:basedOn w:val="Zadanifontodlomka"/>
    <w:rsid w:val="00FC2B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C2BA5"/>
    <w:rPr>
      <w:rFonts w:ascii="Times New Roman" w:hAnsi="Times New Roman" w:cs="Times New Roman"/>
      <w:b/>
      <w:color w:val="1D1B1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C2BA5"/>
    <w:rPr>
      <w:rFonts w:ascii="Times New Roman" w:hAnsi="Times New Roman"/>
      <w:b/>
      <w:color w:val="1D1B11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C2BA5"/>
    <w:rPr>
      <w:rFonts w:ascii="Times New Roman" w:hAnsi="Times New Roman" w:cs="Times New Roman"/>
      <w:b w:val="false"/>
      <w:color w:val="1D1B1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C2BA5"/>
    <w:rPr>
      <w:rFonts w:ascii="Times New Roman" w:hAnsi="Times New Roman" w:cs="Times New Roman"/>
      <w:b w:val="false"/>
      <w:color w:val="1D1B11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Spacing" w:qFormat="1"/>
    <w:lsdException w:name="List Paragraph" w:qFormat="1"/>
    <w:lsdException w:name="Quote" w:qFormat="1"/>
    <w:lsdException w:name="Intense Quote" w:qFormat="1"/>
    <w:lsdException w:name="Colorful List Accent 1" w:qFormat="1" w:uiPriority="34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2451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B2451"/>
    <w:rPr>
      <w:rFonts w:ascii="Times New Roman" w:cs="Times New Roman" w:eastAsia="Times New Roman" w:hAnsi="Times New Roman"/>
      <w:sz w:val="24"/>
      <w:szCs w:val="24"/>
      <w:lang w:eastAsia="en-US"/>
    </w:rPr>
  </w:style>
  <w:style w:customStyle="1" w:styleId="Obojanipopis-Isticanje11" w:type="paragraph">
    <w:name w:val="Obojani popis - Isticanje 11"/>
    <w:basedOn w:val="Normal"/>
    <w:uiPriority w:val="34"/>
    <w:qFormat/>
    <w:rsid w:val="00E87357"/>
    <w:pPr>
      <w:ind w:left="720"/>
      <w:contextualSpacing/>
    </w:pPr>
  </w:style>
  <w:style w:styleId="StandardWeb" w:type="paragraph">
    <w:name w:val="Normal (Web)"/>
    <w:basedOn w:val="Normal"/>
    <w:uiPriority w:val="99"/>
    <w:rsid w:val="00954963"/>
    <w:pPr>
      <w:spacing w:after="0" w:afterLines="1" w:beforeLines="1"/>
    </w:pPr>
    <w:rPr>
      <w:rFonts w:ascii="Times" w:eastAsia="SimSun" w:hAnsi="Times"/>
      <w:sz w:val="20"/>
      <w:szCs w:val="20"/>
      <w:lang w:val="en-US"/>
    </w:rPr>
  </w:style>
  <w:style w:styleId="Tekstrezerviranogmjesta" w:type="character">
    <w:name w:val="Placeholder Text"/>
    <w:basedOn w:val="Zadanifontodlomka"/>
    <w:rsid w:val="00FC2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BA5"/>
    <w:rPr>
      <w:rFonts w:ascii="Times New Roman" w:cs="Times New Roman" w:hAnsi="Times New Roman"/>
      <w:b/>
      <w:color w:val="1D1B11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BA5"/>
    <w:rPr>
      <w:rFonts w:ascii="Times New Roman" w:hAnsi="Times New Roman"/>
      <w:b/>
      <w:color w:val="1D1B11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BA5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BA5"/>
    <w:rPr>
      <w:rFonts w:ascii="Times New Roman" w:cs="Times New Roman" w:hAnsi="Times New Roman"/>
      <w:b w:val="0"/>
      <w:color w:val="1D1B11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5425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8102187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631495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2647019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349</properties:Words>
  <properties:Characters>2043</properties:Characters>
  <properties:Lines>66</properties:Lines>
  <properties:Paragraphs>41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2019-07-25T08:00:00Z</dcterms:created>
  <dc:creator>ADMINIBM</dc:creator>
  <cp:lastModifiedBy>Vinka Mihalinčić</cp:lastModifiedBy>
  <cp:lastPrinted>2018-10-22T14:16:00Z</cp:lastPrinted>
  <dcterms:modified xmlns:xsi="http://www.w3.org/2001/XMLSchema-instance" xsi:type="dcterms:W3CDTF">2019-07-25T08:02:00Z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St-1936/2017-42 / Podnesak - Izvješće stečajnog upravitelja (O20 Izvješće stečajnoga upravitelja o tijeku stečajnoga postupka i o stanju stečajne mase (čl-1. 89. st. 2. SZ) 19072019.docx)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