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5ac6a" w14:paraId="1b5ac6a" w:rsidRDefault="00AB4602" w:rsidP="00A7678C" w:rsidR="00A7678C">
      <w:pPr>
        <w:pStyle w:val="NormaleSPIS"/>
        <w:ind w:firstLine="0"/>
        <w15:collapsed w:val="false"/>
        <w:rPr>
          <w:rFonts w:cs="Calibri" w:hAnsi="Calibri" w:ascii="Calibri"/>
          <w:b/>
        </w:rPr>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A7678C">
        <w:rPr>
          <w:rFonts w:cs="Calibri" w:hAnsi="Calibri" w:ascii="Calibri"/>
          <w:b/>
        </w:rPr>
        <w:t>Trgovački sud u Bjelovaru</w:t>
      </w:r>
    </w:p>
    <w:p w:rsidRDefault="00A7678C" w:rsidP="00A7678C" w:rsidR="00A7678C">
      <w:pPr>
        <w:rPr>
          <w:rFonts w:cs="Calibri" w:hAnsi="Calibri" w:ascii="Calibri"/>
          <w:b/>
        </w:rPr>
      </w:pPr>
      <w:r>
        <w:rPr>
          <w:rFonts w:cs="Calibri" w:hAnsi="Calibri" w:ascii="Calibri"/>
          <w:b/>
        </w:rPr>
        <w:tab/>
      </w:r>
      <w:r>
        <w:rPr>
          <w:rFonts w:cs="Calibri" w:hAnsi="Calibri" w:ascii="Calibri"/>
          <w:b/>
        </w:rPr>
        <w:tab/>
      </w:r>
      <w:r>
        <w:rPr>
          <w:rFonts w:cs="Calibri" w:hAnsi="Calibri" w:ascii="Calibri"/>
          <w:b/>
        </w:rPr>
        <w:tab/>
      </w:r>
      <w:r>
        <w:rPr>
          <w:rFonts w:cs="Calibri" w:hAnsi="Calibri" w:ascii="Calibri"/>
          <w:b/>
        </w:rPr>
        <w:tab/>
      </w:r>
      <w:r>
        <w:rPr>
          <w:rFonts w:cs="Calibri" w:hAnsi="Calibri" w:ascii="Calibri"/>
          <w:b/>
        </w:rPr>
        <w:tab/>
      </w:r>
      <w:r>
        <w:rPr>
          <w:rFonts w:cs="Calibri" w:hAnsi="Calibri" w:ascii="Calibri"/>
          <w:b/>
        </w:rPr>
        <w:tab/>
      </w:r>
      <w:r>
        <w:rPr>
          <w:rFonts w:cs="Calibri" w:hAnsi="Calibri" w:ascii="Calibri"/>
          <w:b/>
        </w:rPr>
        <w:tab/>
        <w:t xml:space="preserve">Šetalište dr. I. </w:t>
      </w:r>
      <w:proofErr w:type="spellStart"/>
      <w:r>
        <w:rPr>
          <w:rFonts w:cs="Calibri" w:hAnsi="Calibri" w:ascii="Calibri"/>
          <w:b/>
        </w:rPr>
        <w:t>Lebovića</w:t>
      </w:r>
      <w:proofErr w:type="spellEnd"/>
      <w:r>
        <w:rPr>
          <w:rFonts w:cs="Calibri" w:hAnsi="Calibri" w:ascii="Calibri"/>
          <w:b/>
        </w:rPr>
        <w:t xml:space="preserve"> 42</w:t>
      </w:r>
    </w:p>
    <w:p w:rsidRDefault="00A7678C" w:rsidP="00A7678C" w:rsidR="00A7678C">
      <w:pPr>
        <w:rPr>
          <w:rFonts w:cs="Calibri" w:hAnsi="Calibri" w:ascii="Calibri"/>
          <w:b/>
        </w:rPr>
      </w:pPr>
      <w:r>
        <w:rPr>
          <w:rFonts w:cs="Calibri" w:hAnsi="Calibri" w:ascii="Calibri"/>
          <w:b/>
        </w:rPr>
        <w:tab/>
      </w:r>
      <w:r>
        <w:rPr>
          <w:rFonts w:cs="Calibri" w:hAnsi="Calibri" w:ascii="Calibri"/>
          <w:b/>
        </w:rPr>
        <w:tab/>
      </w:r>
      <w:r>
        <w:rPr>
          <w:rFonts w:cs="Calibri" w:hAnsi="Calibri" w:ascii="Calibri"/>
          <w:b/>
        </w:rPr>
        <w:tab/>
      </w:r>
      <w:r>
        <w:rPr>
          <w:rFonts w:cs="Calibri" w:hAnsi="Calibri" w:ascii="Calibri"/>
          <w:b/>
        </w:rPr>
        <w:tab/>
      </w:r>
      <w:r>
        <w:rPr>
          <w:rFonts w:cs="Calibri" w:hAnsi="Calibri" w:ascii="Calibri"/>
          <w:b/>
        </w:rPr>
        <w:tab/>
      </w:r>
      <w:r>
        <w:rPr>
          <w:rFonts w:cs="Calibri" w:hAnsi="Calibri" w:ascii="Calibri"/>
          <w:b/>
        </w:rPr>
        <w:tab/>
      </w:r>
      <w:r>
        <w:rPr>
          <w:rFonts w:cs="Calibri" w:hAnsi="Calibri" w:ascii="Calibri"/>
          <w:b/>
        </w:rPr>
        <w:tab/>
        <w:t>43000 Bjelovar</w:t>
      </w:r>
    </w:p>
    <w:p w:rsidRDefault="00A7678C" w:rsidP="00A7678C" w:rsidR="00A7678C">
      <w:pPr>
        <w:rPr>
          <w:rFonts w:cs="Calibri" w:hAnsi="Calibri" w:ascii="Calibri"/>
          <w:b/>
        </w:rPr>
      </w:pPr>
    </w:p>
    <w:p w:rsidRDefault="00A7678C" w:rsidP="00A7678C" w:rsidR="00A7678C">
      <w:pPr>
        <w:rPr>
          <w:rFonts w:cs="Calibri" w:hAnsi="Calibri" w:ascii="Calibri"/>
          <w:b/>
        </w:rPr>
      </w:pPr>
      <w:r>
        <w:rPr>
          <w:rFonts w:cs="Calibri" w:hAnsi="Calibri" w:ascii="Calibri"/>
        </w:rPr>
        <w:t>Pravna stvar:</w:t>
      </w:r>
      <w:r>
        <w:rPr>
          <w:rFonts w:cs="Calibri" w:hAnsi="Calibri" w:ascii="Calibri"/>
          <w:b/>
        </w:rPr>
        <w:tab/>
        <w:t>St-200/2018</w:t>
      </w:r>
    </w:p>
    <w:p w:rsidRDefault="00A7678C" w:rsidP="00A7678C" w:rsidR="00A7678C">
      <w:pPr>
        <w:rPr>
          <w:rFonts w:cs="Calibri" w:hAnsi="Calibri" w:ascii="Calibri"/>
          <w:b/>
        </w:rPr>
      </w:pPr>
    </w:p>
    <w:p w:rsidRDefault="00A7678C" w:rsidP="00A7678C" w:rsidR="00A7678C">
      <w:pPr>
        <w:rPr>
          <w:rFonts w:cs="Calibri" w:hAnsi="Calibri" w:ascii="Calibri"/>
          <w:b/>
        </w:rPr>
      </w:pPr>
      <w:r>
        <w:rPr>
          <w:rFonts w:cs="Calibri" w:hAnsi="Calibri" w:ascii="Calibri"/>
        </w:rPr>
        <w:t>Dužnik:</w:t>
      </w:r>
      <w:r>
        <w:rPr>
          <w:rFonts w:cs="Calibri" w:hAnsi="Calibri" w:ascii="Calibri"/>
        </w:rPr>
        <w:tab/>
      </w:r>
      <w:bookmarkStart w:name="_Hlk522870563" w:id="0"/>
      <w:r>
        <w:rPr>
          <w:rFonts w:cs="Calibri" w:hAnsi="Calibri" w:ascii="Calibri"/>
          <w:b/>
        </w:rPr>
        <w:t>NIVA KONZALTING d.o.o. za projektiranje i građenje</w:t>
      </w:r>
    </w:p>
    <w:p w:rsidRDefault="00A7678C" w:rsidP="00A7678C" w:rsidR="00A7678C">
      <w:pPr>
        <w:rPr>
          <w:rFonts w:cs="Calibri" w:hAnsi="Calibri" w:ascii="Calibri"/>
        </w:rPr>
      </w:pPr>
      <w:r>
        <w:rPr>
          <w:rFonts w:cs="Calibri" w:hAnsi="Calibri" w:ascii="Calibri"/>
        </w:rPr>
        <w:tab/>
      </w:r>
      <w:r>
        <w:rPr>
          <w:rFonts w:cs="Calibri" w:hAnsi="Calibri" w:ascii="Calibri"/>
        </w:rPr>
        <w:tab/>
        <w:t>Zagreb, Gradišćanska 34</w:t>
      </w:r>
    </w:p>
    <w:p w:rsidRDefault="00A7678C" w:rsidP="00A7678C" w:rsidR="00A7678C">
      <w:pPr>
        <w:rPr>
          <w:rFonts w:cs="Calibri" w:hAnsi="Calibri" w:ascii="Calibri"/>
          <w:b/>
        </w:rPr>
      </w:pPr>
      <w:r>
        <w:rPr>
          <w:rFonts w:cs="Calibri" w:hAnsi="Calibri" w:ascii="Calibri"/>
        </w:rPr>
        <w:tab/>
      </w:r>
      <w:r>
        <w:rPr>
          <w:rFonts w:cs="Calibri" w:hAnsi="Calibri" w:ascii="Calibri"/>
        </w:rPr>
        <w:tab/>
        <w:t xml:space="preserve">OIB: </w:t>
      </w:r>
      <w:bookmarkEnd w:id="0"/>
      <w:r>
        <w:rPr>
          <w:rFonts w:cs="Calibri" w:hAnsi="Calibri" w:ascii="Calibri"/>
        </w:rPr>
        <w:t>77599195098</w:t>
      </w:r>
    </w:p>
    <w:p w:rsidRDefault="00A7678C" w:rsidP="00A7678C" w:rsidR="00A7678C">
      <w:pPr>
        <w:rPr>
          <w:rFonts w:cs="Calibri" w:hAnsi="Calibri" w:ascii="Calibri"/>
          <w:b/>
        </w:rPr>
      </w:pPr>
    </w:p>
    <w:p w:rsidRDefault="00A7678C" w:rsidP="00A7678C" w:rsidR="00A7678C">
      <w:pPr>
        <w:jc w:val="center"/>
        <w:rPr>
          <w:rFonts w:cs="Calibri" w:hAnsi="Calibri" w:ascii="Calibri"/>
          <w:b/>
        </w:rPr>
      </w:pPr>
      <w:r>
        <w:rPr>
          <w:rFonts w:cs="Calibri" w:hAnsi="Calibri" w:ascii="Calibri"/>
          <w:b/>
        </w:rPr>
        <w:t>IZVJEŠĆE PRIVREMENOG STEČAJNOG UPRAVITELJA</w:t>
      </w:r>
    </w:p>
    <w:p w:rsidRDefault="00A7678C" w:rsidP="00A7678C" w:rsidR="00A7678C">
      <w:pPr>
        <w:jc w:val="both"/>
        <w:rPr>
          <w:rFonts w:cs="Calibri" w:hAnsi="Calibri" w:ascii="Calibri"/>
          <w:b/>
        </w:rPr>
      </w:pPr>
      <w:r>
        <w:rPr>
          <w:rFonts w:cs="Calibri" w:hAnsi="Calibri" w:ascii="Calibri"/>
          <w:b/>
        </w:rPr>
        <w:t>I. Uvodne napomene</w:t>
      </w:r>
    </w:p>
    <w:p w:rsidRDefault="00A7678C" w:rsidP="00A7678C" w:rsidR="00A7678C">
      <w:pPr>
        <w:jc w:val="both"/>
        <w:rPr>
          <w:rFonts w:cs="Calibri" w:hAnsi="Calibri" w:ascii="Calibri"/>
        </w:rPr>
      </w:pPr>
      <w:r>
        <w:rPr>
          <w:rFonts w:cs="Calibri" w:hAnsi="Calibri" w:ascii="Calibri"/>
        </w:rPr>
        <w:t xml:space="preserve">Rješenjem Trgovačkog suda u Bjelovaru, poslovni broj </w:t>
      </w:r>
      <w:r>
        <w:rPr>
          <w:rFonts w:cs="Calibri" w:hAnsi="Calibri" w:ascii="Calibri"/>
          <w:b/>
        </w:rPr>
        <w:t xml:space="preserve">St-200/2018 </w:t>
      </w:r>
      <w:r>
        <w:rPr>
          <w:rFonts w:cs="Calibri" w:hAnsi="Calibri" w:ascii="Calibri"/>
        </w:rPr>
        <w:t>od 2. srpnja 2018. godine pokrenut je prethodni postupak nad društvom NIVA KONZALTING d.o.o. za projektiranje i građenje, Zagreb, Gradišćanska 34, OIB: 77599195098,</w:t>
      </w:r>
      <w:r>
        <w:rPr>
          <w:rFonts w:cs="Calibri" w:hAnsi="Calibri" w:ascii="Calibri"/>
          <w:b/>
        </w:rPr>
        <w:t xml:space="preserve"> </w:t>
      </w:r>
      <w:r>
        <w:rPr>
          <w:rFonts w:cs="Calibri" w:hAnsi="Calibri" w:ascii="Calibri"/>
        </w:rPr>
        <w:t>radi utvrđivanja postojanja razloga za otvaranje stečajnog postupka i utvrđivanja ima li dužnik imovinu kojom bi se mogli pokriti troškovi vođenja stečajnog postupka. Citiranim rješenjem Trgovačkog suda u Bjelovaru, imenovan sam privremenim stečajnim upraviteljem dužnika.</w:t>
      </w:r>
    </w:p>
    <w:p w:rsidRDefault="00A7678C" w:rsidP="00A7678C" w:rsidR="00A7678C">
      <w:pPr>
        <w:jc w:val="both"/>
        <w:rPr>
          <w:rFonts w:cs="Calibri" w:hAnsi="Calibri" w:ascii="Calibri"/>
        </w:rPr>
      </w:pPr>
      <w:r>
        <w:rPr>
          <w:rFonts w:cs="Calibri" w:hAnsi="Calibri" w:ascii="Calibri"/>
        </w:rPr>
        <w:t>Predlagatelj - Financijska agencija je temeljem odredbe čl. 110. st. 1. Stečajnog zakona (Narodne novine br. 71/15, dalje SZ) podnijela Trgovačkom sudu u Zagrebu prijedlog za otvaranje stečaja nad dužnikom. U prijedlogu navodi da na dan 31.07.2017. godine dužnik u Očevidniku redoslijeda osnova za plaćanje ima evidentirane neizvršene osnove za plaćanje u neprekinutom razdoblju od 120 dana, u ukupnom iznosu od 776.945,08 kuna.</w:t>
      </w:r>
    </w:p>
    <w:p w:rsidRDefault="00A7678C" w:rsidP="00A7678C" w:rsidR="00A7678C">
      <w:pPr>
        <w:jc w:val="both"/>
        <w:rPr>
          <w:rFonts w:cs="Calibri" w:hAnsi="Calibri" w:ascii="Calibri"/>
        </w:rPr>
      </w:pPr>
      <w:r>
        <w:rPr>
          <w:rFonts w:cs="Calibri" w:hAnsi="Calibri" w:ascii="Calibri"/>
        </w:rPr>
        <w:t xml:space="preserve">Sukladno rješenju predsjednika Visokog trgovačkog suda Republike Hrvatske poslovni broj 31 Su-236/18-2 od 9. ožujka 2018. godine spis Trgovačkog suda u Zagrebu poslovni broj 1. St-2184/17 ustupljen je Trgovačkom sudu u Bjelovaru na daljnji postupak.              </w:t>
      </w:r>
    </w:p>
    <w:p w:rsidRDefault="00A7678C" w:rsidP="00A7678C" w:rsidR="00A7678C">
      <w:pPr>
        <w:jc w:val="both"/>
        <w:rPr>
          <w:rFonts w:cs="Calibri" w:hAnsi="Calibri" w:ascii="Calibri"/>
        </w:rPr>
      </w:pPr>
      <w:r>
        <w:rPr>
          <w:rFonts w:cs="Calibri" w:hAnsi="Calibri" w:ascii="Calibri"/>
        </w:rPr>
        <w:t>Kako iz prijedloga proizlazi vjerojatnost postojanja stečajnog razloga – nesposobnosti za plaćanje iz čl.6. st.2. SZ-a, to je sud temeljem čl. 115. st. 1. SZ-a, donio rješenje o pokretanju prethodnog postupka, radi utvrđivanja pretpostavki za otvaranje stečajnog postupka nad navedenim dužnikom.</w:t>
      </w:r>
    </w:p>
    <w:p w:rsidRDefault="00A7678C" w:rsidP="00A7678C" w:rsidR="00A7678C">
      <w:pPr>
        <w:jc w:val="both"/>
        <w:rPr>
          <w:rFonts w:cs="Calibri" w:hAnsi="Calibri" w:ascii="Calibri"/>
        </w:rPr>
      </w:pPr>
      <w:r>
        <w:rPr>
          <w:rFonts w:cs="Calibri" w:hAnsi="Calibri" w:ascii="Calibri"/>
        </w:rPr>
        <w:t>Uvidom u sudski registar Trgovačkog suda u Zagrebu utvrđeno je kako je dužnik ustrojen kao društvo s ograničenom odgovornošću, s temeljnim kapitalom od 2.450.000,00 kuna. Sjedište društva je u Zagrebu (Grad Zagreb), Gradišćanska 34. Osnivači društva su:</w:t>
      </w:r>
    </w:p>
    <w:p w:rsidRDefault="00A7678C" w:rsidP="00A7678C" w:rsidR="00A7678C">
      <w:pPr>
        <w:numPr>
          <w:ilvl w:val="0"/>
          <w:numId w:val="47"/>
        </w:numPr>
        <w:spacing w:after="0"/>
        <w:jc w:val="both"/>
        <w:rPr>
          <w:rFonts w:cs="Calibri" w:hAnsi="Calibri" w:ascii="Calibri"/>
        </w:rPr>
      </w:pPr>
      <w:r>
        <w:rPr>
          <w:rFonts w:cs="Calibri" w:hAnsi="Calibri" w:ascii="Calibri"/>
        </w:rPr>
        <w:lastRenderedPageBreak/>
        <w:t xml:space="preserve">IVAN VALENTIĆ, OIB: 63975868020, Zagreb, GRADIŠĆANSKA ULICA 32 </w:t>
      </w:r>
    </w:p>
    <w:p w:rsidRDefault="00A7678C" w:rsidP="00A7678C" w:rsidR="00A7678C">
      <w:pPr>
        <w:numPr>
          <w:ilvl w:val="0"/>
          <w:numId w:val="47"/>
        </w:numPr>
        <w:spacing w:after="0"/>
        <w:jc w:val="both"/>
        <w:rPr>
          <w:rFonts w:cs="Calibri" w:hAnsi="Calibri" w:ascii="Calibri"/>
        </w:rPr>
      </w:pPr>
      <w:r>
        <w:rPr>
          <w:rFonts w:cs="Calibri" w:hAnsi="Calibri" w:ascii="Calibri"/>
        </w:rPr>
        <w:t xml:space="preserve">DUBRAVKO REBRINA, OIB: 19458887102, Zagreb, PANTOVČAK 270/B </w:t>
      </w:r>
    </w:p>
    <w:p w:rsidRDefault="00A7678C" w:rsidP="00A7678C" w:rsidR="00A7678C">
      <w:pPr>
        <w:jc w:val="both"/>
        <w:rPr>
          <w:rFonts w:cs="Calibri" w:hAnsi="Calibri" w:ascii="Calibri"/>
        </w:rPr>
      </w:pPr>
    </w:p>
    <w:p w:rsidRDefault="00A7678C" w:rsidP="00A7678C" w:rsidR="00A7678C">
      <w:pPr>
        <w:jc w:val="both"/>
        <w:rPr>
          <w:rFonts w:cs="Calibri" w:hAnsi="Calibri" w:ascii="Calibri"/>
        </w:rPr>
      </w:pPr>
      <w:r>
        <w:rPr>
          <w:rFonts w:cs="Calibri" w:hAnsi="Calibri" w:ascii="Calibri"/>
        </w:rPr>
        <w:t xml:space="preserve">Osoba ovlaštena za zastupanje je Vladimir </w:t>
      </w:r>
      <w:proofErr w:type="spellStart"/>
      <w:r>
        <w:rPr>
          <w:rFonts w:cs="Calibri" w:hAnsi="Calibri" w:ascii="Calibri"/>
        </w:rPr>
        <w:t>Sobota</w:t>
      </w:r>
      <w:proofErr w:type="spellEnd"/>
      <w:r>
        <w:rPr>
          <w:rFonts w:cs="Calibri" w:hAnsi="Calibri" w:ascii="Calibri"/>
        </w:rPr>
        <w:t xml:space="preserve">, OIB: 60950363538, Zagreb, </w:t>
      </w:r>
      <w:proofErr w:type="spellStart"/>
      <w:r>
        <w:rPr>
          <w:rFonts w:cs="Calibri" w:hAnsi="Calibri" w:ascii="Calibri"/>
        </w:rPr>
        <w:t>Orešje</w:t>
      </w:r>
      <w:proofErr w:type="spellEnd"/>
      <w:r>
        <w:rPr>
          <w:rFonts w:cs="Calibri" w:hAnsi="Calibri" w:ascii="Calibri"/>
        </w:rPr>
        <w:t xml:space="preserve"> 47/I, koji zastupa društvo pojedinačno i samostalno.</w:t>
      </w:r>
    </w:p>
    <w:p w:rsidRDefault="00A7678C" w:rsidP="00A7678C" w:rsidR="00A7678C">
      <w:pPr>
        <w:jc w:val="both"/>
        <w:rPr>
          <w:rFonts w:cs="Calibri" w:hAnsi="Calibri" w:ascii="Calibri"/>
        </w:rPr>
      </w:pPr>
      <w:r>
        <w:rPr>
          <w:rFonts w:cs="Calibri" w:hAnsi="Calibri" w:ascii="Calibri"/>
        </w:rPr>
        <w:t>Osnovni je predmet poslovanja dužnika:</w:t>
      </w:r>
    </w:p>
    <w:p w:rsidRDefault="00A7678C" w:rsidP="00A7678C" w:rsidR="00A7678C">
      <w:pPr>
        <w:numPr>
          <w:ilvl w:val="0"/>
          <w:numId w:val="48"/>
        </w:numPr>
        <w:spacing w:after="0"/>
        <w:jc w:val="both"/>
        <w:rPr>
          <w:rFonts w:cs="Calibri" w:hAnsi="Calibri" w:ascii="Calibri"/>
        </w:rPr>
      </w:pPr>
      <w:r>
        <w:rPr>
          <w:rFonts w:cs="Calibri" w:hAnsi="Calibri" w:ascii="Calibri"/>
        </w:rPr>
        <w:t xml:space="preserve">projektiranje i građenje građevina te stručni nadzor građenja </w:t>
      </w:r>
    </w:p>
    <w:p w:rsidRDefault="00A7678C" w:rsidP="00A7678C" w:rsidR="00A7678C">
      <w:pPr>
        <w:numPr>
          <w:ilvl w:val="0"/>
          <w:numId w:val="48"/>
        </w:numPr>
        <w:spacing w:after="0"/>
        <w:jc w:val="both"/>
        <w:rPr>
          <w:rFonts w:cs="Calibri" w:hAnsi="Calibri" w:ascii="Calibri"/>
        </w:rPr>
      </w:pPr>
      <w:r>
        <w:rPr>
          <w:rFonts w:cs="Calibri" w:hAnsi="Calibri" w:ascii="Calibri"/>
        </w:rPr>
        <w:t xml:space="preserve">energetsko certificiranje, energetski pregled zgrade i redoviti pregled sustava grijanja i sustava hlađenja ili klimatizacije u zgradi </w:t>
      </w:r>
    </w:p>
    <w:p w:rsidRDefault="00A7678C" w:rsidP="00A7678C" w:rsidR="00A7678C">
      <w:pPr>
        <w:numPr>
          <w:ilvl w:val="0"/>
          <w:numId w:val="48"/>
        </w:numPr>
        <w:spacing w:after="0"/>
        <w:jc w:val="both"/>
        <w:rPr>
          <w:rFonts w:cs="Calibri" w:hAnsi="Calibri" w:ascii="Calibri"/>
        </w:rPr>
      </w:pPr>
      <w:r>
        <w:rPr>
          <w:rFonts w:cs="Calibri" w:hAnsi="Calibri" w:ascii="Calibri"/>
        </w:rPr>
        <w:t xml:space="preserve">obavljanje djelatnosti upravljanja projektom gradnje </w:t>
      </w:r>
    </w:p>
    <w:p w:rsidRDefault="00A7678C" w:rsidP="00A7678C" w:rsidR="00A7678C">
      <w:pPr>
        <w:numPr>
          <w:ilvl w:val="0"/>
          <w:numId w:val="48"/>
        </w:numPr>
        <w:spacing w:after="0"/>
        <w:jc w:val="both"/>
        <w:rPr>
          <w:rFonts w:cs="Calibri" w:hAnsi="Calibri" w:ascii="Calibri"/>
        </w:rPr>
      </w:pPr>
      <w:r>
        <w:rPr>
          <w:rFonts w:cs="Calibri" w:hAnsi="Calibri" w:ascii="Calibri"/>
        </w:rPr>
        <w:t xml:space="preserve">poslovanje nekretninama </w:t>
      </w:r>
    </w:p>
    <w:p w:rsidRDefault="00A7678C" w:rsidP="00A7678C" w:rsidR="00A7678C">
      <w:pPr>
        <w:numPr>
          <w:ilvl w:val="0"/>
          <w:numId w:val="48"/>
        </w:numPr>
        <w:spacing w:after="0"/>
        <w:jc w:val="both"/>
        <w:rPr>
          <w:rFonts w:cs="Calibri" w:hAnsi="Calibri" w:ascii="Calibri"/>
        </w:rPr>
      </w:pPr>
      <w:r>
        <w:rPr>
          <w:rFonts w:cs="Calibri" w:hAnsi="Calibri" w:ascii="Calibri"/>
        </w:rPr>
        <w:t xml:space="preserve">kupnja i prodaja robe </w:t>
      </w:r>
    </w:p>
    <w:p w:rsidRDefault="00A7678C" w:rsidP="00A7678C" w:rsidR="00A7678C">
      <w:pPr>
        <w:numPr>
          <w:ilvl w:val="0"/>
          <w:numId w:val="48"/>
        </w:numPr>
        <w:spacing w:after="0"/>
        <w:jc w:val="both"/>
        <w:rPr>
          <w:rFonts w:cs="Calibri" w:hAnsi="Calibri" w:ascii="Calibri"/>
        </w:rPr>
      </w:pPr>
      <w:r>
        <w:rPr>
          <w:rFonts w:cs="Calibri" w:hAnsi="Calibri" w:ascii="Calibri"/>
        </w:rPr>
        <w:t xml:space="preserve">obavljanje trgovačkog posredovanja na domaćem i inozemnom tržištu </w:t>
      </w:r>
    </w:p>
    <w:p w:rsidRDefault="00A7678C" w:rsidP="00A7678C" w:rsidR="00A7678C">
      <w:pPr>
        <w:numPr>
          <w:ilvl w:val="0"/>
          <w:numId w:val="48"/>
        </w:numPr>
        <w:spacing w:after="0"/>
        <w:jc w:val="both"/>
        <w:rPr>
          <w:rFonts w:cs="Calibri" w:hAnsi="Calibri" w:ascii="Calibri"/>
        </w:rPr>
      </w:pPr>
      <w:r>
        <w:rPr>
          <w:rFonts w:cs="Calibri" w:hAnsi="Calibri" w:ascii="Calibri"/>
        </w:rPr>
        <w:t xml:space="preserve">zastupanje inozemnih tvrtki </w:t>
      </w:r>
    </w:p>
    <w:p w:rsidRDefault="00A7678C" w:rsidP="00A7678C" w:rsidR="00A7678C">
      <w:pPr>
        <w:numPr>
          <w:ilvl w:val="0"/>
          <w:numId w:val="48"/>
        </w:numPr>
        <w:spacing w:after="0"/>
        <w:jc w:val="both"/>
        <w:rPr>
          <w:rFonts w:cs="Calibri" w:hAnsi="Calibri" w:ascii="Calibri"/>
        </w:rPr>
      </w:pPr>
      <w:r>
        <w:rPr>
          <w:rFonts w:cs="Calibri" w:hAnsi="Calibri" w:ascii="Calibri"/>
        </w:rPr>
        <w:t xml:space="preserve">savjetovanje u vezi s poslovanjem i upravljanjem </w:t>
      </w:r>
    </w:p>
    <w:p w:rsidRDefault="00A7678C" w:rsidP="00A7678C" w:rsidR="00A7678C">
      <w:pPr>
        <w:numPr>
          <w:ilvl w:val="0"/>
          <w:numId w:val="48"/>
        </w:numPr>
        <w:spacing w:after="0"/>
        <w:jc w:val="both"/>
        <w:rPr>
          <w:rFonts w:cs="Calibri" w:hAnsi="Calibri" w:ascii="Calibri"/>
        </w:rPr>
      </w:pPr>
      <w:r>
        <w:rPr>
          <w:rFonts w:cs="Calibri" w:hAnsi="Calibri" w:ascii="Calibri"/>
        </w:rPr>
        <w:t xml:space="preserve">istraživanje tržišta i ispitivanje javnog mnijenja </w:t>
      </w:r>
    </w:p>
    <w:p w:rsidRDefault="00A7678C" w:rsidP="00A7678C" w:rsidR="00A7678C">
      <w:pPr>
        <w:numPr>
          <w:ilvl w:val="0"/>
          <w:numId w:val="48"/>
        </w:numPr>
        <w:spacing w:after="0"/>
        <w:jc w:val="both"/>
        <w:rPr>
          <w:rFonts w:cs="Calibri" w:hAnsi="Calibri" w:ascii="Calibri"/>
        </w:rPr>
      </w:pPr>
      <w:r>
        <w:rPr>
          <w:rFonts w:cs="Calibri" w:hAnsi="Calibri" w:ascii="Calibri"/>
        </w:rPr>
        <w:t xml:space="preserve">promidžba (reklama i propaganda) </w:t>
      </w:r>
    </w:p>
    <w:p w:rsidRDefault="00A7678C" w:rsidP="00A7678C" w:rsidR="00A7678C">
      <w:pPr>
        <w:numPr>
          <w:ilvl w:val="0"/>
          <w:numId w:val="48"/>
        </w:numPr>
        <w:spacing w:after="0"/>
        <w:jc w:val="both"/>
        <w:rPr>
          <w:rFonts w:cs="Calibri" w:hAnsi="Calibri" w:ascii="Calibri"/>
        </w:rPr>
      </w:pPr>
      <w:r>
        <w:rPr>
          <w:rFonts w:cs="Calibri" w:hAnsi="Calibri" w:ascii="Calibri"/>
        </w:rPr>
        <w:t xml:space="preserve">savjetovanje u vezi s poslovanjem i upravljanjem </w:t>
      </w:r>
    </w:p>
    <w:p w:rsidRDefault="00A7678C" w:rsidP="00A7678C" w:rsidR="00A7678C">
      <w:pPr>
        <w:numPr>
          <w:ilvl w:val="0"/>
          <w:numId w:val="48"/>
        </w:numPr>
        <w:spacing w:after="0"/>
        <w:jc w:val="both"/>
        <w:rPr>
          <w:rFonts w:cs="Calibri" w:hAnsi="Calibri" w:ascii="Calibri"/>
        </w:rPr>
      </w:pPr>
      <w:r>
        <w:rPr>
          <w:rFonts w:cs="Calibri" w:hAnsi="Calibri" w:ascii="Calibri"/>
        </w:rPr>
        <w:t>upravljačke djelatnosti holding društava</w:t>
      </w:r>
    </w:p>
    <w:p w:rsidRDefault="00A7678C" w:rsidP="00A7678C" w:rsidR="00A7678C">
      <w:pPr>
        <w:jc w:val="both"/>
        <w:rPr>
          <w:rFonts w:cs="Calibri" w:hAnsi="Calibri" w:ascii="Calibri"/>
        </w:rPr>
      </w:pPr>
    </w:p>
    <w:p w:rsidRDefault="00A7678C" w:rsidP="00A7678C" w:rsidR="00A7678C">
      <w:pPr>
        <w:jc w:val="both"/>
        <w:rPr>
          <w:rFonts w:cs="Calibri" w:hAnsi="Calibri" w:ascii="Calibri"/>
        </w:rPr>
      </w:pPr>
      <w:r>
        <w:rPr>
          <w:rFonts w:cs="Calibri" w:hAnsi="Calibri" w:ascii="Calibri"/>
        </w:rPr>
        <w:t>Dužnik u trenutku pisanja ovog izvještaja nema zaposlenih (transakcija 117). U postupku utvrđivanja relevantnih činjenica o postojanju pretpostavki za otvaranjem stečajnog postupka i mogućnosti namirenja troškova stečajnog postupka iz imovine dužnika od zakonskog zastupnika zatražena je dostava podataka o imovini i obvezama, broju zaposlenih, nenaplaćenim potraživanjima prema dužnikovim dužnicima i dr. Kako do dana sastavljanja ovog izvješća zakonski zastupnik nije dostavio privremenom stečajnom upravitelju tražene podatke, činjenice o imovinskom stanju dužnika utvrđene su temeljem uvida u financijska izvješća koja je dužnik imao obvezu predati nadležnim institucijama te su javno objavljena u Registru financijskih izvještaja (RGFI). Posljednji financijski izvještaj dužnika predan u Registar odnosi se na 2017. godinu.</w:t>
      </w:r>
    </w:p>
    <w:p w:rsidRDefault="00A7678C" w:rsidP="00A7678C" w:rsidR="00A7678C">
      <w:pPr>
        <w:jc w:val="both"/>
        <w:rPr>
          <w:rFonts w:cs="Calibri" w:hAnsi="Calibri" w:ascii="Calibri"/>
        </w:rPr>
      </w:pPr>
      <w:r>
        <w:rPr>
          <w:rFonts w:cs="Calibri" w:hAnsi="Calibri" w:ascii="Calibri"/>
        </w:rPr>
        <w:t>Dokaz:</w:t>
      </w:r>
      <w:r>
        <w:rPr>
          <w:rFonts w:cs="Calibri" w:hAnsi="Calibri" w:ascii="Calibri"/>
        </w:rPr>
        <w:tab/>
        <w:t>e-izvadak iz sudskog registra, Transakcija 117 HZMO od 24.08.2018.</w:t>
      </w:r>
    </w:p>
    <w:p w:rsidRDefault="00A7678C" w:rsidP="00A7678C" w:rsidR="00A7678C">
      <w:pPr>
        <w:rPr>
          <w:rFonts w:cs="Calibri" w:hAnsi="Calibri" w:ascii="Calibri"/>
          <w:b/>
        </w:rPr>
      </w:pPr>
      <w:r>
        <w:rPr>
          <w:rFonts w:cs="Calibri" w:hAnsi="Calibri" w:ascii="Calibri"/>
          <w:b/>
        </w:rPr>
        <w:t>II. Imovina dužnika</w:t>
      </w:r>
    </w:p>
    <w:p w:rsidRDefault="00A7678C" w:rsidP="00A7678C" w:rsidR="00A7678C" w:rsidRPr="00A7678C">
      <w:pPr>
        <w:numPr>
          <w:ilvl w:val="0"/>
          <w:numId w:val="49"/>
        </w:numPr>
        <w:spacing w:after="0"/>
        <w:jc w:val="both"/>
        <w:rPr>
          <w:rFonts w:cs="Calibri" w:hAnsi="Calibri" w:ascii="Calibri"/>
        </w:rPr>
      </w:pPr>
      <w:r w:rsidRPr="00A7678C">
        <w:rPr>
          <w:rFonts w:cs="Calibri" w:hAnsi="Calibri" w:ascii="Calibri"/>
          <w:i/>
          <w:u w:val="single"/>
        </w:rPr>
        <w:t>Nekretnine</w:t>
      </w:r>
    </w:p>
    <w:p w:rsidRDefault="00A7678C" w:rsidP="00A7678C" w:rsidR="00A7678C">
      <w:pPr>
        <w:jc w:val="both"/>
        <w:rPr>
          <w:rFonts w:cs="Calibri" w:hAnsi="Calibri" w:ascii="Calibri"/>
        </w:rPr>
      </w:pPr>
      <w:r>
        <w:rPr>
          <w:rFonts w:cs="Calibri" w:hAnsi="Calibri" w:ascii="Calibri"/>
        </w:rPr>
        <w:t>Prema bilanci za 2017. godinu, dužnik u poslovnima knjigama na pozicijama nekretnina nema zabilježene iste.</w:t>
      </w:r>
    </w:p>
    <w:p w:rsidRDefault="00A7678C" w:rsidP="00A7678C" w:rsidR="00A7678C">
      <w:pPr>
        <w:numPr>
          <w:ilvl w:val="0"/>
          <w:numId w:val="49"/>
        </w:numPr>
        <w:spacing w:after="0"/>
        <w:jc w:val="both"/>
        <w:rPr>
          <w:rFonts w:cs="Calibri" w:hAnsi="Calibri" w:ascii="Calibri"/>
        </w:rPr>
      </w:pPr>
      <w:r>
        <w:rPr>
          <w:rFonts w:cs="Calibri" w:hAnsi="Calibri" w:ascii="Calibri"/>
          <w:i/>
          <w:u w:val="single"/>
        </w:rPr>
        <w:t>Pokretnine</w:t>
      </w:r>
    </w:p>
    <w:p w:rsidRDefault="00A7678C" w:rsidP="00A7678C" w:rsidR="00A7678C">
      <w:pPr>
        <w:jc w:val="both"/>
        <w:rPr>
          <w:rFonts w:cs="Calibri" w:hAnsi="Calibri" w:ascii="Calibri"/>
        </w:rPr>
      </w:pPr>
      <w:r>
        <w:rPr>
          <w:rFonts w:cs="Calibri" w:hAnsi="Calibri" w:ascii="Calibri"/>
        </w:rPr>
        <w:t xml:space="preserve">Dužnik u poslovnim knjigama nema evidentiranu pokretnu imovinu. Dužnik u okviru dugotrajne financijske imovine ima iskazano ulaganje u obliku udjela od 484.500,00 kn (0,31%) u kapitalu društva Črnomerec centar d.o.o. stečeno kroz konverziju potraživanja u </w:t>
      </w:r>
      <w:proofErr w:type="spellStart"/>
      <w:r>
        <w:rPr>
          <w:rFonts w:cs="Calibri" w:hAnsi="Calibri" w:ascii="Calibri"/>
        </w:rPr>
        <w:lastRenderedPageBreak/>
        <w:t>predstečajnom</w:t>
      </w:r>
      <w:proofErr w:type="spellEnd"/>
      <w:r>
        <w:rPr>
          <w:rFonts w:cs="Calibri" w:hAnsi="Calibri" w:ascii="Calibri"/>
        </w:rPr>
        <w:t xml:space="preserve"> postupku nad navedenim društvom. Naplativost ove imovine u slučaju otvaranja stečajnog postupka nad dužnikom je upitna jer ovisi o uvjetima </w:t>
      </w:r>
      <w:proofErr w:type="spellStart"/>
      <w:r>
        <w:rPr>
          <w:rFonts w:cs="Calibri" w:hAnsi="Calibri" w:ascii="Calibri"/>
        </w:rPr>
        <w:t>predstečajnog</w:t>
      </w:r>
      <w:proofErr w:type="spellEnd"/>
      <w:r>
        <w:rPr>
          <w:rFonts w:cs="Calibri" w:hAnsi="Calibri" w:ascii="Calibri"/>
        </w:rPr>
        <w:t xml:space="preserve"> sporazuma temeljem kojih je ovaj udio stečen, odnosno o tome na koji način je sporazumom omogućena prenosivost na treće osobe.</w:t>
      </w:r>
    </w:p>
    <w:p w:rsidRDefault="00A7678C" w:rsidP="00A7678C" w:rsidR="00A7678C">
      <w:pPr>
        <w:jc w:val="both"/>
        <w:rPr>
          <w:rFonts w:cs="Calibri" w:hAnsi="Calibri" w:ascii="Calibri"/>
        </w:rPr>
      </w:pPr>
      <w:r>
        <w:rPr>
          <w:rFonts w:cs="Calibri" w:hAnsi="Calibri" w:ascii="Calibri"/>
        </w:rPr>
        <w:t>Dokaz: Bilanca za 2017. g.</w:t>
      </w:r>
    </w:p>
    <w:p w:rsidRDefault="00A7678C" w:rsidP="00A7678C" w:rsidR="00A7678C">
      <w:pPr>
        <w:numPr>
          <w:ilvl w:val="0"/>
          <w:numId w:val="49"/>
        </w:numPr>
        <w:spacing w:after="0"/>
        <w:jc w:val="both"/>
        <w:rPr>
          <w:rFonts w:cs="Calibri" w:hAnsi="Calibri" w:ascii="Calibri"/>
          <w:i/>
          <w:u w:val="single"/>
        </w:rPr>
      </w:pPr>
      <w:r>
        <w:rPr>
          <w:rFonts w:cs="Calibri" w:hAnsi="Calibri" w:ascii="Calibri"/>
          <w:i/>
          <w:u w:val="single"/>
        </w:rPr>
        <w:t>Ostala kratkotrajna imovina</w:t>
      </w:r>
    </w:p>
    <w:p w:rsidRDefault="00A7678C" w:rsidP="00A7678C" w:rsidR="00A7678C">
      <w:pPr>
        <w:jc w:val="both"/>
        <w:rPr>
          <w:rFonts w:cs="Calibri" w:hAnsi="Calibri" w:ascii="Calibri"/>
        </w:rPr>
      </w:pPr>
    </w:p>
    <w:p w:rsidRDefault="00A7678C" w:rsidP="00A7678C" w:rsidR="00A7678C">
      <w:pPr>
        <w:jc w:val="both"/>
        <w:rPr>
          <w:rFonts w:cs="Calibri" w:hAnsi="Calibri" w:ascii="Calibri"/>
        </w:rPr>
      </w:pPr>
      <w:r>
        <w:rPr>
          <w:rFonts w:cs="Calibri" w:hAnsi="Calibri" w:ascii="Calibri"/>
        </w:rPr>
        <w:t>Dužnik u poslovnim knjigama iskazuje kratkotrajnu imovinu u iznosu od 3.977.851 kn od čega se najveći dio odnosi na potraživanja od kupaca (3.943.095 kn). Najveći dio ovih potraživanja odnosi se na društva iz koncerna Agrokor (3.016.600 kn) čija naplata i otpis će se provesti kroz poseban postupak koji se provodi nad ovim koncernom. Uvidom u dokumentaciju, prijave tražbina i potvrđivanju nagode između vjerovnika i društava iz koncerna Agrokor predviđeno je da se manji dio ove tražbine namiri u novcu (</w:t>
      </w:r>
      <w:proofErr w:type="spellStart"/>
      <w:r>
        <w:rPr>
          <w:rFonts w:cs="Calibri" w:hAnsi="Calibri" w:ascii="Calibri"/>
        </w:rPr>
        <w:t>cca</w:t>
      </w:r>
      <w:proofErr w:type="spellEnd"/>
      <w:r>
        <w:rPr>
          <w:rFonts w:cs="Calibri" w:hAnsi="Calibri" w:ascii="Calibri"/>
        </w:rPr>
        <w:t xml:space="preserve"> 27.000,00 kn) u rokovima predviđenim nagodbom, dok je dio tražbine osporen, a ostatak ide u otpis i nenovčani način namirenja. Također dužnik u bilješkama uz financijske izvještaje navodi da ova potraživanja nisu vrijednosno usklađena tako da je vjerojatno da je veći dio istih u zastari. Zaključak je da je bez obzira na visoko iskazani iznos ovih potraživanja on praktički nenaplativ. Osim kratkotrajnih potraživanja dužnik iskazuje i kratkotrajnu financijsku imovinu u iznosu od 12.153.112,00 kn koja se odnosi na dane zajmove i depozite povezanom društvu </w:t>
      </w:r>
      <w:proofErr w:type="spellStart"/>
      <w:r>
        <w:rPr>
          <w:rFonts w:cs="Calibri" w:hAnsi="Calibri" w:ascii="Calibri"/>
        </w:rPr>
        <w:t>Niva</w:t>
      </w:r>
      <w:proofErr w:type="spellEnd"/>
      <w:r>
        <w:rPr>
          <w:rFonts w:cs="Calibri" w:hAnsi="Calibri" w:ascii="Calibri"/>
        </w:rPr>
        <w:t xml:space="preserve"> d.d. koje društvo je na dan pisanja ovog izvještaja bilo u neprekidnoj blokadi dulje od 365 dana. Naplativost ovog zajma je time upitna jer postoji velika vjerojatnost da će se nad predmetnim zajmoprimcem uskoro pokrenuti stečajni postupak.</w:t>
      </w:r>
    </w:p>
    <w:p w:rsidRDefault="00A7678C" w:rsidP="00A7678C" w:rsidR="00A7678C">
      <w:pPr>
        <w:jc w:val="both"/>
        <w:rPr>
          <w:rFonts w:cs="Calibri" w:hAnsi="Calibri" w:ascii="Calibri"/>
        </w:rPr>
      </w:pPr>
      <w:r>
        <w:rPr>
          <w:rFonts w:cs="Calibri" w:hAnsi="Calibri" w:ascii="Calibri"/>
        </w:rPr>
        <w:t>Dužnik ne iskazuje potraživanja od kupaca.</w:t>
      </w:r>
    </w:p>
    <w:p w:rsidRDefault="00A7678C" w:rsidP="00A7678C" w:rsidR="00A7678C">
      <w:pPr>
        <w:jc w:val="both"/>
        <w:rPr>
          <w:rFonts w:cs="Calibri" w:hAnsi="Calibri" w:ascii="Calibri"/>
        </w:rPr>
      </w:pPr>
      <w:r>
        <w:rPr>
          <w:rFonts w:cs="Calibri" w:hAnsi="Calibri" w:ascii="Calibri"/>
        </w:rPr>
        <w:t>Dokaz: Bilanca za 2017. g., Račun dobiti i gubitka za 2017. g.</w:t>
      </w:r>
    </w:p>
    <w:p w:rsidRDefault="00A7678C" w:rsidP="00A7678C" w:rsidR="00A7678C">
      <w:pPr>
        <w:rPr>
          <w:rFonts w:cs="Calibri" w:hAnsi="Calibri" w:ascii="Calibri"/>
          <w:b/>
        </w:rPr>
      </w:pPr>
      <w:r>
        <w:rPr>
          <w:rFonts w:cs="Calibri" w:hAnsi="Calibri" w:ascii="Calibri"/>
          <w:b/>
        </w:rPr>
        <w:t>III. Obveze dužnika</w:t>
      </w:r>
    </w:p>
    <w:p w:rsidRDefault="00A7678C" w:rsidP="00A7678C" w:rsidR="00A7678C">
      <w:pPr>
        <w:jc w:val="both"/>
        <w:rPr>
          <w:rFonts w:cs="Calibri" w:hAnsi="Calibri" w:ascii="Calibri"/>
        </w:rPr>
      </w:pPr>
      <w:r>
        <w:rPr>
          <w:rFonts w:cs="Calibri" w:hAnsi="Calibri" w:ascii="Calibri"/>
        </w:rPr>
        <w:t>Dužnik iskazuje kratkoročne obveze u bilanci za 2017. g. u iznosu od 18.776.726,00 kn. Ovaj iznos odnosi se na obveze za zajmove i kredite, prema dobavljačima, prema zaposlenima i prema poreznoj upravi te drugim državnim institucijama na ime neplaćenih poreza i doprinosa.</w:t>
      </w:r>
    </w:p>
    <w:p w:rsidRDefault="00A7678C" w:rsidP="00A7678C" w:rsidR="00A7678C">
      <w:pPr>
        <w:jc w:val="both"/>
        <w:rPr>
          <w:rFonts w:cs="Calibri" w:hAnsi="Calibri" w:ascii="Calibri"/>
        </w:rPr>
      </w:pPr>
      <w:r>
        <w:rPr>
          <w:rFonts w:cs="Calibri" w:hAnsi="Calibri" w:ascii="Calibri"/>
        </w:rPr>
        <w:t>Dokaz: Bilanca za 2017. g.</w:t>
      </w:r>
    </w:p>
    <w:p w:rsidRDefault="00A7678C" w:rsidP="00A7678C" w:rsidR="00A7678C">
      <w:pPr>
        <w:jc w:val="both"/>
        <w:rPr>
          <w:rFonts w:cs="Calibri" w:hAnsi="Calibri" w:ascii="Calibri"/>
        </w:rPr>
      </w:pPr>
      <w:r>
        <w:rPr>
          <w:rFonts w:cs="Calibri" w:hAnsi="Calibri" w:ascii="Calibri"/>
          <w:b/>
        </w:rPr>
        <w:t>IV. Stečajni razlozi</w:t>
      </w:r>
    </w:p>
    <w:p w:rsidRDefault="00A7678C" w:rsidP="00A7678C" w:rsidR="00A7678C">
      <w:pPr>
        <w:jc w:val="both"/>
        <w:rPr>
          <w:rFonts w:cs="Calibri" w:hAnsi="Calibri" w:ascii="Calibri"/>
        </w:rPr>
      </w:pPr>
      <w:r>
        <w:rPr>
          <w:rFonts w:cs="Calibri" w:hAnsi="Calibri" w:ascii="Calibri"/>
        </w:rPr>
        <w:t>Kako se dužnik na dan 30. srpnja 2018. godine nalazi u neprekidnoj blokadi više od 483 dana te time više od 60 dana kasni u ispunjenju svojih novčanih obveza, na strani dužnika nedvojbeno je ispunjen stečajni razlog nesposobnosti za plaćanje u smislu odredbe čl. 6. st. 2. Stečajnog zakona.</w:t>
      </w:r>
    </w:p>
    <w:p w:rsidRDefault="00A7678C" w:rsidP="00A7678C" w:rsidR="00A7678C">
      <w:pPr>
        <w:jc w:val="both"/>
        <w:rPr>
          <w:rFonts w:cs="Calibri" w:hAnsi="Calibri" w:ascii="Calibri"/>
        </w:rPr>
      </w:pPr>
      <w:r>
        <w:rPr>
          <w:rFonts w:cs="Calibri" w:hAnsi="Calibri" w:ascii="Calibri"/>
        </w:rPr>
        <w:t>Dokaz: Ispis o stanju blokade s portala Poslovna Hrvatska od 27.08.2018.</w:t>
      </w:r>
    </w:p>
    <w:p w:rsidRDefault="00A7678C" w:rsidP="00A7678C" w:rsidR="00A7678C">
      <w:pPr>
        <w:jc w:val="both"/>
        <w:rPr>
          <w:rFonts w:cs="Calibri" w:hAnsi="Calibri" w:ascii="Calibri"/>
        </w:rPr>
      </w:pPr>
    </w:p>
    <w:p w:rsidRDefault="00A7678C" w:rsidP="00A7678C" w:rsidR="00A7678C">
      <w:pPr>
        <w:jc w:val="both"/>
        <w:rPr>
          <w:rFonts w:cs="Calibri" w:hAnsi="Calibri" w:ascii="Calibri"/>
        </w:rPr>
      </w:pPr>
    </w:p>
    <w:p w:rsidRDefault="00A7678C" w:rsidP="00A7678C" w:rsidR="00A7678C">
      <w:pPr>
        <w:jc w:val="both"/>
        <w:rPr>
          <w:rFonts w:cs="Calibri" w:hAnsi="Calibri" w:ascii="Calibri"/>
          <w:b/>
        </w:rPr>
      </w:pPr>
      <w:r>
        <w:rPr>
          <w:rFonts w:cs="Calibri" w:hAnsi="Calibri" w:ascii="Calibri"/>
          <w:b/>
        </w:rPr>
        <w:t>V. Predvidivi troškovi stečajnog postupka</w:t>
      </w:r>
    </w:p>
    <w:tbl>
      <w:tblPr>
        <w:tblW w:type="pct" w:w="4146"/>
        <w:jc w:val="center"/>
        <w:tblCellMar>
          <w:left w:type="dxa" w:w="0"/>
          <w:right w:type="dxa" w:w="0"/>
        </w:tblCellMar>
        <w:tblLook w:val="04A0" w:noVBand="1" w:noHBand="0" w:lastColumn="0" w:firstColumn="1" w:lastRow="0" w:firstRow="1"/>
      </w:tblPr>
      <w:tblGrid>
        <w:gridCol w:w="6168"/>
        <w:gridCol w:w="1534"/>
      </w:tblGrid>
      <w:tr w:rsidTr="00A7678C" w:rsidR="00A7678C">
        <w:trPr>
          <w:trHeight w:val="262"/>
          <w:jc w:val="center"/>
        </w:trPr>
        <w:tc>
          <w:tcPr>
            <w:tcW w:type="pct" w:w="4004"/>
            <w:tcBorders>
              <w:top w:space="0" w:sz="8" w:color="auto" w:val="single"/>
              <w:left w:space="0" w:sz="8" w:color="auto" w:val="single"/>
              <w:bottom w:space="0" w:sz="8" w:color="auto" w:val="single"/>
              <w:right w:space="0" w:sz="8" w:color="auto" w:val="single"/>
            </w:tcBorders>
            <w:shd w:fill="BFBFBF" w:color="auto" w:val="clear"/>
            <w:noWrap/>
            <w:tcMar>
              <w:top w:type="dxa" w:w="0"/>
              <w:left w:type="dxa" w:w="108"/>
              <w:bottom w:type="dxa" w:w="0"/>
              <w:right w:type="dxa" w:w="108"/>
            </w:tcMar>
            <w:vAlign w:val="bottom"/>
            <w:hideMark/>
          </w:tcPr>
          <w:p w:rsidRDefault="00A7678C" w:rsidR="00A7678C">
            <w:pPr>
              <w:jc w:val="center"/>
              <w:rPr>
                <w:rFonts w:cs="Calibri" w:hAnsi="Calibri" w:ascii="Calibri"/>
                <w:b/>
                <w:bCs/>
                <w:sz w:val="18"/>
                <w:szCs w:val="18"/>
              </w:rPr>
            </w:pPr>
            <w:r>
              <w:rPr>
                <w:rFonts w:cs="Calibri" w:hAnsi="Calibri" w:ascii="Calibri"/>
                <w:b/>
                <w:bCs/>
                <w:sz w:val="18"/>
                <w:szCs w:val="18"/>
              </w:rPr>
              <w:t>Opis</w:t>
            </w:r>
          </w:p>
        </w:tc>
        <w:tc>
          <w:tcPr>
            <w:tcW w:type="pct" w:w="996"/>
            <w:tcBorders>
              <w:top w:space="0" w:sz="8" w:color="auto" w:val="single"/>
              <w:left w:val="nil"/>
              <w:bottom w:space="0" w:sz="8" w:color="auto" w:val="single"/>
              <w:right w:space="0" w:sz="8" w:color="auto" w:val="single"/>
            </w:tcBorders>
            <w:shd w:fill="BFBFBF" w:color="auto" w:val="clear"/>
            <w:noWrap/>
            <w:tcMar>
              <w:top w:type="dxa" w:w="0"/>
              <w:left w:type="dxa" w:w="108"/>
              <w:bottom w:type="dxa" w:w="0"/>
              <w:right w:type="dxa" w:w="108"/>
            </w:tcMar>
            <w:vAlign w:val="bottom"/>
            <w:hideMark/>
          </w:tcPr>
          <w:p w:rsidRDefault="00A7678C" w:rsidR="00A7678C">
            <w:pPr>
              <w:jc w:val="center"/>
              <w:rPr>
                <w:rFonts w:cs="Calibri" w:hAnsi="Calibri" w:ascii="Calibri"/>
                <w:b/>
                <w:bCs/>
                <w:sz w:val="18"/>
                <w:szCs w:val="18"/>
              </w:rPr>
            </w:pPr>
            <w:r>
              <w:rPr>
                <w:rFonts w:cs="Calibri" w:hAnsi="Calibri" w:ascii="Calibri"/>
                <w:b/>
                <w:bCs/>
                <w:sz w:val="18"/>
                <w:szCs w:val="18"/>
              </w:rPr>
              <w:t>Iznos (kn)</w:t>
            </w:r>
          </w:p>
        </w:tc>
      </w:tr>
      <w:tr w:rsidTr="00A7678C" w:rsidR="00A7678C">
        <w:trPr>
          <w:trHeight w:val="262"/>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A7678C" w:rsidR="00A7678C">
            <w:pPr>
              <w:rPr>
                <w:rFonts w:cs="Calibri" w:hAnsi="Calibri" w:ascii="Calibri"/>
                <w:sz w:val="18"/>
                <w:szCs w:val="18"/>
              </w:rPr>
            </w:pPr>
            <w:r>
              <w:rPr>
                <w:rFonts w:cs="Calibri" w:hAnsi="Calibri" w:ascii="Calibri"/>
                <w:sz w:val="18"/>
                <w:szCs w:val="18"/>
              </w:rPr>
              <w:t>Knjigovodstvene usluge (12 mjeseci * 1.000,00 kn)</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A7678C" w:rsidR="00A7678C">
            <w:pPr>
              <w:jc w:val="right"/>
              <w:rPr>
                <w:rFonts w:cs="Calibri" w:hAnsi="Calibri" w:ascii="Calibri"/>
                <w:sz w:val="18"/>
                <w:szCs w:val="18"/>
              </w:rPr>
            </w:pPr>
            <w:r>
              <w:rPr>
                <w:rFonts w:cs="Calibri" w:hAnsi="Calibri" w:ascii="Calibri"/>
                <w:sz w:val="18"/>
                <w:szCs w:val="18"/>
              </w:rPr>
              <w:t>12.000,00</w:t>
            </w:r>
          </w:p>
        </w:tc>
      </w:tr>
      <w:tr w:rsidTr="00A7678C" w:rsidR="00A7678C">
        <w:trPr>
          <w:trHeight w:val="262"/>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A7678C" w:rsidR="00A7678C">
            <w:pPr>
              <w:rPr>
                <w:rFonts w:cs="Calibri" w:hAnsi="Calibri" w:ascii="Calibri"/>
                <w:sz w:val="18"/>
                <w:szCs w:val="18"/>
              </w:rPr>
            </w:pPr>
            <w:r>
              <w:rPr>
                <w:rFonts w:cs="Calibri" w:hAnsi="Calibri" w:ascii="Calibri"/>
                <w:sz w:val="18"/>
                <w:szCs w:val="18"/>
              </w:rPr>
              <w:t xml:space="preserve">Ostali troškovi (platni promet, žiro račun, arhiviranje, pristojbe) </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A7678C" w:rsidR="00A7678C">
            <w:pPr>
              <w:jc w:val="right"/>
              <w:rPr>
                <w:rFonts w:cs="Calibri" w:hAnsi="Calibri" w:ascii="Calibri"/>
                <w:sz w:val="18"/>
                <w:szCs w:val="18"/>
              </w:rPr>
            </w:pPr>
            <w:r>
              <w:rPr>
                <w:rFonts w:cs="Calibri" w:hAnsi="Calibri" w:ascii="Calibri"/>
                <w:sz w:val="18"/>
                <w:szCs w:val="18"/>
              </w:rPr>
              <w:t>4.000,00</w:t>
            </w:r>
          </w:p>
        </w:tc>
      </w:tr>
      <w:tr w:rsidTr="00A7678C" w:rsidR="00A7678C">
        <w:trPr>
          <w:trHeight w:val="262"/>
          <w:jc w:val="center"/>
        </w:trPr>
        <w:tc>
          <w:tcPr>
            <w:tcW w:type="pct" w:w="4004"/>
            <w:tcBorders>
              <w:top w:val="nil"/>
              <w:left w:space="0" w:sz="8" w:color="auto" w:val="single"/>
              <w:bottom w:space="0" w:sz="8" w:color="auto" w:val="single"/>
              <w:right w:space="0" w:sz="8" w:color="auto" w:val="single"/>
            </w:tcBorders>
            <w:noWrap/>
            <w:tcMar>
              <w:top w:type="dxa" w:w="0"/>
              <w:left w:type="dxa" w:w="108"/>
              <w:bottom w:type="dxa" w:w="0"/>
              <w:right w:type="dxa" w:w="108"/>
            </w:tcMar>
            <w:vAlign w:val="bottom"/>
            <w:hideMark/>
          </w:tcPr>
          <w:p w:rsidRDefault="00A7678C" w:rsidR="00A7678C">
            <w:pPr>
              <w:rPr>
                <w:rFonts w:cs="Calibri" w:hAnsi="Calibri" w:ascii="Calibri"/>
                <w:sz w:val="18"/>
                <w:szCs w:val="18"/>
              </w:rPr>
            </w:pPr>
            <w:r>
              <w:rPr>
                <w:rFonts w:cs="Calibri" w:hAnsi="Calibri" w:ascii="Calibri"/>
                <w:sz w:val="18"/>
                <w:szCs w:val="18"/>
              </w:rPr>
              <w:t xml:space="preserve">Nagrada i troškovi st. upravitelja (bruto prethodni + </w:t>
            </w:r>
            <w:proofErr w:type="spellStart"/>
            <w:r>
              <w:rPr>
                <w:rFonts w:cs="Calibri" w:hAnsi="Calibri" w:ascii="Calibri"/>
                <w:sz w:val="18"/>
                <w:szCs w:val="18"/>
              </w:rPr>
              <w:t>ot</w:t>
            </w:r>
            <w:proofErr w:type="spellEnd"/>
            <w:r>
              <w:rPr>
                <w:rFonts w:cs="Calibri" w:hAnsi="Calibri" w:ascii="Calibri"/>
                <w:sz w:val="18"/>
                <w:szCs w:val="18"/>
              </w:rPr>
              <w:t xml:space="preserve">. </w:t>
            </w:r>
            <w:proofErr w:type="spellStart"/>
            <w:r>
              <w:rPr>
                <w:rFonts w:cs="Calibri" w:hAnsi="Calibri" w:ascii="Calibri"/>
                <w:sz w:val="18"/>
                <w:szCs w:val="18"/>
              </w:rPr>
              <w:t>Steč</w:t>
            </w:r>
            <w:proofErr w:type="spellEnd"/>
            <w:r>
              <w:rPr>
                <w:rFonts w:cs="Calibri" w:hAnsi="Calibri" w:ascii="Calibri"/>
                <w:sz w:val="18"/>
                <w:szCs w:val="18"/>
              </w:rPr>
              <w:t xml:space="preserve">. postupak) </w:t>
            </w:r>
          </w:p>
        </w:tc>
        <w:tc>
          <w:tcPr>
            <w:tcW w:type="pct" w:w="996"/>
            <w:tcBorders>
              <w:top w:val="nil"/>
              <w:left w:val="nil"/>
              <w:bottom w:space="0" w:sz="8" w:color="auto" w:val="single"/>
              <w:right w:space="0" w:sz="8" w:color="auto" w:val="single"/>
            </w:tcBorders>
            <w:noWrap/>
            <w:tcMar>
              <w:top w:type="dxa" w:w="0"/>
              <w:left w:type="dxa" w:w="108"/>
              <w:bottom w:type="dxa" w:w="0"/>
              <w:right w:type="dxa" w:w="108"/>
            </w:tcMar>
            <w:vAlign w:val="bottom"/>
            <w:hideMark/>
          </w:tcPr>
          <w:p w:rsidRDefault="00A7678C" w:rsidR="00A7678C">
            <w:pPr>
              <w:jc w:val="right"/>
              <w:rPr>
                <w:rFonts w:cs="Calibri" w:hAnsi="Calibri" w:ascii="Calibri"/>
                <w:sz w:val="18"/>
                <w:szCs w:val="18"/>
              </w:rPr>
            </w:pPr>
            <w:r>
              <w:rPr>
                <w:rFonts w:cs="Calibri" w:hAnsi="Calibri" w:ascii="Calibri"/>
                <w:sz w:val="18"/>
                <w:szCs w:val="18"/>
              </w:rPr>
              <w:t>20.000,00</w:t>
            </w:r>
          </w:p>
        </w:tc>
      </w:tr>
      <w:tr w:rsidTr="00A7678C" w:rsidR="00A7678C">
        <w:trPr>
          <w:trHeight w:val="262"/>
          <w:jc w:val="center"/>
        </w:trPr>
        <w:tc>
          <w:tcPr>
            <w:tcW w:type="pct" w:w="4004"/>
            <w:tcBorders>
              <w:top w:val="nil"/>
              <w:left w:space="0" w:sz="8" w:color="auto" w:val="single"/>
              <w:bottom w:space="0" w:sz="8" w:color="auto" w:val="single"/>
              <w:right w:space="0" w:sz="8" w:color="auto" w:val="single"/>
            </w:tcBorders>
            <w:shd w:fill="BFBFBF" w:color="auto" w:val="clear"/>
            <w:noWrap/>
            <w:tcMar>
              <w:top w:type="dxa" w:w="0"/>
              <w:left w:type="dxa" w:w="108"/>
              <w:bottom w:type="dxa" w:w="0"/>
              <w:right w:type="dxa" w:w="108"/>
            </w:tcMar>
            <w:vAlign w:val="bottom"/>
            <w:hideMark/>
          </w:tcPr>
          <w:p w:rsidRDefault="00A7678C" w:rsidR="00A7678C">
            <w:pPr>
              <w:rPr>
                <w:rFonts w:cs="Calibri" w:hAnsi="Calibri" w:ascii="Calibri"/>
                <w:b/>
                <w:bCs/>
                <w:sz w:val="18"/>
                <w:szCs w:val="18"/>
              </w:rPr>
            </w:pPr>
            <w:r>
              <w:rPr>
                <w:rFonts w:cs="Calibri" w:hAnsi="Calibri" w:ascii="Calibri"/>
                <w:b/>
                <w:bCs/>
                <w:sz w:val="18"/>
                <w:szCs w:val="18"/>
              </w:rPr>
              <w:t>UKUPNO</w:t>
            </w:r>
          </w:p>
        </w:tc>
        <w:tc>
          <w:tcPr>
            <w:tcW w:type="pct" w:w="996"/>
            <w:tcBorders>
              <w:top w:val="nil"/>
              <w:left w:val="nil"/>
              <w:bottom w:space="0" w:sz="8" w:color="auto" w:val="single"/>
              <w:right w:space="0" w:sz="8" w:color="auto" w:val="single"/>
            </w:tcBorders>
            <w:shd w:fill="BFBFBF" w:color="auto" w:val="clear"/>
            <w:noWrap/>
            <w:tcMar>
              <w:top w:type="dxa" w:w="0"/>
              <w:left w:type="dxa" w:w="108"/>
              <w:bottom w:type="dxa" w:w="0"/>
              <w:right w:type="dxa" w:w="108"/>
            </w:tcMar>
            <w:vAlign w:val="bottom"/>
            <w:hideMark/>
          </w:tcPr>
          <w:p w:rsidRDefault="00A7678C" w:rsidR="00A7678C">
            <w:pPr>
              <w:jc w:val="right"/>
              <w:rPr>
                <w:rFonts w:cs="Calibri" w:hAnsi="Calibri" w:ascii="Calibri"/>
                <w:b/>
                <w:sz w:val="18"/>
                <w:szCs w:val="18"/>
              </w:rPr>
            </w:pPr>
            <w:r>
              <w:rPr>
                <w:rFonts w:cs="Calibri" w:hAnsi="Calibri" w:ascii="Calibri"/>
                <w:b/>
                <w:sz w:val="18"/>
                <w:szCs w:val="18"/>
              </w:rPr>
              <w:t>36.000,00</w:t>
            </w:r>
          </w:p>
        </w:tc>
      </w:tr>
    </w:tbl>
    <w:p w:rsidRDefault="00A7678C" w:rsidP="00A7678C" w:rsidR="00A7678C">
      <w:pPr>
        <w:rPr>
          <w:rFonts w:cs="Calibri" w:hAnsi="Calibri" w:ascii="Calibri"/>
          <w:b/>
        </w:rPr>
      </w:pPr>
    </w:p>
    <w:p w:rsidRDefault="00A7678C" w:rsidP="00A7678C" w:rsidR="00A7678C">
      <w:pPr>
        <w:rPr>
          <w:rFonts w:cs="Calibri" w:hAnsi="Calibri" w:ascii="Calibri"/>
        </w:rPr>
      </w:pPr>
      <w:r>
        <w:rPr>
          <w:rFonts w:cs="Calibri" w:hAnsi="Calibri" w:ascii="Calibri"/>
          <w:b/>
        </w:rPr>
        <w:t xml:space="preserve">VI. Zaključno </w:t>
      </w:r>
    </w:p>
    <w:p w:rsidRDefault="00A7678C" w:rsidP="00A7678C" w:rsidR="00A7678C">
      <w:pPr>
        <w:jc w:val="both"/>
        <w:rPr>
          <w:rFonts w:cs="Calibri" w:hAnsi="Calibri" w:ascii="Calibri"/>
        </w:rPr>
      </w:pPr>
      <w:r>
        <w:rPr>
          <w:rFonts w:cs="Calibri" w:hAnsi="Calibri" w:ascii="Calibri"/>
        </w:rPr>
        <w:t xml:space="preserve">Na strani dužnika neosporno egzistiraju stečajni razlozi nelikvidnosti i nesposobnosti za plaćanje prema odredbama iz čl. 6. i 7. Stečajnog zakona. Kako je vrijednost i dostatnost imovine dužnika, prema naprijed iznesenom, upitna za podmirenje troškova stečajnog postupka, privremeni stečajni upravitelj predlaže stečajnom sucu, u smislu odredbe čl. 132. st. 1. SZ rješenjem pozvati osobe koje imaju pravni interes za provedbom stečajnog postupka, u roku od 15 dana, uplatiti predujam u iznosu od 36.000,00 kn za namirenje troškova prethodnog i otvorenog stečajnog postupka. </w:t>
      </w:r>
    </w:p>
    <w:p w:rsidRDefault="00A7678C" w:rsidP="00A7678C" w:rsidR="00A7678C">
      <w:pPr>
        <w:jc w:val="both"/>
        <w:rPr>
          <w:rFonts w:cs="Calibri" w:hAnsi="Calibri" w:ascii="Calibri"/>
        </w:rPr>
      </w:pPr>
      <w:r>
        <w:rPr>
          <w:rFonts w:cs="Calibri" w:hAnsi="Calibri" w:ascii="Calibri"/>
        </w:rPr>
        <w:t>Ukoliko nitko u određenom roku ne uplati predujam, predlaže se donijeti rješenje o otvaranju i zaključenju stečajnog postupka nad dužnikom NIVA KONZALTING d.o.o. za projektiranje i građenje, Zagreb, Gradišćanska 34, OIB: 77599195098.</w:t>
      </w:r>
    </w:p>
    <w:p w:rsidRDefault="00A7678C" w:rsidP="00A7678C" w:rsidR="00A7678C">
      <w:pPr>
        <w:rPr>
          <w:rFonts w:cs="Calibri" w:hAnsi="Calibri" w:ascii="Calibri"/>
        </w:rPr>
      </w:pPr>
      <w:bookmarkStart w:name="_GoBack" w:id="1"/>
      <w:bookmarkEnd w:id="1"/>
      <w:r>
        <w:rPr>
          <w:rFonts w:cs="Calibri" w:hAnsi="Calibri" w:ascii="Calibri"/>
        </w:rPr>
        <w:t>Osijek, 28. kolovoza 2018.</w:t>
      </w:r>
    </w:p>
    <w:p w:rsidRDefault="00A7678C" w:rsidP="00A7678C" w:rsidR="00A7678C">
      <w:pPr>
        <w:rPr>
          <w:rFonts w:cs="Calibri" w:hAnsi="Calibri" w:ascii="Calibri"/>
        </w:rPr>
      </w:pPr>
    </w:p>
    <w:p w:rsidRDefault="00A7678C" w:rsidP="00A7678C" w:rsidR="00A7678C">
      <w:pPr>
        <w:rPr>
          <w:rFonts w:cs="Calibri" w:hAnsi="Calibri" w:ascii="Calibri"/>
        </w:rPr>
      </w:pPr>
      <w:r>
        <w:rPr>
          <w:rFonts w:cs="Calibri" w:hAnsi="Calibri" w:ascii="Calibri"/>
        </w:rPr>
        <w:tab/>
      </w:r>
      <w:r>
        <w:rPr>
          <w:rFonts w:cs="Calibri" w:hAnsi="Calibri" w:ascii="Calibri"/>
        </w:rPr>
        <w:tab/>
      </w:r>
      <w:r>
        <w:rPr>
          <w:rFonts w:cs="Calibri" w:hAnsi="Calibri" w:ascii="Calibri"/>
        </w:rPr>
        <w:tab/>
      </w:r>
      <w:r>
        <w:rPr>
          <w:rFonts w:cs="Calibri" w:hAnsi="Calibri" w:ascii="Calibri"/>
        </w:rPr>
        <w:tab/>
      </w:r>
      <w:r>
        <w:rPr>
          <w:rFonts w:cs="Calibri" w:hAnsi="Calibri" w:ascii="Calibri"/>
        </w:rPr>
        <w:tab/>
      </w:r>
      <w:r>
        <w:rPr>
          <w:rFonts w:cs="Calibri" w:hAnsi="Calibri" w:ascii="Calibri"/>
        </w:rPr>
        <w:tab/>
      </w:r>
      <w:r>
        <w:rPr>
          <w:rFonts w:cs="Calibri" w:hAnsi="Calibri" w:ascii="Calibri"/>
        </w:rPr>
        <w:tab/>
      </w:r>
      <w:r>
        <w:rPr>
          <w:rFonts w:cs="Calibri" w:hAnsi="Calibri" w:ascii="Calibri"/>
        </w:rPr>
        <w:tab/>
        <w:t>Privremeni stečajni upravitelj:</w:t>
      </w:r>
      <w:r>
        <w:rPr>
          <w:rFonts w:cs="Calibri" w:hAnsi="Calibri" w:ascii="Calibri"/>
        </w:rPr>
        <w:tab/>
      </w:r>
      <w:r>
        <w:rPr>
          <w:rFonts w:cs="Calibri" w:hAnsi="Calibri" w:ascii="Calibri"/>
        </w:rPr>
        <w:tab/>
      </w:r>
      <w:r>
        <w:rPr>
          <w:rFonts w:cs="Calibri" w:hAnsi="Calibri" w:ascii="Calibri"/>
        </w:rPr>
        <w:tab/>
      </w:r>
      <w:r>
        <w:rPr>
          <w:rFonts w:cs="Calibri" w:hAnsi="Calibri" w:ascii="Calibri"/>
        </w:rPr>
        <w:tab/>
      </w:r>
      <w:r>
        <w:rPr>
          <w:rFonts w:cs="Calibri" w:hAnsi="Calibri" w:ascii="Calibri"/>
        </w:rPr>
        <w:tab/>
      </w:r>
      <w:r>
        <w:rPr>
          <w:rFonts w:cs="Calibri" w:hAnsi="Calibri" w:ascii="Calibri"/>
        </w:rPr>
        <w:tab/>
      </w:r>
      <w:r>
        <w:rPr>
          <w:rFonts w:cs="Calibri" w:hAnsi="Calibri" w:ascii="Calibri"/>
        </w:rPr>
        <w:tab/>
      </w:r>
      <w:r>
        <w:rPr>
          <w:rFonts w:cs="Calibri" w:hAnsi="Calibri" w:ascii="Calibri"/>
        </w:rPr>
        <w:tab/>
        <w:t>Vinko Ljubičić</w:t>
      </w:r>
    </w:p>
    <w:p w:rsidRDefault="00A7678C" w:rsidP="00A7678C" w:rsidR="00A7678C">
      <w:pPr>
        <w:rPr>
          <w:rFonts w:cs="Calibri" w:hAnsi="Calibri" w:ascii="Calibri"/>
        </w:rPr>
      </w:pPr>
    </w:p>
    <w:p w:rsidRDefault="00A7678C" w:rsidP="00A7678C" w:rsidR="00A7678C">
      <w:pPr>
        <w:rPr>
          <w:rFonts w:cs="Calibri" w:hAnsi="Calibri" w:ascii="Calibri"/>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2B469D5"/>
    <w:multiLevelType w:val="hybridMultilevel"/>
    <w:tmpl w:val="D2D00D1E"/>
    <w:lvl w:tplc="49B4FF70" w:ilvl="0">
      <w:start w:val="1"/>
      <w:numFmt w:val="bullet"/>
      <w:lvlText w:val="-"/>
      <w:lvlJc w:val="left"/>
      <w:pPr>
        <w:ind w:hanging="360" w:left="720"/>
      </w:pPr>
      <w:rPr>
        <w:rFonts w:cs="Calibri" w:eastAsia="Times New Roman"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1">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2">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3">
    <w:nsid w:val="0B2B2107"/>
    <w:multiLevelType w:val="multilevel"/>
    <w:tmpl w:val="0CB608A8"/>
    <w:numStyleLink w:val="NumListI"/>
  </w:abstractNum>
  <w:abstractNum w:abstractNumId="14">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91644B"/>
    <w:multiLevelType w:val="hybridMultilevel"/>
    <w:tmpl w:val="CC46467C"/>
    <w:lvl w:tplc="49B4FF70" w:ilvl="0">
      <w:start w:val="1"/>
      <w:numFmt w:val="bullet"/>
      <w:lvlText w:val="-"/>
      <w:lvlJc w:val="left"/>
      <w:pPr>
        <w:ind w:hanging="360" w:left="720"/>
      </w:pPr>
      <w:rPr>
        <w:rFonts w:cs="Calibri" w:eastAsia="Times New Roman" w:hAnsi="Calibri" w:ascii="Calibri"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8FF33B2"/>
    <w:multiLevelType w:val="hybridMultilevel"/>
    <w:tmpl w:val="BDC26E2C"/>
    <w:lvl w:tplc="F516D67E" w:ilvl="0">
      <w:start w:val="1"/>
      <w:numFmt w:val="lowerLetter"/>
      <w:lvlText w:val="%1)"/>
      <w:lvlJc w:val="left"/>
      <w:pPr>
        <w:ind w:hanging="360" w:left="720"/>
      </w:pPr>
      <w:rPr>
        <w:i/>
      </w:rPr>
    </w:lvl>
    <w:lvl w:tplc="101A0019" w:ilvl="1">
      <w:start w:val="1"/>
      <w:numFmt w:val="lowerLetter"/>
      <w:lvlText w:val="%2."/>
      <w:lvlJc w:val="left"/>
      <w:pPr>
        <w:ind w:hanging="360" w:left="1440"/>
      </w:pPr>
    </w:lvl>
    <w:lvl w:tplc="101A001B" w:ilvl="2">
      <w:start w:val="1"/>
      <w:numFmt w:val="lowerRoman"/>
      <w:lvlText w:val="%3."/>
      <w:lvlJc w:val="right"/>
      <w:pPr>
        <w:ind w:hanging="180" w:left="2160"/>
      </w:pPr>
    </w:lvl>
    <w:lvl w:tplc="101A000F" w:ilvl="3">
      <w:start w:val="1"/>
      <w:numFmt w:val="decimal"/>
      <w:lvlText w:val="%4."/>
      <w:lvlJc w:val="left"/>
      <w:pPr>
        <w:ind w:hanging="360" w:left="2880"/>
      </w:pPr>
    </w:lvl>
    <w:lvl w:tplc="101A0019" w:ilvl="4">
      <w:start w:val="1"/>
      <w:numFmt w:val="lowerLetter"/>
      <w:lvlText w:val="%5."/>
      <w:lvlJc w:val="left"/>
      <w:pPr>
        <w:ind w:hanging="360" w:left="3600"/>
      </w:pPr>
    </w:lvl>
    <w:lvl w:tplc="101A001B" w:ilvl="5">
      <w:start w:val="1"/>
      <w:numFmt w:val="lowerRoman"/>
      <w:lvlText w:val="%6."/>
      <w:lvlJc w:val="right"/>
      <w:pPr>
        <w:ind w:hanging="180" w:left="4320"/>
      </w:pPr>
    </w:lvl>
    <w:lvl w:tplc="101A000F" w:ilvl="6">
      <w:start w:val="1"/>
      <w:numFmt w:val="decimal"/>
      <w:lvlText w:val="%7."/>
      <w:lvlJc w:val="left"/>
      <w:pPr>
        <w:ind w:hanging="360" w:left="5040"/>
      </w:pPr>
    </w:lvl>
    <w:lvl w:tplc="101A0019" w:ilvl="7">
      <w:start w:val="1"/>
      <w:numFmt w:val="lowerLetter"/>
      <w:lvlText w:val="%8."/>
      <w:lvlJc w:val="left"/>
      <w:pPr>
        <w:ind w:hanging="360" w:left="5760"/>
      </w:pPr>
    </w:lvl>
    <w:lvl w:tplc="101A001B" w:ilvl="8">
      <w:start w:val="1"/>
      <w:numFmt w:val="lowerRoman"/>
      <w:lvlText w:val="%9."/>
      <w:lvlJc w:val="right"/>
      <w:pPr>
        <w:ind w:hanging="180" w:left="6480"/>
      </w:pPr>
    </w:lvl>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4"/>
  </w:num>
  <w:num w:numId="6">
    <w:abstractNumId w:val="20"/>
  </w:num>
  <w:num w:numId="7">
    <w:abstractNumId w:val="21"/>
  </w:num>
  <w:num w:numId="8">
    <w:abstractNumId w:val="29"/>
  </w:num>
  <w:num w:numId="9">
    <w:abstractNumId w:val="16"/>
  </w:num>
  <w:num w:numId="10">
    <w:abstractNumId w:val="35"/>
  </w:num>
  <w:num w:numId="11">
    <w:abstractNumId w:val="15"/>
  </w:num>
  <w:num w:numId="12">
    <w:abstractNumId w:val="14"/>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2"/>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1"/>
  </w:num>
  <w:num w:numId="40">
    <w:abstractNumId w:val="10"/>
  </w:num>
  <w:num w:numId="41">
    <w:abstractNumId w:val="39"/>
  </w:num>
  <w:num w:numId="42">
    <w:abstractNumId w:val="45"/>
  </w:num>
  <w:num w:numId="43">
    <w:abstractNumId w:val="13"/>
  </w:num>
  <w:num w:numId="44">
    <w:abstractNumId w:val="42"/>
  </w:num>
  <w:num w:numId="45">
    <w:abstractNumId w:val="17"/>
  </w:num>
  <w:num w:numId="46">
    <w:abstractNumId w:val="17"/>
    <w:lvlOverride w:ilvl="0">
      <w:startOverride w:val="1"/>
    </w:lvlOverride>
  </w:num>
  <w:num w:numId="47">
    <w:abstractNumId w:val="40"/>
    <w:lvlOverride w:ilvl="0"/>
    <w:lvlOverride w:ilvl="1"/>
    <w:lvlOverride w:ilvl="2"/>
    <w:lvlOverride w:ilvl="3"/>
    <w:lvlOverride w:ilvl="4"/>
    <w:lvlOverride w:ilvl="5"/>
    <w:lvlOverride w:ilvl="6"/>
    <w:lvlOverride w:ilvl="7"/>
    <w:lvlOverride w:ilvl="8"/>
  </w:num>
  <w:num w:numId="48">
    <w:abstractNumId w:val="9"/>
    <w:lvlOverride w:ilvl="0"/>
    <w:lvlOverride w:ilvl="1"/>
    <w:lvlOverride w:ilvl="2"/>
    <w:lvlOverride w:ilvl="3"/>
    <w:lvlOverride w:ilvl="4"/>
    <w:lvlOverride w:ilvl="5"/>
    <w:lvlOverride w:ilvl="6"/>
    <w:lvlOverride w:ilvl="7"/>
    <w:lvlOverride w:ilvl="8"/>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678C"/>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075122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St-200/2018-7</izvorni_sadrzaj>
    <derivirana_varijabla naziv="DomainObject.Oznaka_1">St-200/2018-7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izvorni_sadrzaj>
    <derivirana_varijabla naziv="DomainObject.Predmet.Broj_1">200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St-200/2018</izvorni_sadrzaj>
    <derivirana_varijabla naziv="DomainObject.Predmet.OznakaBroj_1">St-200/2018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NIVA KONZALTING d.o.o.</izvorni_sadrzaj>
    <derivirana_varijabla naziv="DomainObject.Predmet.ProtustrankaFormated_1">  NIVA KONZALTING d.o.o.</derivirana_varijabla>
  </DomainObject.Predmet.ProtustrankaFormated>
  <DomainObject.Predmet.ProtustrankaFormatedOIB>
    <izvorni_sadrzaj>  NIVA KONZALTING d.o.o., OIB 77599195098</izvorni_sadrzaj>
    <derivirana_varijabla naziv="DomainObject.Predmet.ProtustrankaFormatedOIB_1">  NIVA KONZALTING d.o.o., OIB 77599195098</derivirana_varijabla>
  </DomainObject.Predmet.ProtustrankaFormatedOIB>
  <DomainObject.Predmet.ProtustrankaFormatedWithAdress>
    <izvorni_sadrzaj> NIVA KONZALTING d.o.o., Gradišćanska 34, 10000 Zagreb</izvorni_sadrzaj>
    <derivirana_varijabla naziv="DomainObject.Predmet.ProtustrankaFormatedWithAdress_1"> NIVA KONZALTING d.o.o., Gradišćanska 34, 10000 Zagreb</derivirana_varijabla>
  </DomainObject.Predmet.ProtustrankaFormatedWithAdress>
  <DomainObject.Predmet.ProtustrankaFormatedWithAdressOIB>
    <izvorni_sadrzaj> NIVA KONZALTING d.o.o., OIB 77599195098, Gradišćanska 34, 10000 Zagreb</izvorni_sadrzaj>
    <derivirana_varijabla naziv="DomainObject.Predmet.ProtustrankaFormatedWithAdressOIB_1"> NIVA KONZALTING d.o.o., OIB 77599195098, Gradišćanska 34, 10000 Zagreb</derivirana_varijabla>
  </DomainObject.Predmet.ProtustrankaFormatedWithAdressOIB>
  <DomainObject.Predmet.ProtustrankaWithAdress>
    <izvorni_sadrzaj>NIVA KONZALTING d.o.o. Gradišćanska 34, 10000 Zagreb</izvorni_sadrzaj>
    <derivirana_varijabla naziv="DomainObject.Predmet.ProtustrankaWithAdress_1">NIVA KONZALTING d.o.o. Gradišćanska 34, 10000 Zagreb</derivirana_varijabla>
  </DomainObject.Predmet.ProtustrankaWithAdress>
  <DomainObject.Predmet.ProtustrankaWithAdressOIB>
    <izvorni_sadrzaj>NIVA KONZALTING d.o.o., OIB 77599195098, Gradišćanska 34, 10000 Zagreb</izvorni_sadrzaj>
    <derivirana_varijabla naziv="DomainObject.Predmet.ProtustrankaWithAdressOIB_1">NIVA KONZALTING d.o.o., OIB 77599195098, Gradišćanska 34, 10000 Zagreb</derivirana_varijabla>
  </DomainObject.Predmet.ProtustrankaWithAdressOIB>
  <DomainObject.Predmet.ProtustrankaNazivFormated>
    <izvorni_sadrzaj>NIVA KONZALTING d.o.o.</izvorni_sadrzaj>
    <derivirana_varijabla naziv="DomainObject.Predmet.ProtustrankaNazivFormated_1">NIVA KONZALTING d.o.o.</derivirana_varijabla>
  </DomainObject.Predmet.ProtustrankaNazivFormated>
  <DomainObject.Predmet.ProtustrankaNazivFormatedOIB>
    <izvorni_sadrzaj>NIVA KONZALTING d.o.o., OIB 77599195098</izvorni_sadrzaj>
    <derivirana_varijabla naziv="DomainObject.Predmet.ProtustrankaNazivFormatedOIB_1">NIVA KONZALTING d.o.o., OIB 77599195098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NIVA KONZALTING d.o.o.</item>
    </izvorni_sadrzaj>
    <derivirana_varijabla naziv="DomainObject.Predmet.ProtuStrankaListFormated_1">
      <item>NIVA KONZALTING d.o.o.</item>
    </derivirana_varijabla>
  </DomainObject.Predmet.ProtuStrankaListFormated>
  <DomainObject.Predmet.ProtuStrankaListFormatedOIB>
    <izvorni_sadrzaj>
      <item>NIVA KONZALTING d.o.o., OIB 77599195098</item>
    </izvorni_sadrzaj>
    <derivirana_varijabla naziv="DomainObject.Predmet.ProtuStrankaListFormatedOIB_1">
      <item>NIVA KONZALTING d.o.o., OIB 77599195098</item>
    </derivirana_varijabla>
  </DomainObject.Predmet.ProtuStrankaListFormatedOIB>
  <DomainObject.Predmet.ProtuStrankaListFormatedWithAdress>
    <izvorni_sadrzaj>
      <item>NIVA KONZALTING d.o.o., Gradišćanska 34, 10000 Zagreb</item>
    </izvorni_sadrzaj>
    <derivirana_varijabla naziv="DomainObject.Predmet.ProtuStrankaListFormatedWithAdress_1">
      <item>NIVA KONZALTING d.o.o., Gradišćanska 34, 10000 Zagreb</item>
    </derivirana_varijabla>
  </DomainObject.Predmet.ProtuStrankaListFormatedWithAdress>
  <DomainObject.Predmet.ProtuStrankaListFormatedWithAdressOIB>
    <izvorni_sadrzaj>
      <item>NIVA KONZALTING d.o.o., OIB 77599195098, Gradišćanska 34, 10000 Zagreb</item>
    </izvorni_sadrzaj>
    <derivirana_varijabla naziv="DomainObject.Predmet.ProtuStrankaListFormatedWithAdressOIB_1">
      <item>NIVA KONZALTING d.o.o., OIB 77599195098, Gradišćanska 34, 10000 Zagreb</item>
    </derivirana_varijabla>
  </DomainObject.Predmet.ProtuStrankaListFormatedWithAdressOIB>
  <DomainObject.Predmet.ProtuStrankaListNazivFormated>
    <izvorni_sadrzaj>
      <item>NIVA KONZALTING d.o.o.</item>
    </izvorni_sadrzaj>
    <derivirana_varijabla naziv="DomainObject.Predmet.ProtuStrankaListNazivFormated_1">
      <item>NIVA KONZALTING d.o.o.</item>
    </derivirana_varijabla>
  </DomainObject.Predmet.ProtuStrankaListNazivFormated>
  <DomainObject.Predmet.ProtuStrankaListNazivFormatedOIB>
    <izvorni_sadrzaj>
      <item>NIVA KONZALTING d.o.o., OIB 77599195098</item>
    </izvorni_sadrzaj>
    <derivirana_varijabla naziv="DomainObject.Predmet.ProtuStrankaListNazivFormatedOIB_1">
      <item>NIVA KONZALTING d.o.o., OIB 77599195098</item>
    </derivirana_varijabla>
  </DomainObject.Predmet.ProtuStrankaListNazivFormatedOIB>
  <DomainObject.Predmet.OstaliListFormated>
    <izvorni_sadrzaj>
      <item>Vladimir Sobota</item>
    </izvorni_sadrzaj>
    <derivirana_varijabla naziv="DomainObject.Predmet.OstaliListFormated_1">
      <item>Vladimir Sobota</item>
    </derivirana_varijabla>
  </DomainObject.Predmet.OstaliListFormated>
  <DomainObject.Predmet.OstaliListFormatedOIB>
    <izvorni_sadrzaj>
      <item>Vladimir Sobota, OIB 60950363538</item>
    </izvorni_sadrzaj>
    <derivirana_varijabla naziv="DomainObject.Predmet.OstaliListFormatedOIB_1">
      <item>Vladimir Sobota, OIB 60950363538</item>
    </derivirana_varijabla>
  </DomainObject.Predmet.OstaliListFormatedOIB>
  <DomainObject.Predmet.OstaliListFormatedWithAdress>
    <izvorni_sadrzaj>
      <item>Vladimir Sobota, Orešje 47 I, 10000 Zagreb</item>
    </izvorni_sadrzaj>
    <derivirana_varijabla naziv="DomainObject.Predmet.OstaliListFormatedWithAdress_1">
      <item>Vladimir Sobota, Orešje 47 I, 10000 Zagreb</item>
    </derivirana_varijabla>
  </DomainObject.Predmet.OstaliListFormatedWithAdress>
  <DomainObject.Predmet.OstaliListFormatedWithAdressOIB>
    <izvorni_sadrzaj>
      <item>Vladimir Sobota, OIB 60950363538, Orešje 47 I, 10000 Zagreb</item>
    </izvorni_sadrzaj>
    <derivirana_varijabla naziv="DomainObject.Predmet.OstaliListFormatedWithAdressOIB_1">
      <item>Vladimir Sobota, OIB 60950363538, Orešje 47 I, 10000 Zagreb</item>
    </derivirana_varijabla>
  </DomainObject.Predmet.OstaliListFormatedWithAdressOIB>
  <DomainObject.Predmet.OstaliListNazivFormated>
    <izvorni_sadrzaj>
      <item>Vladimir Sobota</item>
    </izvorni_sadrzaj>
    <derivirana_varijabla naziv="DomainObject.Predmet.OstaliListNazivFormated_1">
      <item>Vladimir Sobota</item>
    </derivirana_varijabla>
  </DomainObject.Predmet.OstaliListNazivFormated>
  <DomainObject.Predmet.OstaliListNazivFormatedOIB>
    <izvorni_sadrzaj>
      <item>Vladimir Sobota, OIB 60950363538</item>
    </izvorni_sadrzaj>
    <derivirana_varijabla naziv="DomainObject.Predmet.OstaliListNazivFormatedOIB_1">
      <item>Vladimir Sobota, OIB 60950363538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St-200/2018-7</izvorni_sadrzaj>
    <derivirana_varijabla naziv="DomainObject.PoslovniBrojDokumenta_1">St-200/2018-7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NIVA KONZALTING d.o.o.</izvorni_sadrzaj>
    <derivirana_varijabla naziv="DomainObject.Predmet.ProtustrankaIDrugi_1">NIVA KONZALTING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NIVA KONZALTING d.o.o., OIB 77599195098, Gradišćanska 34, 10000 Zagreb</izvorni_sadrzaj>
    <derivirana_varijabla naziv="DomainObject.Predmet.ProtustrankaIDrugiAdressOIB_1">NIVA KONZALTING d.o.o., OIB 77599195098, Gradišćanska 34,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NIVA KONZALTING d.o.o.</item>
      <item>FINA Regionalni centar Zagreb</item>
      <item>Vladimir Sobota</item>
    </izvorni_sadrzaj>
    <derivirana_varijabla naziv="DomainObject.Predmet.SudioniciListNaziv_1">
      <item>NIVA KONZALTING d.o.o.</item>
      <item>FINA Regionalni centar Zagreb</item>
      <item>Vladimir Sobota</item>
    </derivirana_varijabla>
  </DomainObject.Predmet.SudioniciListNaziv>
  <DomainObject.Predmet.SudioniciListAdressOIB>
    <izvorni_sadrzaj>
      <item>NIVA KONZALTING d.o.o., OIB 77599195098, Gradišćanska 34,10000 Zagreb</item>
      <item>FINA Regionalni centar Zagreb, OIB 85821130368, Trg svibanjskih žrtava 1995. 1,10000 Zagreb</item>
      <item>Vladimir Sobota, OIB 60950363538, Orešje 47 I,10000 Zagreb</item>
    </izvorni_sadrzaj>
    <derivirana_varijabla naziv="DomainObject.Predmet.SudioniciListAdressOIB_1">
      <item>NIVA KONZALTING d.o.o., OIB 77599195098, Gradišćanska 34,10000 Zagreb</item>
      <item>FINA Regionalni centar Zagreb, OIB 85821130368, Trg svibanjskih žrtava 1995. 1,10000 Zagreb</item>
      <item>Vladimir Sobota, OIB 60950363538, Orešje 47 I,10000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1209653-ABB8-4479-94AD-D06637D7E7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1124</properties:Words>
  <properties:Characters>6791</properties:Characters>
  <properties:Lines>139</properties:Lines>
  <properties:Paragraphs>64</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7916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2018-09-03T11:40:00Z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St-200/2018-7 / Odluka - Dopis - dostava oglasa radi javne objave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