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7cf59" w14:paraId="397cf59" w:rsidRDefault="0008155B" w:rsidP="005122DB" w:rsidR="0008155B" w:rsidRPr="00D02B11">
      <w:pPr>
        <w:spacing w:after="0"/>
        <w:jc w:val="center"/>
        <w15:collapsed w:val="false"/>
        <w:rPr>
          <w:rFonts w:hAnsi="Times New Roman" w:ascii="Times New Roman"/>
          <w:b/>
          <w:sz w:val="24"/>
          <w:szCs w:val="24"/>
        </w:rPr>
      </w:pPr>
      <w:bookmarkStart w:name="_GoBack" w:id="0"/>
      <w:bookmarkEnd w:id="0"/>
      <w:r w:rsidRPr="00D02B11">
        <w:rPr>
          <w:rFonts w:hAnsi="Times New Roman" w:ascii="Times New Roman"/>
          <w:b/>
          <w:sz w:val="24"/>
          <w:szCs w:val="24"/>
        </w:rPr>
        <w:t>Obrazac 20.</w:t>
      </w:r>
    </w:p>
    <w:p w:rsidRDefault="0008155B" w:rsidP="005122DB" w:rsidR="0008155B" w:rsidRPr="00D02B11">
      <w:pPr>
        <w:spacing w:after="0"/>
        <w:jc w:val="center"/>
        <w:rPr>
          <w:rFonts w:hAnsi="Times New Roman" w:ascii="Times New Roman"/>
          <w:b/>
          <w:sz w:val="24"/>
          <w:szCs w:val="24"/>
        </w:rPr>
      </w:pPr>
      <w:r w:rsidRPr="00D02B11">
        <w:rPr>
          <w:rFonts w:hAnsi="Times New Roman" w:ascii="Times New Roman"/>
          <w:b/>
          <w:sz w:val="24"/>
          <w:szCs w:val="24"/>
        </w:rPr>
        <w:t>IZVJEŠĆE STEČAJNOGA UPRAVITELJA O TIJEKU STEČAJNOGA POSTUPKA I STANJU STEČAJNE MASE</w:t>
      </w:r>
    </w:p>
    <w:p w:rsidRDefault="0008155B" w:rsidP="005122DB" w:rsidR="0008155B" w:rsidRPr="00D02B11">
      <w:pPr>
        <w:spacing w:after="0"/>
        <w:jc w:val="center"/>
        <w:rPr>
          <w:rFonts w:hAnsi="Times New Roman" w:ascii="Times New Roman"/>
          <w:sz w:val="24"/>
          <w:szCs w:val="24"/>
        </w:rPr>
      </w:pPr>
    </w:p>
    <w:p w:rsidRDefault="0008155B" w:rsidP="005122DB" w:rsidR="0008155B" w:rsidRPr="00D02B11">
      <w:pPr>
        <w:spacing w:after="0"/>
        <w:jc w:val="center"/>
        <w:rPr>
          <w:rFonts w:hAnsi="Times New Roman" w:ascii="Times New Roman"/>
          <w:sz w:val="24"/>
          <w:szCs w:val="24"/>
        </w:rPr>
      </w:pPr>
    </w:p>
    <w:p w:rsidRDefault="0008155B" w:rsidP="005122DB" w:rsidR="0008155B" w:rsidRPr="00D02B11">
      <w:pPr>
        <w:spacing w:after="0"/>
        <w:jc w:val="center"/>
        <w:rPr>
          <w:rFonts w:hAnsi="Times New Roman" w:ascii="Times New Roman"/>
          <w:sz w:val="24"/>
          <w:szCs w:val="24"/>
        </w:rPr>
      </w:pPr>
    </w:p>
    <w:p w:rsidRDefault="0008155B" w:rsidP="005122DB" w:rsidR="0008155B" w:rsidRPr="00D02B11">
      <w:pPr>
        <w:spacing w:after="0"/>
        <w:jc w:val="center"/>
        <w:rPr>
          <w:rFonts w:hAnsi="Times New Roman" w:ascii="Times New Roman"/>
          <w:sz w:val="24"/>
          <w:szCs w:val="24"/>
        </w:rPr>
      </w:pPr>
    </w:p>
    <w:p w:rsidRDefault="0008155B" w:rsidP="005122DB" w:rsidR="0008155B" w:rsidRPr="00D02B11">
      <w:pPr>
        <w:spacing w:after="0"/>
        <w:jc w:val="center"/>
        <w:rPr>
          <w:rFonts w:hAnsi="Times New Roman" w:ascii="Times New Roman"/>
          <w:sz w:val="24"/>
          <w:szCs w:val="24"/>
        </w:rPr>
      </w:pPr>
    </w:p>
    <w:p w:rsidRDefault="0008155B" w:rsidP="005122DB" w:rsidR="0008155B" w:rsidRPr="00D02B11">
      <w:pPr>
        <w:spacing w:after="0"/>
        <w:jc w:val="both"/>
        <w:rPr>
          <w:rFonts w:hAnsi="Times New Roman" w:ascii="Times New Roman"/>
          <w:sz w:val="24"/>
          <w:szCs w:val="24"/>
        </w:rPr>
      </w:pPr>
      <w:r w:rsidRPr="00D02B11">
        <w:rPr>
          <w:rFonts w:hAnsi="Times New Roman" w:ascii="Times New Roman"/>
          <w:sz w:val="24"/>
          <w:szCs w:val="24"/>
        </w:rPr>
        <w:t>Nadležni trgovački sud:</w:t>
      </w:r>
      <w:r w:rsidRPr="00D02B11">
        <w:rPr>
          <w:rFonts w:hAnsi="Times New Roman" w:ascii="Times New Roman"/>
          <w:sz w:val="24"/>
          <w:szCs w:val="24"/>
        </w:rPr>
        <w:tab/>
      </w:r>
      <w:r w:rsidRPr="00D02B11">
        <w:rPr>
          <w:rFonts w:hAnsi="Times New Roman" w:ascii="Times New Roman"/>
          <w:b/>
          <w:sz w:val="24"/>
          <w:szCs w:val="24"/>
          <w:u w:val="single"/>
        </w:rPr>
        <w:t>Trgovački sud u Zagrebu</w:t>
      </w:r>
    </w:p>
    <w:p w:rsidRDefault="0008155B" w:rsidP="005122DB" w:rsidR="0008155B" w:rsidRPr="00D02B11">
      <w:pPr>
        <w:spacing w:after="0"/>
        <w:jc w:val="both"/>
        <w:rPr>
          <w:rFonts w:hAnsi="Times New Roman" w:ascii="Times New Roman"/>
          <w:sz w:val="24"/>
          <w:szCs w:val="24"/>
        </w:rPr>
      </w:pPr>
      <w:r w:rsidRPr="00D02B11">
        <w:rPr>
          <w:rFonts w:hAnsi="Times New Roman" w:ascii="Times New Roman"/>
          <w:sz w:val="24"/>
          <w:szCs w:val="24"/>
        </w:rPr>
        <w:t>Poslovni broj spisa:</w:t>
      </w:r>
      <w:r w:rsidRPr="00D02B11">
        <w:rPr>
          <w:rFonts w:hAnsi="Times New Roman" w:ascii="Times New Roman"/>
          <w:sz w:val="24"/>
          <w:szCs w:val="24"/>
        </w:rPr>
        <w:tab/>
      </w:r>
      <w:r w:rsidRPr="00D02B11">
        <w:rPr>
          <w:rFonts w:hAnsi="Times New Roman" w:ascii="Times New Roman"/>
          <w:sz w:val="24"/>
          <w:szCs w:val="24"/>
        </w:rPr>
        <w:tab/>
      </w:r>
      <w:r w:rsidRPr="00D02B11">
        <w:rPr>
          <w:rFonts w:hAnsi="Times New Roman" w:ascii="Times New Roman"/>
          <w:b/>
          <w:sz w:val="24"/>
          <w:szCs w:val="24"/>
          <w:u w:val="single"/>
        </w:rPr>
        <w:t>7 St-47/04</w:t>
      </w:r>
    </w:p>
    <w:p w:rsidRDefault="0008155B" w:rsidP="005122DB" w:rsidR="0008155B" w:rsidRPr="00D02B11">
      <w:pPr>
        <w:spacing w:after="0"/>
        <w:ind w:hanging="2832" w:left="2832"/>
        <w:rPr>
          <w:rFonts w:hAnsi="Times New Roman" w:ascii="Times New Roman"/>
          <w:b/>
          <w:sz w:val="24"/>
          <w:szCs w:val="24"/>
        </w:rPr>
      </w:pPr>
      <w:r w:rsidRPr="00D02B11">
        <w:rPr>
          <w:rFonts w:hAnsi="Times New Roman" w:ascii="Times New Roman"/>
          <w:sz w:val="24"/>
          <w:szCs w:val="24"/>
        </w:rPr>
        <w:t>Dužnik:</w:t>
      </w:r>
      <w:r w:rsidRPr="00D02B11">
        <w:rPr>
          <w:rFonts w:hAnsi="Times New Roman" w:ascii="Times New Roman"/>
          <w:sz w:val="24"/>
          <w:szCs w:val="24"/>
        </w:rPr>
        <w:tab/>
      </w:r>
      <w:r w:rsidRPr="00D02B11">
        <w:rPr>
          <w:rFonts w:hAnsi="Times New Roman" w:ascii="Times New Roman"/>
          <w:b/>
          <w:sz w:val="24"/>
          <w:szCs w:val="24"/>
          <w:u w:val="single"/>
        </w:rPr>
        <w:t>NOVI SALONIT d.o.o. u stečaju, Zagreb, Radnička c.27 OIB 74737876059</w:t>
      </w:r>
    </w:p>
    <w:p w:rsidRDefault="0008155B" w:rsidP="005122DB" w:rsidR="0008155B" w:rsidRPr="00D02B11">
      <w:pPr>
        <w:spacing w:after="0"/>
        <w:jc w:val="center"/>
        <w:rPr>
          <w:rFonts w:hAnsi="Times New Roman" w:ascii="Times New Roman"/>
          <w:sz w:val="24"/>
          <w:szCs w:val="24"/>
        </w:rPr>
      </w:pPr>
    </w:p>
    <w:p w:rsidRDefault="0008155B" w:rsidP="005122DB" w:rsidR="0008155B" w:rsidRPr="00D02B11">
      <w:pPr>
        <w:spacing w:after="0"/>
        <w:jc w:val="center"/>
        <w:rPr>
          <w:rFonts w:hAnsi="Times New Roman" w:ascii="Times New Roman"/>
          <w:sz w:val="24"/>
          <w:szCs w:val="24"/>
        </w:rPr>
      </w:pPr>
    </w:p>
    <w:p w:rsidRDefault="0008155B" w:rsidP="005122DB" w:rsidR="0008155B" w:rsidRPr="00D02B11">
      <w:pPr>
        <w:spacing w:after="0"/>
        <w:ind w:hanging="705" w:left="705"/>
        <w:rPr>
          <w:rFonts w:hAnsi="Times New Roman" w:ascii="Times New Roman"/>
          <w:sz w:val="24"/>
          <w:szCs w:val="24"/>
        </w:rPr>
      </w:pPr>
      <w:r w:rsidRPr="00D02B11">
        <w:rPr>
          <w:rFonts w:hAnsi="Times New Roman" w:ascii="Times New Roman"/>
          <w:sz w:val="24"/>
          <w:szCs w:val="24"/>
        </w:rPr>
        <w:t>I. TIJEK STEČAJNOGA POSTUPKA</w:t>
      </w:r>
    </w:p>
    <w:p w:rsidRDefault="0008155B" w:rsidP="005122DB" w:rsidR="0008155B" w:rsidRPr="00D02B11">
      <w:pPr>
        <w:spacing w:after="0"/>
        <w:jc w:val="both"/>
        <w:rPr>
          <w:rFonts w:hAnsi="Times New Roman" w:ascii="Times New Roman"/>
          <w:sz w:val="24"/>
          <w:szCs w:val="24"/>
        </w:rPr>
      </w:pPr>
    </w:p>
    <w:p w:rsidRDefault="0008155B" w:rsidP="00F51451" w:rsidR="0008155B" w:rsidRPr="00D02B11">
      <w:pPr>
        <w:spacing w:after="0"/>
        <w:jc w:val="both"/>
        <w:rPr>
          <w:rFonts w:hAnsi="Times New Roman" w:ascii="Times New Roman"/>
          <w:sz w:val="24"/>
          <w:szCs w:val="24"/>
        </w:rPr>
      </w:pPr>
      <w:r w:rsidRPr="00D02B11">
        <w:rPr>
          <w:rFonts w:hAnsi="Times New Roman" w:ascii="Times New Roman"/>
          <w:sz w:val="24"/>
          <w:szCs w:val="24"/>
        </w:rPr>
        <w:t>U stečajnom postupku nad dužnikom NOVI SALONIT d.o.o. u stečaju, OIB 74737876059 stečajni upravitelj podnosi Izvješće o tijeku stečajnog postupka i stanju stečajne mase.</w:t>
      </w:r>
    </w:p>
    <w:p w:rsidRDefault="0008155B" w:rsidP="005122DB" w:rsidR="0008155B" w:rsidRPr="00D02B11">
      <w:pPr>
        <w:spacing w:after="0"/>
        <w:jc w:val="both"/>
        <w:rPr>
          <w:rFonts w:hAnsi="Times New Roman" w:ascii="Times New Roman"/>
          <w:sz w:val="24"/>
          <w:szCs w:val="24"/>
        </w:rPr>
      </w:pPr>
    </w:p>
    <w:p w:rsidRDefault="0008155B" w:rsidP="000B75B5" w:rsidR="0008155B" w:rsidRPr="00D02B11">
      <w:pPr>
        <w:spacing w:after="0"/>
        <w:jc w:val="both"/>
        <w:rPr>
          <w:rFonts w:hAnsi="Times New Roman" w:ascii="Times New Roman"/>
          <w:sz w:val="24"/>
          <w:szCs w:val="24"/>
        </w:rPr>
      </w:pPr>
      <w:r w:rsidRPr="00D02B11">
        <w:rPr>
          <w:rFonts w:hAnsi="Times New Roman" w:ascii="Times New Roman"/>
          <w:sz w:val="24"/>
          <w:szCs w:val="24"/>
        </w:rPr>
        <w:t>Stečajni upravitelj izvješćuje po zaprimljenom Podnesku stečajnog vjerovnika SUPER MONITOR d.o.o. iz Zagreba, Radnička c. 27, OIB 15574872867 od 6. veljače 2017.g., kojim vjerovnik obavještava o otkupljenim tražbinama od vjerovnika stečajnog dužnika, da je društvo SUPER MONITOR d.o.o. iz Zagreba, OIB 15574872867, kao stjecatelja potraživanja uvrstio u tablice I. višeg isplatnog reda na mjesta slijedećih vjerovnika kao ustupitelja potraživanja i to s osnova Ugovora o ustupanju potraživanja ovjerenih kod javnog bilježnika:</w:t>
      </w:r>
    </w:p>
    <w:p w:rsidRDefault="0008155B" w:rsidP="00F935C0" w:rsidR="0008155B" w:rsidRPr="00D02B11">
      <w:pPr>
        <w:numPr>
          <w:ilvl w:val="0"/>
          <w:numId w:val="16"/>
        </w:numPr>
        <w:spacing w:after="0"/>
        <w:jc w:val="both"/>
        <w:rPr>
          <w:rFonts w:hAnsi="Times New Roman" w:ascii="Times New Roman"/>
          <w:sz w:val="24"/>
          <w:szCs w:val="24"/>
        </w:rPr>
      </w:pPr>
      <w:r w:rsidRPr="00D02B11">
        <w:rPr>
          <w:rFonts w:hAnsi="Times New Roman" w:ascii="Times New Roman"/>
          <w:sz w:val="24"/>
          <w:szCs w:val="24"/>
        </w:rPr>
        <w:t>Marko Borović, OIB 06591227413</w:t>
      </w:r>
    </w:p>
    <w:p w:rsidRDefault="0008155B" w:rsidP="00F935C0" w:rsidR="0008155B" w:rsidRPr="00D02B11">
      <w:pPr>
        <w:numPr>
          <w:ilvl w:val="0"/>
          <w:numId w:val="16"/>
        </w:numPr>
        <w:spacing w:after="0"/>
        <w:jc w:val="both"/>
        <w:rPr>
          <w:rFonts w:hAnsi="Times New Roman" w:ascii="Times New Roman"/>
          <w:sz w:val="24"/>
          <w:szCs w:val="24"/>
        </w:rPr>
      </w:pPr>
      <w:r w:rsidRPr="00D02B11">
        <w:rPr>
          <w:rFonts w:hAnsi="Times New Roman" w:ascii="Times New Roman"/>
          <w:sz w:val="24"/>
          <w:szCs w:val="24"/>
        </w:rPr>
        <w:t>Darija Grubić, OIB 53664763260</w:t>
      </w:r>
    </w:p>
    <w:p w:rsidRDefault="0008155B" w:rsidP="00F935C0" w:rsidR="0008155B" w:rsidRPr="00D02B11">
      <w:pPr>
        <w:numPr>
          <w:ilvl w:val="0"/>
          <w:numId w:val="16"/>
        </w:numPr>
        <w:spacing w:after="0"/>
        <w:jc w:val="both"/>
        <w:rPr>
          <w:rFonts w:hAnsi="Times New Roman" w:ascii="Times New Roman"/>
          <w:sz w:val="24"/>
          <w:szCs w:val="24"/>
        </w:rPr>
      </w:pPr>
      <w:r w:rsidRPr="00D02B11">
        <w:rPr>
          <w:rFonts w:hAnsi="Times New Roman" w:ascii="Times New Roman"/>
          <w:sz w:val="24"/>
          <w:szCs w:val="24"/>
        </w:rPr>
        <w:t>Darko Jerković, OIB 73911200989</w:t>
      </w:r>
    </w:p>
    <w:p w:rsidRDefault="0008155B" w:rsidP="00F935C0" w:rsidR="0008155B" w:rsidRPr="00D02B11">
      <w:pPr>
        <w:numPr>
          <w:ilvl w:val="0"/>
          <w:numId w:val="16"/>
        </w:numPr>
        <w:spacing w:after="0"/>
        <w:jc w:val="both"/>
        <w:rPr>
          <w:rFonts w:hAnsi="Times New Roman" w:ascii="Times New Roman"/>
          <w:sz w:val="24"/>
          <w:szCs w:val="24"/>
        </w:rPr>
      </w:pPr>
      <w:r w:rsidRPr="00D02B11">
        <w:rPr>
          <w:rFonts w:hAnsi="Times New Roman" w:ascii="Times New Roman"/>
          <w:sz w:val="24"/>
          <w:szCs w:val="24"/>
        </w:rPr>
        <w:t>Nediljko Odrljin, OIB 58992661323</w:t>
      </w:r>
    </w:p>
    <w:p w:rsidRDefault="0008155B" w:rsidP="00F935C0" w:rsidR="0008155B" w:rsidRPr="00D02B11">
      <w:pPr>
        <w:numPr>
          <w:ilvl w:val="0"/>
          <w:numId w:val="16"/>
        </w:numPr>
        <w:spacing w:after="0"/>
        <w:jc w:val="both"/>
        <w:rPr>
          <w:rFonts w:hAnsi="Times New Roman" w:ascii="Times New Roman"/>
          <w:sz w:val="24"/>
          <w:szCs w:val="24"/>
        </w:rPr>
      </w:pPr>
      <w:r w:rsidRPr="00D02B11">
        <w:rPr>
          <w:rFonts w:hAnsi="Times New Roman" w:ascii="Times New Roman"/>
          <w:sz w:val="24"/>
          <w:szCs w:val="24"/>
        </w:rPr>
        <w:t>Dragomir Mrdalj, OIB 76486931196</w:t>
      </w:r>
    </w:p>
    <w:p w:rsidRDefault="0008155B" w:rsidP="005122DB" w:rsidR="0008155B" w:rsidRPr="00D02B11">
      <w:pPr>
        <w:spacing w:after="0"/>
        <w:jc w:val="both"/>
        <w:rPr>
          <w:rFonts w:hAnsi="Times New Roman" w:ascii="Times New Roman"/>
          <w:sz w:val="24"/>
          <w:szCs w:val="24"/>
        </w:rPr>
      </w:pPr>
      <w:r w:rsidRPr="00D02B11">
        <w:rPr>
          <w:rFonts w:hAnsi="Times New Roman" w:ascii="Times New Roman"/>
          <w:sz w:val="24"/>
          <w:szCs w:val="24"/>
        </w:rPr>
        <w:t>Kao sastavni dio ovog Izvješća, stečajni upravitelj predaje na spis preslike očitovanja o izvršenim izmjenama tablica vjerovnika I. višeg isplatnog reda, dostavljenih na stečajni spis te stjecatelju potraživanja SUPER MONITORU d.o.o., OIB 15574872867, dana 29.05.2015.g.</w:t>
      </w:r>
    </w:p>
    <w:p w:rsidRDefault="0008155B" w:rsidP="005122DB" w:rsidR="0008155B" w:rsidRPr="00D02B11">
      <w:pPr>
        <w:spacing w:after="0"/>
        <w:jc w:val="both"/>
        <w:rPr>
          <w:rFonts w:hAnsi="Times New Roman" w:ascii="Times New Roman"/>
          <w:sz w:val="24"/>
          <w:szCs w:val="24"/>
        </w:rPr>
      </w:pPr>
      <w:r w:rsidRPr="00D02B11">
        <w:rPr>
          <w:rFonts w:hAnsi="Times New Roman" w:ascii="Times New Roman"/>
          <w:sz w:val="24"/>
          <w:szCs w:val="24"/>
        </w:rPr>
        <w:t>Prema istom Podnesku, stečajni je upravitelj izvršio izmjene u tablicama priznatih tražbina vjerovnika I. višeg isplatnog reda na način da je na mjesto vjerovnika Suman Dalibora uvrstio stjecatelja potraživanja SUPER MONITOR d.o.o. Obavijesti o izmjenama tablica dostavljene su na stečajni spis kao i stjecatelju potraživanja.</w:t>
      </w:r>
    </w:p>
    <w:p w:rsidRDefault="0008155B" w:rsidP="005122DB" w:rsidR="0008155B" w:rsidRPr="00D02B11">
      <w:pPr>
        <w:spacing w:after="0"/>
        <w:jc w:val="both"/>
        <w:rPr>
          <w:rFonts w:hAnsi="Times New Roman" w:ascii="Times New Roman"/>
          <w:sz w:val="24"/>
          <w:szCs w:val="24"/>
        </w:rPr>
      </w:pPr>
      <w:r w:rsidRPr="00D02B11">
        <w:rPr>
          <w:rFonts w:hAnsi="Times New Roman" w:ascii="Times New Roman"/>
          <w:sz w:val="24"/>
          <w:szCs w:val="24"/>
        </w:rPr>
        <w:t>Također prema Podnesku od 6. veljače 2017.g., stečajni je upravitelj izvršio i izmjene u tablicama priznatih tražbina vjerovnika II. višeg isplatnog reda, tako da je na mjesta vjerovnika:</w:t>
      </w:r>
    </w:p>
    <w:p w:rsidRDefault="0008155B" w:rsidP="004112A5" w:rsidR="0008155B" w:rsidRPr="00D02B11">
      <w:pPr>
        <w:numPr>
          <w:ilvl w:val="0"/>
          <w:numId w:val="16"/>
        </w:numPr>
        <w:spacing w:after="0"/>
        <w:jc w:val="both"/>
        <w:rPr>
          <w:rFonts w:hAnsi="Times New Roman" w:ascii="Times New Roman"/>
          <w:sz w:val="24"/>
          <w:szCs w:val="24"/>
        </w:rPr>
      </w:pPr>
      <w:r w:rsidRPr="00D02B11">
        <w:rPr>
          <w:rFonts w:hAnsi="Times New Roman" w:ascii="Times New Roman"/>
          <w:sz w:val="24"/>
          <w:szCs w:val="24"/>
        </w:rPr>
        <w:t>Oneumgraf d.o.o. iz Omiša, OIB 92725885469</w:t>
      </w:r>
    </w:p>
    <w:p w:rsidRDefault="0008155B" w:rsidP="004112A5" w:rsidR="0008155B" w:rsidRPr="00D02B11">
      <w:pPr>
        <w:numPr>
          <w:ilvl w:val="0"/>
          <w:numId w:val="16"/>
        </w:numPr>
        <w:spacing w:after="0"/>
        <w:jc w:val="both"/>
        <w:rPr>
          <w:rFonts w:hAnsi="Times New Roman" w:ascii="Times New Roman"/>
          <w:sz w:val="24"/>
          <w:szCs w:val="24"/>
        </w:rPr>
      </w:pPr>
      <w:r w:rsidRPr="00D02B11">
        <w:rPr>
          <w:rFonts w:hAnsi="Times New Roman" w:ascii="Times New Roman"/>
          <w:sz w:val="24"/>
          <w:szCs w:val="24"/>
        </w:rPr>
        <w:t>Partner trust d.o.o. iz Jesenica, OIB 24124089739</w:t>
      </w:r>
    </w:p>
    <w:p w:rsidRDefault="0008155B" w:rsidP="004112A5" w:rsidR="0008155B" w:rsidRPr="00D02B11">
      <w:pPr>
        <w:numPr>
          <w:ilvl w:val="0"/>
          <w:numId w:val="16"/>
        </w:numPr>
        <w:spacing w:after="0"/>
        <w:jc w:val="both"/>
        <w:rPr>
          <w:rFonts w:hAnsi="Times New Roman" w:ascii="Times New Roman"/>
          <w:sz w:val="24"/>
          <w:szCs w:val="24"/>
        </w:rPr>
      </w:pPr>
      <w:r w:rsidRPr="00D02B11">
        <w:rPr>
          <w:rFonts w:hAnsi="Times New Roman" w:ascii="Times New Roman"/>
          <w:sz w:val="24"/>
          <w:szCs w:val="24"/>
        </w:rPr>
        <w:t>Salonit d.d. iz Vranjica, OIB 14755697651</w:t>
      </w:r>
    </w:p>
    <w:p w:rsidRDefault="0008155B" w:rsidP="005122DB" w:rsidR="0008155B" w:rsidRPr="00D02B11">
      <w:pPr>
        <w:spacing w:after="0"/>
        <w:jc w:val="both"/>
        <w:rPr>
          <w:rFonts w:hAnsi="Times New Roman" w:ascii="Times New Roman"/>
          <w:sz w:val="24"/>
          <w:szCs w:val="24"/>
        </w:rPr>
      </w:pPr>
      <w:r w:rsidRPr="00D02B11">
        <w:rPr>
          <w:rFonts w:hAnsi="Times New Roman" w:ascii="Times New Roman"/>
          <w:sz w:val="24"/>
          <w:szCs w:val="24"/>
        </w:rPr>
        <w:t>uvrstio stjecatelja potraživanja SUPER MONITOR d.o.o. Obavijesti o izmjenama tablica dostavljene su na stečajni spis kao i stjecatelju potraživanja.</w:t>
      </w:r>
    </w:p>
    <w:p w:rsidRDefault="0008155B" w:rsidP="005122DB" w:rsidR="0008155B" w:rsidRPr="00D02B11">
      <w:pPr>
        <w:spacing w:after="0"/>
        <w:jc w:val="both"/>
        <w:rPr>
          <w:rFonts w:hAnsi="Times New Roman" w:ascii="Times New Roman"/>
          <w:sz w:val="24"/>
          <w:szCs w:val="24"/>
        </w:rPr>
      </w:pPr>
    </w:p>
    <w:p w:rsidRDefault="0008155B" w:rsidP="00B73C17" w:rsidR="0008155B" w:rsidRPr="00D02B11">
      <w:pPr>
        <w:spacing w:after="0"/>
        <w:jc w:val="both"/>
        <w:rPr>
          <w:rFonts w:hAnsi="Times New Roman" w:ascii="Times New Roman"/>
          <w:sz w:val="24"/>
          <w:szCs w:val="24"/>
        </w:rPr>
      </w:pPr>
      <w:r w:rsidRPr="00D02B11">
        <w:rPr>
          <w:rFonts w:hAnsi="Times New Roman" w:ascii="Times New Roman"/>
          <w:sz w:val="24"/>
          <w:szCs w:val="24"/>
        </w:rPr>
        <w:t>Stečajni upravitelj izvješćuje da društvo SUPER MONITOR d.o.o. iz Zagreba, OIB 15574872867 vodi pregovore za otkup utvrđenih potraživanja vjerovnika I. višeg isplatnog reda sa slijedećim vjerovnicima stečajnog dužnika:</w:t>
      </w:r>
    </w:p>
    <w:p w:rsidRDefault="0008155B" w:rsidP="00B73C17" w:rsidR="0008155B" w:rsidRPr="00D02B11">
      <w:pPr>
        <w:numPr>
          <w:ilvl w:val="0"/>
          <w:numId w:val="16"/>
        </w:numPr>
        <w:spacing w:after="0"/>
        <w:jc w:val="both"/>
        <w:rPr>
          <w:rFonts w:hAnsi="Times New Roman" w:ascii="Times New Roman"/>
          <w:sz w:val="24"/>
          <w:szCs w:val="24"/>
        </w:rPr>
      </w:pPr>
      <w:r w:rsidRPr="00D02B11">
        <w:rPr>
          <w:rFonts w:hAnsi="Times New Roman" w:ascii="Times New Roman"/>
          <w:sz w:val="24"/>
          <w:szCs w:val="24"/>
        </w:rPr>
        <w:t>Mario Jakšić</w:t>
      </w:r>
    </w:p>
    <w:p w:rsidRDefault="0008155B" w:rsidP="00B73C17" w:rsidR="0008155B" w:rsidRPr="00D02B11">
      <w:pPr>
        <w:numPr>
          <w:ilvl w:val="0"/>
          <w:numId w:val="16"/>
        </w:numPr>
        <w:spacing w:after="0"/>
        <w:jc w:val="both"/>
        <w:rPr>
          <w:rFonts w:hAnsi="Times New Roman" w:ascii="Times New Roman"/>
          <w:sz w:val="24"/>
          <w:szCs w:val="24"/>
        </w:rPr>
      </w:pPr>
      <w:r w:rsidRPr="00D02B11">
        <w:rPr>
          <w:rFonts w:hAnsi="Times New Roman" w:ascii="Times New Roman"/>
          <w:sz w:val="24"/>
          <w:szCs w:val="24"/>
        </w:rPr>
        <w:t>Mario Orlić</w:t>
      </w:r>
    </w:p>
    <w:p w:rsidRDefault="0008155B" w:rsidP="00B73C17" w:rsidR="0008155B" w:rsidRPr="00D02B11">
      <w:pPr>
        <w:numPr>
          <w:ilvl w:val="0"/>
          <w:numId w:val="16"/>
        </w:numPr>
        <w:spacing w:after="0"/>
        <w:jc w:val="both"/>
        <w:rPr>
          <w:rFonts w:hAnsi="Times New Roman" w:ascii="Times New Roman"/>
          <w:sz w:val="24"/>
          <w:szCs w:val="24"/>
        </w:rPr>
      </w:pPr>
      <w:r w:rsidRPr="00D02B11">
        <w:rPr>
          <w:rFonts w:hAnsi="Times New Roman" w:ascii="Times New Roman"/>
          <w:sz w:val="24"/>
          <w:szCs w:val="24"/>
        </w:rPr>
        <w:lastRenderedPageBreak/>
        <w:t>Marko Galić</w:t>
      </w:r>
    </w:p>
    <w:p w:rsidRDefault="0008155B" w:rsidP="00B73C17" w:rsidR="0008155B" w:rsidRPr="00D02B11">
      <w:pPr>
        <w:numPr>
          <w:ilvl w:val="0"/>
          <w:numId w:val="16"/>
        </w:numPr>
        <w:spacing w:after="0"/>
        <w:jc w:val="both"/>
        <w:rPr>
          <w:rFonts w:hAnsi="Times New Roman" w:ascii="Times New Roman"/>
          <w:sz w:val="24"/>
          <w:szCs w:val="24"/>
        </w:rPr>
      </w:pPr>
      <w:r w:rsidRPr="00D02B11">
        <w:rPr>
          <w:rFonts w:hAnsi="Times New Roman" w:ascii="Times New Roman"/>
          <w:sz w:val="24"/>
          <w:szCs w:val="24"/>
        </w:rPr>
        <w:t>Neno Milišić</w:t>
      </w:r>
    </w:p>
    <w:p w:rsidRDefault="0008155B" w:rsidP="00B73C17" w:rsidR="0008155B" w:rsidRPr="00D02B11">
      <w:pPr>
        <w:spacing w:after="0"/>
        <w:jc w:val="both"/>
        <w:rPr>
          <w:rFonts w:hAnsi="Times New Roman" w:ascii="Times New Roman"/>
          <w:sz w:val="24"/>
          <w:szCs w:val="24"/>
        </w:rPr>
      </w:pPr>
      <w:r w:rsidRPr="00D02B11">
        <w:rPr>
          <w:rFonts w:hAnsi="Times New Roman" w:ascii="Times New Roman"/>
          <w:sz w:val="24"/>
          <w:szCs w:val="24"/>
        </w:rPr>
        <w:t>te sa vjerovnikom II. višeg isplatnog reda, RH, Ministarstvo financija.</w:t>
      </w:r>
    </w:p>
    <w:p w:rsidRDefault="0008155B" w:rsidP="00B73C17" w:rsidR="0008155B" w:rsidRPr="00D02B11">
      <w:pPr>
        <w:spacing w:after="0"/>
        <w:jc w:val="both"/>
        <w:rPr>
          <w:rFonts w:hAnsi="Times New Roman" w:ascii="Times New Roman"/>
          <w:sz w:val="24"/>
          <w:szCs w:val="24"/>
        </w:rPr>
      </w:pPr>
    </w:p>
    <w:p w:rsidRDefault="0008155B" w:rsidP="00C77EDE" w:rsidR="0008155B" w:rsidRPr="00D02B11">
      <w:pPr>
        <w:spacing w:after="0"/>
        <w:jc w:val="both"/>
        <w:rPr>
          <w:rFonts w:hAnsi="Times New Roman" w:ascii="Times New Roman"/>
          <w:sz w:val="24"/>
          <w:szCs w:val="24"/>
        </w:rPr>
      </w:pPr>
      <w:r w:rsidRPr="00D02B11">
        <w:rPr>
          <w:rFonts w:hAnsi="Times New Roman" w:ascii="Times New Roman"/>
          <w:sz w:val="24"/>
          <w:szCs w:val="24"/>
        </w:rPr>
        <w:t xml:space="preserve">Po zaprimljenom Podnesku razlučnog vjerovnika ROBSON HOLDINGS d.o.o. Zagreb, Radnička c. 27, OIB 04978313893, kojim vjerovnik obavještava o tražbinama ustupljenim od razlučnog vjerovnika HVB Splitska banka d.d., stečajni upravitelj izvješćuje da je pri Trgovačkom sudu u Zagrebu u tijeku parnični postupak, poslovni broj P-3083/2013, tužitelja NOVI SALONIT d.o.o. u stečaju protiv tuženika </w:t>
      </w:r>
      <w:r w:rsidRPr="00D02B11">
        <w:rPr>
          <w:rFonts w:hAnsi="Times New Roman" w:ascii="Times New Roman"/>
          <w:caps/>
          <w:sz w:val="24"/>
          <w:szCs w:val="24"/>
        </w:rPr>
        <w:t xml:space="preserve">Societe generale Splitska banka </w:t>
      </w:r>
      <w:r w:rsidRPr="00D02B11">
        <w:rPr>
          <w:rFonts w:hAnsi="Times New Roman" w:ascii="Times New Roman"/>
          <w:sz w:val="24"/>
          <w:szCs w:val="24"/>
        </w:rPr>
        <w:t>d.d., v.p.s. 7.550.005,08 kn, radi utvrđenja osnovanosti osporavanja tražbine HVB Splitske banke d.d. (tuženik kao fiducijarni vlasnik prenio je u fiducijarno vlasništvo nekretnine koje su bile predmet osiguranja povrata kredita koji je predmet spora)</w:t>
      </w:r>
    </w:p>
    <w:p w:rsidRDefault="0008155B" w:rsidP="00C77EDE" w:rsidR="0008155B" w:rsidRPr="00D02B11">
      <w:pPr>
        <w:spacing w:after="0"/>
        <w:jc w:val="both"/>
        <w:rPr>
          <w:rFonts w:hAnsi="Times New Roman" w:ascii="Times New Roman"/>
          <w:sz w:val="24"/>
          <w:szCs w:val="24"/>
        </w:rPr>
      </w:pPr>
      <w:r w:rsidRPr="00D02B11">
        <w:rPr>
          <w:rFonts w:hAnsi="Times New Roman" w:ascii="Times New Roman"/>
          <w:sz w:val="24"/>
          <w:szCs w:val="24"/>
        </w:rPr>
        <w:t>Rješenjem Trgovačkog suda u Zagrebu, poslovni broj 6 P-3083/2013 od 7. prosinca 2016.g. nastavljen je postupak u toj pravnoj stvari po službenoj dužnosti.</w:t>
      </w:r>
    </w:p>
    <w:p w:rsidRDefault="0008155B" w:rsidP="00C77EDE" w:rsidR="0008155B" w:rsidRPr="00D02B11">
      <w:pPr>
        <w:spacing w:after="0"/>
        <w:jc w:val="both"/>
        <w:rPr>
          <w:rFonts w:hAnsi="Times New Roman" w:ascii="Times New Roman"/>
          <w:sz w:val="24"/>
          <w:szCs w:val="24"/>
        </w:rPr>
      </w:pPr>
      <w:r w:rsidRPr="00D02B11">
        <w:rPr>
          <w:rFonts w:hAnsi="Times New Roman" w:ascii="Times New Roman"/>
          <w:sz w:val="24"/>
          <w:szCs w:val="24"/>
        </w:rPr>
        <w:t>Naime, na ročištu održanom dana 6. rujna 2016.g. suglasno je odgođena rasprava radi pokušaja mirnog rješenja spora, a Sud je donio rješenje kojem je određen zastoj parničnog postupka na rok od tri mjeseca, tj. do 6. prosinca 2016.g.</w:t>
      </w:r>
    </w:p>
    <w:p w:rsidRDefault="0008155B" w:rsidP="00C77EDE" w:rsidR="0008155B" w:rsidRPr="00D02B11">
      <w:pPr>
        <w:spacing w:after="0"/>
        <w:jc w:val="both"/>
        <w:rPr>
          <w:rFonts w:hAnsi="Times New Roman" w:ascii="Times New Roman"/>
          <w:sz w:val="24"/>
          <w:szCs w:val="24"/>
        </w:rPr>
      </w:pPr>
      <w:r w:rsidRPr="00D02B11">
        <w:rPr>
          <w:rFonts w:hAnsi="Times New Roman" w:ascii="Times New Roman"/>
          <w:sz w:val="24"/>
          <w:szCs w:val="24"/>
        </w:rPr>
        <w:t>Stečajni upravitelj je izmijenio tablicu vjerovnika s pravom odvojenog namirenja na način da je na mjesto razlučnog vjerovnika HVB Splitska banka d.d. uvrstio stjecatelja tražbine ROBSON HOLDINGS d.o.o., u iznosu od 10.883.272,30 kn, temeljem Ugovora o pristupanju duga i ustupanju glavnih i sporednih prava zaključenog 12.10.2005.g, (OV-13077/05) i Izjave od 21.10.2005.g. (OV-16595/05).</w:t>
      </w:r>
    </w:p>
    <w:p w:rsidRDefault="0008155B" w:rsidP="00C77EDE" w:rsidR="0008155B" w:rsidRPr="00D02B11">
      <w:pPr>
        <w:spacing w:after="0"/>
        <w:jc w:val="both"/>
        <w:rPr>
          <w:rFonts w:hAnsi="Times New Roman" w:ascii="Times New Roman"/>
          <w:sz w:val="24"/>
          <w:szCs w:val="24"/>
        </w:rPr>
      </w:pPr>
    </w:p>
    <w:p w:rsidRDefault="0008155B" w:rsidP="005122DB" w:rsidR="0008155B" w:rsidRPr="00D02B11">
      <w:pPr>
        <w:spacing w:after="0"/>
        <w:jc w:val="both"/>
        <w:rPr>
          <w:rFonts w:hAnsi="Times New Roman" w:ascii="Times New Roman"/>
          <w:sz w:val="24"/>
          <w:szCs w:val="24"/>
        </w:rPr>
      </w:pPr>
      <w:r w:rsidRPr="00D02B11">
        <w:rPr>
          <w:rFonts w:hAnsi="Times New Roman" w:ascii="Times New Roman"/>
          <w:sz w:val="24"/>
          <w:szCs w:val="24"/>
        </w:rPr>
        <w:t>Stečajni upravitelj u nastavku daje pregled i stanje sudskih predmeta:</w:t>
      </w:r>
    </w:p>
    <w:p w:rsidRDefault="0008155B" w:rsidP="005122DB" w:rsidR="0008155B" w:rsidRPr="00D02B11">
      <w:pPr>
        <w:spacing w:after="0"/>
        <w:jc w:val="both"/>
        <w:rPr>
          <w:rFonts w:hAnsi="Times New Roman" w:ascii="Times New Roman"/>
          <w:sz w:val="24"/>
          <w:szCs w:val="24"/>
        </w:rPr>
      </w:pPr>
    </w:p>
    <w:p w:rsidRDefault="0008155B" w:rsidP="000F1C59" w:rsidR="0008155B" w:rsidRPr="00D02B11">
      <w:pPr>
        <w:numPr>
          <w:ilvl w:val="0"/>
          <w:numId w:val="16"/>
        </w:numPr>
        <w:spacing w:after="0"/>
        <w:jc w:val="both"/>
        <w:rPr>
          <w:rFonts w:hAnsi="Times New Roman" w:ascii="Times New Roman"/>
          <w:sz w:val="24"/>
          <w:szCs w:val="24"/>
        </w:rPr>
      </w:pPr>
      <w:r w:rsidRPr="00D02B11">
        <w:rPr>
          <w:rFonts w:hAnsi="Times New Roman" w:ascii="Times New Roman"/>
          <w:sz w:val="24"/>
          <w:szCs w:val="24"/>
        </w:rPr>
        <w:t>Presudom i Rješenjem Trgovačkog suda u Zagrebu, posl.broj P-3603/2012 (ranije P-4020/05) od 11. travnja 2016.g. u pravnoj stvari tužitelja stečajnog dužnika, umješača na strani tužitelja SUPER MONITOR d.o.o. iz Zagreba, OIB 15574872867 c/a AD PLASTIK d.d. iz Solina, OIB 48351740621, radi isplate, održan je na snazi platni nalog sadržan u rješenju o ovrsi Trgovačkog suda u Splitu, broj Ovrv-1103/05 od 13.04.2005.g. s pripadajućom zateznom kamatom do isplate, te je naloženo tuženiku isplatiti trošak ovrhe tužitelju.</w:t>
      </w:r>
    </w:p>
    <w:p w:rsidRDefault="0008155B" w:rsidP="00476FD8" w:rsidR="0008155B" w:rsidRPr="00D02B11">
      <w:pPr>
        <w:spacing w:after="0"/>
        <w:ind w:left="708"/>
        <w:jc w:val="both"/>
        <w:rPr>
          <w:rFonts w:hAnsi="Times New Roman" w:ascii="Times New Roman"/>
          <w:sz w:val="24"/>
          <w:szCs w:val="24"/>
        </w:rPr>
      </w:pPr>
      <w:r w:rsidRPr="00D02B11">
        <w:rPr>
          <w:rFonts w:hAnsi="Times New Roman" w:ascii="Times New Roman"/>
          <w:sz w:val="24"/>
          <w:szCs w:val="24"/>
        </w:rPr>
        <w:t>Temeljem pravomoćne presude Trgovačkog suda u Zagrebu, broj P-3603/2012 tuženik je isplatio tužitelju na ime glavnice iznos od 555.740,46 kn, na ime zakonskih zateznih kamata iznos od 1.032.901,01 kn, te na ime troškova postupka iznos od 76.802,59 kn.</w:t>
      </w:r>
      <w:r>
        <w:rPr>
          <w:rFonts w:hAnsi="Times New Roman" w:ascii="Times New Roman"/>
          <w:sz w:val="24"/>
          <w:szCs w:val="24"/>
        </w:rPr>
        <w:t xml:space="preserve"> Dosuđeni troškovi isplaćeni su na račun punomoćnika tužitelja u ovom predmetu.</w:t>
      </w:r>
    </w:p>
    <w:p w:rsidRDefault="0008155B" w:rsidP="00476FD8" w:rsidR="0008155B" w:rsidRPr="00D02B11">
      <w:pPr>
        <w:spacing w:after="0"/>
        <w:ind w:left="708"/>
        <w:jc w:val="both"/>
        <w:rPr>
          <w:rFonts w:hAnsi="Times New Roman" w:ascii="Times New Roman"/>
          <w:sz w:val="24"/>
          <w:szCs w:val="24"/>
        </w:rPr>
      </w:pPr>
      <w:r w:rsidRPr="00D02B11">
        <w:rPr>
          <w:rFonts w:hAnsi="Times New Roman" w:ascii="Times New Roman"/>
          <w:sz w:val="24"/>
          <w:szCs w:val="24"/>
        </w:rPr>
        <w:t>Tuženik AD PLASTIK d.d. uložio je reviziju u ovom predmetu.</w:t>
      </w:r>
    </w:p>
    <w:p w:rsidRDefault="0008155B" w:rsidP="000F1C59" w:rsidR="0008155B" w:rsidRPr="00D02B11">
      <w:pPr>
        <w:numPr>
          <w:ilvl w:val="0"/>
          <w:numId w:val="16"/>
        </w:numPr>
        <w:spacing w:after="0"/>
        <w:jc w:val="both"/>
        <w:rPr>
          <w:rFonts w:hAnsi="Times New Roman" w:ascii="Times New Roman"/>
          <w:sz w:val="24"/>
          <w:szCs w:val="24"/>
        </w:rPr>
      </w:pPr>
      <w:r w:rsidRPr="00D02B11">
        <w:rPr>
          <w:rFonts w:hAnsi="Times New Roman" w:ascii="Times New Roman"/>
          <w:sz w:val="24"/>
          <w:szCs w:val="24"/>
        </w:rPr>
        <w:t>Rješenjem Trgovačkog suda u Zagrebu, broj P-3175/2016 od 7. ožujka 2017.g. u pravnoj stvari tužitelja stečajnog dužnika protiv tuženika Sociate Generale – Splitska banka d.d. Split, Ruđera Boškovića 16, OIB 69326397242 i umješača Robson Holdingsa d.o.o. iz Zagreba, Radnička c. 27, OIB 04978313893, radi isplate, na prijedlog stranaka, određen je zastoj parničnog postupka na rok od devet mjeseci, tj. do 6. prosinca 2017.g.</w:t>
      </w:r>
    </w:p>
    <w:p w:rsidRDefault="0008155B" w:rsidP="000F1C59" w:rsidR="0008155B" w:rsidRPr="00D02B11">
      <w:pPr>
        <w:numPr>
          <w:ilvl w:val="0"/>
          <w:numId w:val="16"/>
        </w:numPr>
        <w:spacing w:after="0"/>
        <w:jc w:val="both"/>
        <w:rPr>
          <w:rFonts w:hAnsi="Times New Roman" w:ascii="Times New Roman"/>
          <w:sz w:val="24"/>
          <w:szCs w:val="24"/>
        </w:rPr>
      </w:pPr>
      <w:r w:rsidRPr="00D02B11">
        <w:rPr>
          <w:rFonts w:hAnsi="Times New Roman" w:ascii="Times New Roman"/>
          <w:sz w:val="24"/>
          <w:szCs w:val="24"/>
        </w:rPr>
        <w:t xml:space="preserve">U pravnoj stvari pri Trgovačkom sudu u Splitu, poslovni broj P-704/2015 (ranije P-621/06), v.p.s. 101.000,00 kn, tužitelja SALONIT d.d. u stečaju, Vranje, Krešimirova ulica bb, OIB 14755697651 i umješača: stečajnog dužnika NOVI SALONIT d.o.o. u stečaju, OIB 74737876059 i BASCON d.o.o., Zagreb, Radnička c. 27, OIB 28992793633, protiv tuženika REPUBLIKA HRVATSKA, OIB 52634238587, zastupane po Županijskom državnom odvjetništvu u Splitu i GRADA SOLINA, Solin, Stjepana Radića 42, OIB 40642464411, radi stvarnopravnih zahtjeva, na ročištu održanom dana 30. ožujka 2017.g. Sud je donio rješenje kojim se nalaže strankama da </w:t>
      </w:r>
      <w:r w:rsidRPr="00D02B11">
        <w:rPr>
          <w:rFonts w:hAnsi="Times New Roman" w:ascii="Times New Roman"/>
          <w:sz w:val="24"/>
          <w:szCs w:val="24"/>
        </w:rPr>
        <w:lastRenderedPageBreak/>
        <w:t>se očituju pisanim putem na podnesak umješača-</w:t>
      </w:r>
      <w:r>
        <w:rPr>
          <w:rFonts w:hAnsi="Times New Roman" w:ascii="Times New Roman"/>
          <w:sz w:val="24"/>
          <w:szCs w:val="24"/>
        </w:rPr>
        <w:t>Novi salonit d.o.o. u stečaju</w:t>
      </w:r>
      <w:r w:rsidRPr="00D02B11">
        <w:rPr>
          <w:rFonts w:hAnsi="Times New Roman" w:ascii="Times New Roman"/>
          <w:sz w:val="24"/>
          <w:szCs w:val="24"/>
        </w:rPr>
        <w:t xml:space="preserve"> od 29.03.2017.g. Radi navedenog rasprava je odgođena, a slijedeća je zakazana za 4. svibnja 2017.g.</w:t>
      </w:r>
      <w:r>
        <w:rPr>
          <w:rFonts w:hAnsi="Times New Roman" w:ascii="Times New Roman"/>
          <w:sz w:val="24"/>
          <w:szCs w:val="24"/>
        </w:rPr>
        <w:t>, na kojoj su stranke predložile izvođenje dokaza. Sud će nakon pregleda dostavljene dokumentacije odlučiti o prijedlozima stranaka, raspravu je odgodio, a slijedeća će biti zakazana pisanim putem.</w:t>
      </w:r>
    </w:p>
    <w:p w:rsidRDefault="0008155B" w:rsidP="000F1C59" w:rsidR="0008155B" w:rsidRPr="00D02B11">
      <w:pPr>
        <w:numPr>
          <w:ilvl w:val="0"/>
          <w:numId w:val="16"/>
        </w:numPr>
        <w:spacing w:after="0"/>
        <w:jc w:val="both"/>
        <w:rPr>
          <w:rFonts w:hAnsi="Times New Roman" w:ascii="Times New Roman"/>
          <w:sz w:val="24"/>
          <w:szCs w:val="24"/>
        </w:rPr>
      </w:pPr>
      <w:r w:rsidRPr="00D02B11">
        <w:rPr>
          <w:rFonts w:hAnsi="Times New Roman" w:ascii="Times New Roman"/>
          <w:sz w:val="24"/>
          <w:szCs w:val="24"/>
        </w:rPr>
        <w:t>Rješenjem Trgovačkog suda u Zagrebu, poslovni broj P-2166/2006 od dana 29. studenog 2016.g. u pravnoj stvari tužitelja-stečajnog dužnika uz sudjelovanje umješača ROBSON HOLDINGSA d.o.o., OIB 04978313893, protiv tuženika ISTARSKA TVORNICA VAPNA d.o.o., OIB 14386799366, radi Parnica i ostalo, v.p.s. 126.208,03 kn, naloženo je tužitelju NOVOM SALONITU d.o.o. u stečaju plaćanje sudske pristojbe na Žalbu protiv presude. Stečajni upravitelj je potvrdu o doznaci dostavio na spis broj P-2166/2006.</w:t>
      </w:r>
    </w:p>
    <w:p w:rsidRDefault="0008155B" w:rsidP="000F1C59" w:rsidR="0008155B" w:rsidRPr="00D02B11">
      <w:pPr>
        <w:numPr>
          <w:ilvl w:val="0"/>
          <w:numId w:val="16"/>
        </w:numPr>
        <w:spacing w:after="0"/>
        <w:jc w:val="both"/>
        <w:rPr>
          <w:rFonts w:hAnsi="Times New Roman" w:ascii="Times New Roman"/>
          <w:sz w:val="24"/>
          <w:szCs w:val="24"/>
        </w:rPr>
      </w:pPr>
      <w:r w:rsidRPr="00D02B11">
        <w:rPr>
          <w:rFonts w:hAnsi="Times New Roman" w:ascii="Times New Roman"/>
          <w:sz w:val="24"/>
          <w:szCs w:val="24"/>
        </w:rPr>
        <w:t>U pravnoj stvari broj P-632/2009 pri Trgovačkom sudu u Zagrebu, tužitelja-protutuženika NOVI SALONIT d.o.o. u stečaju, protiv tužene-protutužiteljice DANIJELA DASOVIĆ odvjetnica iz Zagreba, OIB 27480509626, umješača na strani tužitelja-protutuženika SUPER MONITOR d.o.o. iz Zagreba, OIB 15574872867, radi plaćanja-povrata sredstava.</w:t>
      </w:r>
    </w:p>
    <w:p w:rsidRDefault="0008155B" w:rsidP="00A32D1C" w:rsidR="0008155B" w:rsidRPr="00D02B11">
      <w:pPr>
        <w:spacing w:after="0"/>
        <w:ind w:left="708"/>
        <w:jc w:val="both"/>
        <w:rPr>
          <w:rFonts w:hAnsi="Times New Roman" w:ascii="Times New Roman"/>
          <w:sz w:val="24"/>
          <w:szCs w:val="24"/>
        </w:rPr>
      </w:pPr>
      <w:r w:rsidRPr="00D02B11">
        <w:rPr>
          <w:rFonts w:hAnsi="Times New Roman" w:ascii="Times New Roman"/>
          <w:sz w:val="24"/>
          <w:szCs w:val="24"/>
        </w:rPr>
        <w:t>Tužena je, kao punomoćnica tužitelja NOVI SALONIT d.o.o. prije otvaranja stečajnog postupka nad tužiteljem, pokrenula ovršni postupak temeljem pravomoćne presude u predmetu broj P-80/03 Trgovačkog suda u Slavonskom Brodu protiv trgovačkog društva Vacom d.o.o. iz Slavonskog Broda. U tom ovršnom postupku je na svoj žiro račun naplatila u vremenskom period</w:t>
      </w:r>
      <w:r>
        <w:rPr>
          <w:rFonts w:hAnsi="Times New Roman" w:ascii="Times New Roman"/>
          <w:sz w:val="24"/>
          <w:szCs w:val="24"/>
        </w:rPr>
        <w:t>u od 11.08.2004. do 28.10.2004.</w:t>
      </w:r>
      <w:r w:rsidRPr="00D02B11">
        <w:rPr>
          <w:rFonts w:hAnsi="Times New Roman" w:ascii="Times New Roman"/>
          <w:sz w:val="24"/>
          <w:szCs w:val="24"/>
        </w:rPr>
        <w:t xml:space="preserve">g. (nakon otvaranja stečajnog postupka nad tužiteljem, </w:t>
      </w:r>
      <w:r w:rsidRPr="00D02B11">
        <w:rPr>
          <w:rFonts w:hAnsi="Times New Roman" w:ascii="Times New Roman"/>
          <w:sz w:val="24"/>
          <w:szCs w:val="24"/>
          <w:lang w:eastAsia="hr-HR"/>
        </w:rPr>
        <w:t>18.06.2004.g.</w:t>
      </w:r>
      <w:r w:rsidRPr="00D02B11">
        <w:rPr>
          <w:rFonts w:hAnsi="Times New Roman" w:ascii="Times New Roman"/>
          <w:sz w:val="24"/>
          <w:szCs w:val="24"/>
        </w:rPr>
        <w:t>) iznos od 358.119,57 kn koji nije uplatila na račun tužitelja već je isti zadržala. Tužiteljev prijedlog izreke presude je naložiti tuženoj da plati tužitelju iznos od 358.119,57 kn s pripadajućim zakonskim zateznim kamatama koje teku od 29. listopada 2004.g. do plaćanja, te naknaditi troškove parničnog postupka.</w:t>
      </w:r>
    </w:p>
    <w:p w:rsidRDefault="0008155B" w:rsidP="00A32D1C" w:rsidR="0008155B" w:rsidRPr="00D02B11">
      <w:pPr>
        <w:spacing w:after="0"/>
        <w:ind w:left="708"/>
        <w:jc w:val="both"/>
        <w:rPr>
          <w:rFonts w:hAnsi="Times New Roman" w:ascii="Times New Roman"/>
          <w:sz w:val="24"/>
          <w:szCs w:val="24"/>
          <w:lang w:eastAsia="hr-HR"/>
        </w:rPr>
      </w:pPr>
      <w:r w:rsidRPr="00D02B11">
        <w:rPr>
          <w:rFonts w:hAnsi="Times New Roman" w:ascii="Times New Roman"/>
          <w:sz w:val="24"/>
          <w:szCs w:val="24"/>
        </w:rPr>
        <w:t xml:space="preserve">U studenom 2016.g. tužena je podnijela protutužbu, v.p.s. naznačen u iznosu od 939.705,00 kn po </w:t>
      </w:r>
      <w:r w:rsidRPr="00D02B11">
        <w:rPr>
          <w:rFonts w:hAnsi="Times New Roman" w:ascii="Times New Roman"/>
          <w:sz w:val="24"/>
          <w:szCs w:val="24"/>
          <w:lang w:eastAsia="hr-HR"/>
        </w:rPr>
        <w:t>računu broj 101/09</w:t>
      </w:r>
      <w:r w:rsidRPr="00D02B11">
        <w:rPr>
          <w:rFonts w:hAnsi="Times New Roman" w:ascii="Times New Roman"/>
          <w:sz w:val="24"/>
          <w:szCs w:val="24"/>
        </w:rPr>
        <w:t xml:space="preserve">, za troškove zastupanja stečajnog dužnika Novi salonit d.o.o. u stečaju u </w:t>
      </w:r>
      <w:r w:rsidRPr="00D02B11">
        <w:rPr>
          <w:rFonts w:hAnsi="Times New Roman" w:ascii="Times New Roman"/>
          <w:sz w:val="24"/>
          <w:szCs w:val="24"/>
          <w:lang w:eastAsia="hr-HR"/>
        </w:rPr>
        <w:t>predmetu broj P-3831/04 protiv Societe Generali Splitska Banka d.d. i umješača Robinson Holdings d.o.o.</w:t>
      </w:r>
    </w:p>
    <w:p w:rsidRDefault="0008155B" w:rsidP="00A32D1C" w:rsidR="0008155B" w:rsidRPr="00D02B11">
      <w:pPr>
        <w:spacing w:after="0"/>
        <w:ind w:left="708"/>
        <w:jc w:val="both"/>
        <w:rPr>
          <w:rFonts w:hAnsi="Times New Roman" w:ascii="Times New Roman"/>
          <w:sz w:val="24"/>
          <w:szCs w:val="24"/>
          <w:lang w:eastAsia="hr-HR"/>
        </w:rPr>
      </w:pPr>
      <w:r w:rsidRPr="00D02B11">
        <w:rPr>
          <w:rFonts w:hAnsi="Times New Roman" w:ascii="Times New Roman"/>
          <w:sz w:val="24"/>
          <w:szCs w:val="24"/>
          <w:lang w:eastAsia="hr-HR"/>
        </w:rPr>
        <w:t>Na ročištu 12.12.2016.g. saslušana je tužena Danijela Dasović. Sud je rješenjem naložio tuženoj u roku od 8 dana dostaviti ugovor o zastupanju sklopljen između nje kao odvjetnice i društva NOVI SALONIT d.o.o., Zagreb.</w:t>
      </w:r>
    </w:p>
    <w:p w:rsidRDefault="0008155B" w:rsidP="00A32D1C" w:rsidR="0008155B" w:rsidRPr="00D02B11">
      <w:pPr>
        <w:spacing w:after="0"/>
        <w:ind w:left="708"/>
        <w:jc w:val="both"/>
        <w:rPr>
          <w:rFonts w:hAnsi="Times New Roman" w:ascii="Times New Roman"/>
          <w:sz w:val="24"/>
          <w:szCs w:val="24"/>
          <w:lang w:eastAsia="hr-HR"/>
        </w:rPr>
      </w:pPr>
      <w:r w:rsidRPr="00D02B11">
        <w:rPr>
          <w:rFonts w:hAnsi="Times New Roman" w:ascii="Times New Roman"/>
          <w:sz w:val="24"/>
          <w:szCs w:val="24"/>
          <w:lang w:eastAsia="hr-HR"/>
        </w:rPr>
        <w:t>Ročište određeno za 17.01.2017. g. odgođeno je radi bolesti suca.</w:t>
      </w:r>
    </w:p>
    <w:p w:rsidRDefault="0008155B" w:rsidP="00A32D1C" w:rsidR="0008155B" w:rsidRPr="00D02B11">
      <w:pPr>
        <w:spacing w:after="0"/>
        <w:ind w:left="708"/>
        <w:jc w:val="both"/>
        <w:rPr>
          <w:rFonts w:hAnsi="Times New Roman" w:ascii="Times New Roman"/>
          <w:sz w:val="24"/>
          <w:szCs w:val="24"/>
          <w:lang w:eastAsia="hr-HR"/>
        </w:rPr>
      </w:pPr>
      <w:r w:rsidRPr="00D02B11">
        <w:rPr>
          <w:rFonts w:hAnsi="Times New Roman" w:ascii="Times New Roman"/>
          <w:sz w:val="24"/>
          <w:szCs w:val="24"/>
          <w:lang w:eastAsia="hr-HR"/>
        </w:rPr>
        <w:t>Čeka se određivanje ročišta za glavnu raspravu.</w:t>
      </w:r>
    </w:p>
    <w:p w:rsidRDefault="0008155B" w:rsidP="00A32D1C" w:rsidR="0008155B" w:rsidRPr="00D02B11">
      <w:pPr>
        <w:spacing w:after="0"/>
        <w:ind w:left="708"/>
        <w:jc w:val="both"/>
        <w:rPr>
          <w:rFonts w:hAnsi="Times New Roman" w:ascii="Times New Roman"/>
          <w:sz w:val="24"/>
          <w:szCs w:val="24"/>
          <w:lang w:eastAsia="hr-HR"/>
        </w:rPr>
      </w:pPr>
      <w:r w:rsidRPr="00D02B11">
        <w:rPr>
          <w:rFonts w:hAnsi="Times New Roman" w:ascii="Times New Roman"/>
          <w:sz w:val="24"/>
          <w:szCs w:val="24"/>
          <w:lang w:eastAsia="hr-HR"/>
        </w:rPr>
        <w:t>U međuvremenu, nije zaprimljena daljnja dokumentacija od strane tužene-protutužiteljice.</w:t>
      </w:r>
    </w:p>
    <w:p w:rsidRDefault="0008155B" w:rsidP="00A32D1C" w:rsidR="0008155B" w:rsidRPr="00D02B11">
      <w:pPr>
        <w:spacing w:after="0"/>
        <w:ind w:left="708"/>
        <w:jc w:val="both"/>
        <w:rPr>
          <w:rFonts w:hAnsi="Times New Roman" w:ascii="Times New Roman"/>
          <w:sz w:val="24"/>
          <w:szCs w:val="24"/>
        </w:rPr>
      </w:pPr>
      <w:r w:rsidRPr="00D02B11">
        <w:rPr>
          <w:rFonts w:hAnsi="Times New Roman" w:ascii="Times New Roman"/>
          <w:sz w:val="24"/>
          <w:szCs w:val="24"/>
          <w:lang w:eastAsia="hr-HR"/>
        </w:rPr>
        <w:t>U predmetnoj pravnoj stvari održano je u periodu od veljače 2009.g. pa do 12.12.2016.g. ukupno 8 ročišta. Tijekom ovog sudskog postupka stečajni je upravitelj udovoljio svim nalozima suda dostavom podnesaka, odgovora kao i tražene dokumentacije.</w:t>
      </w:r>
    </w:p>
    <w:p w:rsidRDefault="0008155B" w:rsidP="000F1C59" w:rsidR="0008155B" w:rsidRPr="00D02B11">
      <w:pPr>
        <w:numPr>
          <w:ilvl w:val="0"/>
          <w:numId w:val="16"/>
        </w:numPr>
        <w:spacing w:after="0"/>
        <w:jc w:val="both"/>
        <w:rPr>
          <w:rFonts w:hAnsi="Times New Roman" w:ascii="Times New Roman"/>
          <w:sz w:val="24"/>
          <w:szCs w:val="24"/>
        </w:rPr>
      </w:pPr>
      <w:r w:rsidRPr="00D02B11">
        <w:rPr>
          <w:rFonts w:hAnsi="Times New Roman" w:ascii="Times New Roman"/>
          <w:sz w:val="24"/>
          <w:szCs w:val="24"/>
        </w:rPr>
        <w:t>U pravnoj stvari pri Trgovačkom sudu u Splitu, poslovni broj P-640/13</w:t>
      </w:r>
      <w:r>
        <w:rPr>
          <w:rFonts w:hAnsi="Times New Roman" w:ascii="Times New Roman"/>
          <w:sz w:val="24"/>
          <w:szCs w:val="24"/>
        </w:rPr>
        <w:t xml:space="preserve"> </w:t>
      </w:r>
      <w:r w:rsidRPr="00D02B11">
        <w:rPr>
          <w:rFonts w:hAnsi="Times New Roman" w:ascii="Times New Roman"/>
          <w:sz w:val="24"/>
          <w:szCs w:val="24"/>
        </w:rPr>
        <w:t xml:space="preserve">(ranije P-2033/05) tužitelj Salonit d.d. u stečaju i umješača RH i Marija Anterić i dr. protiv tuženika NOVI SALONIT d.o.o. u stečaju, KAMICON d.o.o. iz Zagreba, TRGOVINA GRADNJA d.o.o. iz Zagreba i BASCON d.o.o. iz zagreba, radi pobijanja pravnih radnji stečajnog dužnika, v.p.s: 5.000.000,00 kn. </w:t>
      </w:r>
      <w:r>
        <w:rPr>
          <w:rFonts w:hAnsi="Times New Roman" w:ascii="Times New Roman"/>
          <w:sz w:val="24"/>
          <w:szCs w:val="24"/>
        </w:rPr>
        <w:t>Po žalbi tuženika p</w:t>
      </w:r>
      <w:r w:rsidRPr="00D02B11">
        <w:rPr>
          <w:rFonts w:hAnsi="Times New Roman" w:ascii="Times New Roman"/>
          <w:sz w:val="24"/>
          <w:szCs w:val="24"/>
        </w:rPr>
        <w:t>redmetni spis upućen je Visokom trgovačkom sudu RH i vodi se pod poslovnim brojem Pž-1614/13 i Pž-1515/13.</w:t>
      </w:r>
    </w:p>
    <w:p w:rsidRDefault="0008155B" w:rsidP="000F1C59" w:rsidR="0008155B" w:rsidRPr="00D02B11">
      <w:pPr>
        <w:numPr>
          <w:ilvl w:val="0"/>
          <w:numId w:val="16"/>
        </w:numPr>
        <w:spacing w:after="0"/>
        <w:jc w:val="both"/>
        <w:rPr>
          <w:rFonts w:hAnsi="Times New Roman" w:ascii="Times New Roman"/>
          <w:sz w:val="24"/>
          <w:szCs w:val="24"/>
        </w:rPr>
      </w:pPr>
      <w:r w:rsidRPr="00D02B11">
        <w:rPr>
          <w:rFonts w:hAnsi="Times New Roman" w:ascii="Times New Roman"/>
          <w:sz w:val="24"/>
          <w:szCs w:val="24"/>
        </w:rPr>
        <w:lastRenderedPageBreak/>
        <w:t>U pravnoj stvari pri Županijskom sudu u Splitu, poslovni broj K-80/05, tužitelj ŽDO Split, okrivljenik Jozo Ćurković i dr., zbog kaznenog djela iz čl. 337. st. 4 i dr. Kaznenog zakona, pribavljanje znatne imovinske koristi. Stečajni dužnik je oštećenik.</w:t>
      </w:r>
    </w:p>
    <w:p w:rsidRDefault="0008155B" w:rsidP="000F1C59" w:rsidR="0008155B" w:rsidRPr="00D02B11">
      <w:pPr>
        <w:numPr>
          <w:ilvl w:val="0"/>
          <w:numId w:val="16"/>
        </w:numPr>
        <w:spacing w:after="0"/>
        <w:jc w:val="both"/>
        <w:rPr>
          <w:rFonts w:hAnsi="Times New Roman" w:ascii="Times New Roman"/>
          <w:sz w:val="24"/>
          <w:szCs w:val="24"/>
        </w:rPr>
      </w:pPr>
      <w:r w:rsidRPr="00D02B11">
        <w:rPr>
          <w:rFonts w:hAnsi="Times New Roman" w:ascii="Times New Roman"/>
          <w:sz w:val="24"/>
          <w:szCs w:val="24"/>
        </w:rPr>
        <w:t>U pravnoj stvari pri Županijskom sudu u Velikoj Gorici, poslovni broj K-405/16, optuženici Ivan Jukić, Jozo Ćurković i Frane Marijić, zbog kaznenog djela zlouporabe ovlasti u gospodarskom poslovanju iz čl. 292 Kaznenog zakona, kao odgovorna osoba u pravnoj osobi – stečajnom dužniku.</w:t>
      </w:r>
    </w:p>
    <w:p w:rsidRDefault="0008155B" w:rsidP="000F1C59" w:rsidR="0008155B" w:rsidRPr="00D02B11">
      <w:pPr>
        <w:numPr>
          <w:ilvl w:val="0"/>
          <w:numId w:val="16"/>
        </w:numPr>
        <w:spacing w:after="0"/>
        <w:jc w:val="both"/>
        <w:rPr>
          <w:rFonts w:hAnsi="Times New Roman" w:ascii="Times New Roman"/>
          <w:sz w:val="24"/>
          <w:szCs w:val="24"/>
        </w:rPr>
      </w:pPr>
      <w:r w:rsidRPr="00D02B11">
        <w:rPr>
          <w:rFonts w:hAnsi="Times New Roman" w:ascii="Times New Roman"/>
          <w:sz w:val="24"/>
          <w:szCs w:val="24"/>
        </w:rPr>
        <w:t>U pravnoj stvari pri Trgovačkom sudu u Zagrebu, poslovni broj P-484/5, tužitelj GRAD SOLIN protiv tuženika NOVI SALONIT d.o.o. u stečaju, radi izdvajanja nekretnina iz stečajne mase, VPS 3.000.000,00 kn. Po prijedlogu tužitelja na zaključenje sudske nagodbe uz povlačenje tužbe uz plaćanje minimalno 100.000,00 kn troškova uključivo s PDV-om, zaključena je sudska nagodba. Tužitelj je u cijelosti povukao tužbu i ispunio sve svoje obveze iz nagodbe, tako da je predmet u cijelosti okončan.</w:t>
      </w:r>
    </w:p>
    <w:p w:rsidRDefault="0008155B" w:rsidP="00F72892" w:rsidR="0008155B" w:rsidRPr="00D02B11">
      <w:pPr>
        <w:spacing w:after="0"/>
        <w:jc w:val="both"/>
        <w:rPr>
          <w:rFonts w:hAnsi="Times New Roman" w:ascii="Times New Roman"/>
          <w:sz w:val="24"/>
          <w:szCs w:val="24"/>
        </w:rPr>
      </w:pPr>
    </w:p>
    <w:p w:rsidRDefault="0008155B" w:rsidP="003F5B77" w:rsidR="0008155B" w:rsidRPr="00D02B11">
      <w:pPr>
        <w:spacing w:after="0"/>
        <w:jc w:val="both"/>
        <w:rPr>
          <w:rFonts w:hAnsi="Times New Roman" w:ascii="Times New Roman"/>
          <w:sz w:val="24"/>
          <w:szCs w:val="24"/>
        </w:rPr>
      </w:pPr>
      <w:r w:rsidRPr="00D02B11">
        <w:rPr>
          <w:rFonts w:hAnsi="Times New Roman" w:ascii="Times New Roman"/>
          <w:sz w:val="24"/>
          <w:szCs w:val="24"/>
        </w:rPr>
        <w:t>Stečajni je upravitelj izradio završni račun za 2016.g. i u zakonom određenom roku predao sva zakonom propisana izvješća i obrasce nadležnim institucijama:</w:t>
      </w:r>
    </w:p>
    <w:p w:rsidRDefault="0008155B" w:rsidP="003F5B77" w:rsidR="0008155B" w:rsidRPr="00D02B11">
      <w:pPr>
        <w:numPr>
          <w:ilvl w:val="0"/>
          <w:numId w:val="15"/>
        </w:numPr>
        <w:spacing w:after="0"/>
        <w:jc w:val="both"/>
        <w:rPr>
          <w:rFonts w:hAnsi="Times New Roman" w:ascii="Times New Roman"/>
          <w:sz w:val="24"/>
          <w:szCs w:val="24"/>
        </w:rPr>
      </w:pPr>
      <w:r w:rsidRPr="00D02B11">
        <w:rPr>
          <w:rFonts w:hAnsi="Times New Roman" w:ascii="Times New Roman"/>
          <w:sz w:val="24"/>
          <w:szCs w:val="24"/>
        </w:rPr>
        <w:t>MF, Poreznoj upravi - prijavu poreza na dobit za 2016.g. sa svim prilozima, te obračun članarine turističkoj zajednici za period od 01.01.2016. do 31.12.2016.g.</w:t>
      </w:r>
    </w:p>
    <w:p w:rsidRDefault="0008155B" w:rsidP="003F5B77" w:rsidR="0008155B" w:rsidRPr="00D02B11">
      <w:pPr>
        <w:numPr>
          <w:ilvl w:val="0"/>
          <w:numId w:val="15"/>
        </w:numPr>
        <w:spacing w:after="0"/>
        <w:jc w:val="both"/>
        <w:rPr>
          <w:rFonts w:hAnsi="Times New Roman" w:ascii="Times New Roman"/>
          <w:sz w:val="24"/>
          <w:szCs w:val="24"/>
        </w:rPr>
      </w:pPr>
      <w:r w:rsidRPr="00D02B11">
        <w:rPr>
          <w:rFonts w:hAnsi="Times New Roman" w:ascii="Times New Roman"/>
          <w:sz w:val="24"/>
          <w:szCs w:val="24"/>
        </w:rPr>
        <w:t>FINA-i – godišnje financijsko izvješće s prilozima, za javnu objavu i u statističke svrhe.</w:t>
      </w:r>
    </w:p>
    <w:p w:rsidRDefault="0008155B" w:rsidP="00F72892" w:rsidR="0008155B" w:rsidRPr="00D02B11">
      <w:pPr>
        <w:spacing w:after="0"/>
        <w:jc w:val="both"/>
        <w:rPr>
          <w:rFonts w:hAnsi="Times New Roman" w:ascii="Times New Roman"/>
          <w:sz w:val="24"/>
          <w:szCs w:val="24"/>
        </w:rPr>
      </w:pPr>
    </w:p>
    <w:p w:rsidRDefault="0008155B" w:rsidP="00B7168E" w:rsidR="0008155B" w:rsidRPr="00576358">
      <w:pPr>
        <w:spacing w:after="0"/>
        <w:jc w:val="both"/>
        <w:rPr>
          <w:rFonts w:hAnsi="Times New Roman" w:ascii="Times New Roman"/>
          <w:bCs/>
          <w:sz w:val="24"/>
          <w:szCs w:val="24"/>
        </w:rPr>
      </w:pPr>
      <w:r w:rsidRPr="00576358">
        <w:rPr>
          <w:rFonts w:hAnsi="Times New Roman" w:ascii="Times New Roman"/>
          <w:sz w:val="24"/>
          <w:szCs w:val="24"/>
        </w:rPr>
        <w:t>Prema dokumentaciji stečajnog dužnika preuzetoj kod preuzimanja dužnosti sadašnjeg stečajnog upravitelja od prethodnog stečajnog upravitelja, tj. do dana 20.04.2009.g.</w:t>
      </w:r>
      <w:r>
        <w:rPr>
          <w:rFonts w:hAnsi="Times New Roman" w:ascii="Times New Roman"/>
          <w:sz w:val="24"/>
          <w:szCs w:val="24"/>
        </w:rPr>
        <w:t>,</w:t>
      </w:r>
      <w:r w:rsidRPr="00576358">
        <w:rPr>
          <w:rFonts w:hAnsi="Times New Roman" w:ascii="Times New Roman"/>
          <w:sz w:val="24"/>
          <w:szCs w:val="24"/>
        </w:rPr>
        <w:t xml:space="preserve"> ostvareno je troškova u iznosu od </w:t>
      </w:r>
      <w:r w:rsidRPr="00576358">
        <w:rPr>
          <w:rFonts w:hAnsi="Times New Roman" w:ascii="Times New Roman"/>
          <w:bCs/>
          <w:sz w:val="24"/>
          <w:szCs w:val="24"/>
        </w:rPr>
        <w:t>2.589.025,84 kn, od čega se najveći dio odnosi na odvjetničke troškove zastupanja u stečaju, te na nagradu stečajnog upravitelja s pripadajućim troškovima doprinosa i poreza i PDV-a.</w:t>
      </w:r>
    </w:p>
    <w:p w:rsidRDefault="0008155B" w:rsidP="00B7168E" w:rsidR="0008155B" w:rsidRPr="00576358">
      <w:pPr>
        <w:spacing w:after="0"/>
        <w:jc w:val="both"/>
        <w:rPr>
          <w:rFonts w:hAnsi="Times New Roman" w:ascii="Times New Roman"/>
          <w:sz w:val="24"/>
          <w:szCs w:val="24"/>
        </w:rPr>
      </w:pPr>
      <w:r w:rsidRPr="00576358">
        <w:rPr>
          <w:rFonts w:hAnsi="Times New Roman" w:ascii="Times New Roman"/>
          <w:bCs/>
          <w:sz w:val="24"/>
          <w:szCs w:val="24"/>
        </w:rPr>
        <w:t xml:space="preserve">U periodu od 20.04.2009.g. do 18.05.2017.g. ostvareno je troškova u iznosu od </w:t>
      </w:r>
      <w:r w:rsidRPr="00576358">
        <w:rPr>
          <w:rFonts w:hAnsi="Times New Roman" w:ascii="Times New Roman"/>
          <w:sz w:val="24"/>
          <w:szCs w:val="24"/>
        </w:rPr>
        <w:t>252.929,14 kn, a koji se odnose na troškove: naknade banke za vođenje poslovnog računa, naknade za javnu objavu godišnjih financijskih izvješća, pristojbi u parničnim postupcima, odvjetničkih troškova, odlaska stečajnog upravitelja na ročišta u Split, najma i režija poslovnog prostora korištenog za vođenje stečajnog postupka, tiskanica, biljega i poštarine.</w:t>
      </w:r>
    </w:p>
    <w:p w:rsidRDefault="0008155B" w:rsidP="00B7168E" w:rsidR="0008155B" w:rsidRPr="00576358">
      <w:pPr>
        <w:spacing w:after="0"/>
        <w:jc w:val="both"/>
        <w:rPr>
          <w:rFonts w:hAnsi="Times New Roman" w:ascii="Times New Roman"/>
          <w:sz w:val="24"/>
          <w:szCs w:val="24"/>
        </w:rPr>
      </w:pPr>
      <w:r w:rsidRPr="00576358">
        <w:rPr>
          <w:rFonts w:hAnsi="Times New Roman" w:ascii="Times New Roman"/>
          <w:sz w:val="24"/>
          <w:szCs w:val="24"/>
        </w:rPr>
        <w:t>Od otvaranja stečajnog postupka ostvareno je troškova u ukupnom iznosu od 2.841.954,98kn.</w:t>
      </w:r>
    </w:p>
    <w:p w:rsidRDefault="0008155B" w:rsidP="00F72892" w:rsidR="0008155B" w:rsidRPr="00D02B11">
      <w:pPr>
        <w:spacing w:after="0"/>
        <w:jc w:val="both"/>
        <w:rPr>
          <w:rFonts w:hAnsi="Times New Roman" w:ascii="Times New Roman"/>
          <w:sz w:val="24"/>
          <w:szCs w:val="24"/>
        </w:rPr>
      </w:pPr>
    </w:p>
    <w:p w:rsidRDefault="0008155B" w:rsidP="00F72892" w:rsidR="0008155B" w:rsidRPr="00D02B11">
      <w:pPr>
        <w:spacing w:after="0"/>
        <w:jc w:val="both"/>
        <w:rPr>
          <w:rFonts w:hAnsi="Times New Roman" w:ascii="Times New Roman"/>
          <w:sz w:val="24"/>
          <w:szCs w:val="24"/>
        </w:rPr>
      </w:pPr>
      <w:r w:rsidRPr="00D02B11">
        <w:rPr>
          <w:rFonts w:hAnsi="Times New Roman" w:ascii="Times New Roman"/>
          <w:sz w:val="24"/>
          <w:szCs w:val="24"/>
        </w:rPr>
        <w:t xml:space="preserve">Tijekom stečajnog postupka održana su dva ispitna ročišta, 10.09.2004.g. i 23.03.2007.g., zaprimljeno je i obrađeno ukupno 20 prijava tražbina. Prijavljeno je potraživanja u ukupnom iznosu od 67.668.119.97 kn, od čega je priznato tražbina u iznosu od </w:t>
      </w:r>
      <w:r w:rsidRPr="00D02B11">
        <w:rPr>
          <w:rFonts w:hAnsi="Times New Roman" w:ascii="Times New Roman"/>
          <w:bCs/>
          <w:sz w:val="24"/>
          <w:szCs w:val="24"/>
        </w:rPr>
        <w:t>842.195,83</w:t>
      </w:r>
      <w:r w:rsidRPr="00D02B11">
        <w:rPr>
          <w:rFonts w:hAnsi="Times New Roman" w:ascii="Times New Roman"/>
          <w:sz w:val="24"/>
          <w:szCs w:val="24"/>
        </w:rPr>
        <w:t xml:space="preserve"> kn, a osporeno u iznosu od 66.825.924,14 kn, na način:</w:t>
      </w:r>
    </w:p>
    <w:p w:rsidRDefault="0008155B" w:rsidP="00B80062" w:rsidR="0008155B" w:rsidRPr="00D02B11">
      <w:pPr>
        <w:numPr>
          <w:ilvl w:val="0"/>
          <w:numId w:val="15"/>
        </w:numPr>
        <w:spacing w:after="0"/>
        <w:jc w:val="both"/>
        <w:rPr>
          <w:rFonts w:hAnsi="Times New Roman" w:ascii="Times New Roman"/>
          <w:sz w:val="24"/>
          <w:szCs w:val="24"/>
        </w:rPr>
      </w:pPr>
      <w:r w:rsidRPr="00D02B11">
        <w:rPr>
          <w:rFonts w:hAnsi="Times New Roman" w:ascii="Times New Roman"/>
          <w:sz w:val="24"/>
          <w:szCs w:val="24"/>
        </w:rPr>
        <w:t>u I. višem isplatnom redu utvrđeno je tražbina u iznosu od 144.532,54 kn</w:t>
      </w:r>
    </w:p>
    <w:p w:rsidRDefault="0008155B" w:rsidP="00B80062" w:rsidR="0008155B" w:rsidRPr="00D02B11">
      <w:pPr>
        <w:numPr>
          <w:ilvl w:val="0"/>
          <w:numId w:val="15"/>
        </w:numPr>
        <w:spacing w:after="0"/>
        <w:jc w:val="both"/>
        <w:rPr>
          <w:rFonts w:hAnsi="Times New Roman" w:ascii="Times New Roman"/>
          <w:sz w:val="24"/>
          <w:szCs w:val="24"/>
        </w:rPr>
      </w:pPr>
      <w:r w:rsidRPr="00D02B11">
        <w:rPr>
          <w:rFonts w:hAnsi="Times New Roman" w:ascii="Times New Roman"/>
          <w:sz w:val="24"/>
          <w:szCs w:val="24"/>
        </w:rPr>
        <w:t>u II. višem isplatnom redu utvrđeno je tražbina u iznosu od 697.663,29 kn</w:t>
      </w:r>
    </w:p>
    <w:p w:rsidRDefault="0008155B" w:rsidP="00B80062" w:rsidR="0008155B" w:rsidRPr="00D02B11">
      <w:pPr>
        <w:numPr>
          <w:ilvl w:val="0"/>
          <w:numId w:val="15"/>
        </w:numPr>
        <w:spacing w:after="0"/>
        <w:jc w:val="both"/>
        <w:rPr>
          <w:rFonts w:hAnsi="Times New Roman" w:ascii="Times New Roman"/>
          <w:sz w:val="24"/>
          <w:szCs w:val="24"/>
        </w:rPr>
      </w:pPr>
      <w:r w:rsidRPr="00D02B11">
        <w:rPr>
          <w:rFonts w:hAnsi="Times New Roman" w:ascii="Times New Roman"/>
          <w:sz w:val="24"/>
          <w:szCs w:val="24"/>
        </w:rPr>
        <w:t>u II. višem isplatnom redu osporeno je tražbina u iznosu od 66.825.924,14 kn</w:t>
      </w:r>
    </w:p>
    <w:p w:rsidRDefault="0008155B" w:rsidP="004538AC" w:rsidR="0008155B" w:rsidRPr="00D02B11">
      <w:pPr>
        <w:spacing w:after="0"/>
        <w:jc w:val="both"/>
        <w:rPr>
          <w:rFonts w:hAnsi="Times New Roman" w:ascii="Times New Roman"/>
          <w:sz w:val="24"/>
          <w:szCs w:val="24"/>
        </w:rPr>
      </w:pPr>
    </w:p>
    <w:p w:rsidRDefault="0008155B" w:rsidP="004538AC" w:rsidR="0008155B" w:rsidRPr="00D02B11">
      <w:pPr>
        <w:spacing w:after="0"/>
        <w:jc w:val="both"/>
        <w:rPr>
          <w:rFonts w:hAnsi="Times New Roman" w:ascii="Times New Roman"/>
          <w:sz w:val="24"/>
          <w:szCs w:val="24"/>
        </w:rPr>
      </w:pPr>
      <w:r w:rsidRPr="00D02B11">
        <w:rPr>
          <w:rFonts w:hAnsi="Times New Roman" w:ascii="Times New Roman"/>
          <w:sz w:val="24"/>
          <w:szCs w:val="24"/>
        </w:rPr>
        <w:t>Stečajni upravitelj daje popis</w:t>
      </w:r>
      <w:r>
        <w:rPr>
          <w:rFonts w:hAnsi="Times New Roman" w:ascii="Times New Roman"/>
          <w:sz w:val="24"/>
          <w:szCs w:val="24"/>
        </w:rPr>
        <w:t xml:space="preserve"> do sada utvrđenih tražbina</w:t>
      </w:r>
      <w:r w:rsidRPr="00D02B11">
        <w:rPr>
          <w:rFonts w:hAnsi="Times New Roman" w:ascii="Times New Roman"/>
          <w:sz w:val="24"/>
          <w:szCs w:val="24"/>
        </w:rPr>
        <w:t xml:space="preserve"> vjerovnik</w:t>
      </w:r>
      <w:r>
        <w:rPr>
          <w:rFonts w:hAnsi="Times New Roman" w:ascii="Times New Roman"/>
          <w:sz w:val="24"/>
          <w:szCs w:val="24"/>
        </w:rPr>
        <w:t>a I. i II. višeg isplatnog reda. O tražbinama vjerovnika I. višeg isplatnog reda ne vode se nikakvi sporovi, a o tražbinama vjerovnika II. višeg isplatnog reda u tijeku su sudski postupci.</w:t>
      </w:r>
    </w:p>
    <w:p w:rsidRDefault="0008155B" w:rsidP="00F72892" w:rsidR="0008155B">
      <w:pPr>
        <w:spacing w:after="0"/>
        <w:jc w:val="both"/>
        <w:rPr>
          <w:rFonts w:hAnsi="Times New Roman" w:ascii="Times New Roman"/>
          <w:sz w:val="24"/>
          <w:szCs w:val="24"/>
        </w:rPr>
      </w:pPr>
    </w:p>
    <w:p w:rsidRDefault="0008155B" w:rsidP="00F72892" w:rsidR="0008155B">
      <w:pPr>
        <w:spacing w:after="0"/>
        <w:jc w:val="both"/>
        <w:rPr>
          <w:rFonts w:hAnsi="Times New Roman" w:ascii="Times New Roman"/>
          <w:sz w:val="24"/>
          <w:szCs w:val="24"/>
        </w:rPr>
      </w:pPr>
    </w:p>
    <w:p w:rsidRDefault="0008155B" w:rsidP="00F72892" w:rsidR="0008155B">
      <w:pPr>
        <w:spacing w:after="0"/>
        <w:jc w:val="both"/>
        <w:rPr>
          <w:rFonts w:hAnsi="Times New Roman" w:ascii="Times New Roman"/>
          <w:sz w:val="24"/>
          <w:szCs w:val="24"/>
        </w:rPr>
      </w:pPr>
    </w:p>
    <w:p w:rsidRDefault="0008155B" w:rsidP="00F72892" w:rsidR="0008155B">
      <w:pPr>
        <w:spacing w:after="0"/>
        <w:jc w:val="both"/>
        <w:rPr>
          <w:rFonts w:hAnsi="Times New Roman" w:ascii="Times New Roman"/>
          <w:sz w:val="24"/>
          <w:szCs w:val="24"/>
        </w:rPr>
      </w:pPr>
    </w:p>
    <w:p w:rsidRDefault="0008155B" w:rsidP="00F72892" w:rsidR="0008155B">
      <w:pPr>
        <w:spacing w:after="0"/>
        <w:jc w:val="both"/>
        <w:rPr>
          <w:rFonts w:hAnsi="Times New Roman" w:ascii="Times New Roman"/>
          <w:sz w:val="24"/>
          <w:szCs w:val="24"/>
        </w:rPr>
      </w:pPr>
    </w:p>
    <w:p w:rsidRDefault="0008155B" w:rsidP="00F72892" w:rsidR="0008155B" w:rsidRPr="00D02B11">
      <w:pPr>
        <w:spacing w:after="0"/>
        <w:jc w:val="both"/>
        <w:rPr>
          <w:rFonts w:hAnsi="Times New Roman" w:ascii="Times New Roman"/>
          <w:sz w:val="24"/>
          <w:szCs w:val="24"/>
        </w:rPr>
      </w:pPr>
    </w:p>
    <w:p w:rsidRDefault="0008155B" w:rsidP="00F51451" w:rsidR="0008155B" w:rsidRPr="00D02B11">
      <w:pPr>
        <w:spacing w:after="0"/>
        <w:jc w:val="both"/>
        <w:rPr>
          <w:rFonts w:hAnsi="Times New Roman" w:ascii="Times New Roman"/>
          <w:sz w:val="24"/>
          <w:szCs w:val="24"/>
        </w:rPr>
      </w:pPr>
      <w:r w:rsidRPr="00D02B11">
        <w:rPr>
          <w:rFonts w:hAnsi="Times New Roman" w:ascii="Times New Roman"/>
          <w:sz w:val="24"/>
          <w:szCs w:val="24"/>
        </w:rPr>
        <w:lastRenderedPageBreak/>
        <w:t>Vjerovnici I. višeg isplatnog reda</w:t>
      </w:r>
    </w:p>
    <w:p w:rsidRDefault="0008155B" w:rsidP="00F51451" w:rsidR="0008155B" w:rsidRPr="00D02B11">
      <w:pPr>
        <w:spacing w:after="0"/>
        <w:jc w:val="both"/>
        <w:rPr>
          <w:rFonts w:hAnsi="Times New Roman" w:ascii="Times New Roman"/>
          <w:sz w:val="24"/>
          <w:szCs w:val="24"/>
        </w:rPr>
      </w:pPr>
    </w:p>
    <w:tbl>
      <w:tblPr>
        <w:tblW w:type="dxa" w:w="7940"/>
        <w:tblInd w:type="dxa" w:w="575"/>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
      <w:tblGrid>
        <w:gridCol w:w="800"/>
        <w:gridCol w:w="5740"/>
        <w:gridCol w:w="1400"/>
      </w:tblGrid>
      <w:tr w:rsidTr="005F3B26" w:rsidR="0008155B" w:rsidRPr="00D02B11">
        <w:trPr>
          <w:trHeight w:val="630"/>
        </w:trPr>
        <w:tc>
          <w:tcPr>
            <w:tcW w:type="dxa" w:w="800"/>
            <w:vAlign w:val="bottom"/>
          </w:tcPr>
          <w:p w:rsidRDefault="0008155B" w:rsidP="00DD6B54" w:rsidR="0008155B" w:rsidRPr="00D02B11">
            <w:pPr>
              <w:spacing w:after="0"/>
              <w:jc w:val="center"/>
              <w:rPr>
                <w:rFonts w:hAnsi="Times New Roman" w:ascii="Times New Roman"/>
                <w:sz w:val="24"/>
                <w:szCs w:val="24"/>
                <w:lang w:eastAsia="hr-HR"/>
              </w:rPr>
            </w:pPr>
            <w:r w:rsidRPr="00D02B11">
              <w:rPr>
                <w:rFonts w:hAnsi="Times New Roman" w:ascii="Times New Roman"/>
                <w:sz w:val="24"/>
                <w:szCs w:val="24"/>
                <w:lang w:eastAsia="hr-HR"/>
              </w:rPr>
              <w:t>R.br.</w:t>
            </w:r>
          </w:p>
        </w:tc>
        <w:tc>
          <w:tcPr>
            <w:tcW w:type="dxa" w:w="5740"/>
            <w:vAlign w:val="bottom"/>
          </w:tcPr>
          <w:p w:rsidRDefault="0008155B" w:rsidP="00DD6B54" w:rsidR="0008155B" w:rsidRPr="00D02B11">
            <w:pPr>
              <w:spacing w:after="0"/>
              <w:jc w:val="center"/>
              <w:rPr>
                <w:rFonts w:hAnsi="Times New Roman" w:ascii="Times New Roman"/>
                <w:sz w:val="24"/>
                <w:szCs w:val="24"/>
                <w:lang w:eastAsia="hr-HR"/>
              </w:rPr>
            </w:pPr>
            <w:r w:rsidRPr="00D02B11">
              <w:rPr>
                <w:rFonts w:hAnsi="Times New Roman" w:ascii="Times New Roman"/>
                <w:sz w:val="24"/>
                <w:szCs w:val="24"/>
                <w:lang w:eastAsia="hr-HR"/>
              </w:rPr>
              <w:t>Vjerovnik</w:t>
            </w:r>
          </w:p>
        </w:tc>
        <w:tc>
          <w:tcPr>
            <w:tcW w:type="dxa" w:w="1400"/>
            <w:vAlign w:val="bottom"/>
          </w:tcPr>
          <w:p w:rsidRDefault="0008155B" w:rsidP="00DD6B54" w:rsidR="0008155B" w:rsidRPr="00D02B11">
            <w:pPr>
              <w:spacing w:after="0"/>
              <w:jc w:val="center"/>
              <w:rPr>
                <w:rFonts w:hAnsi="Times New Roman" w:ascii="Times New Roman"/>
                <w:sz w:val="24"/>
                <w:szCs w:val="24"/>
                <w:lang w:eastAsia="hr-HR"/>
              </w:rPr>
            </w:pPr>
            <w:r w:rsidRPr="00D02B11">
              <w:rPr>
                <w:rFonts w:hAnsi="Times New Roman" w:ascii="Times New Roman"/>
                <w:sz w:val="24"/>
                <w:szCs w:val="24"/>
                <w:lang w:eastAsia="hr-HR"/>
              </w:rPr>
              <w:t>Utvrđena tražbina</w:t>
            </w:r>
          </w:p>
        </w:tc>
      </w:tr>
      <w:tr w:rsidTr="004645AC" w:rsidR="0008155B" w:rsidRPr="00D02B11">
        <w:trPr>
          <w:trHeight w:val="311"/>
        </w:trPr>
        <w:tc>
          <w:tcPr>
            <w:tcW w:type="dxa" w:w="800"/>
            <w:noWrap/>
            <w:vAlign w:val="bottom"/>
          </w:tcPr>
          <w:p w:rsidRDefault="0008155B" w:rsidP="00DD6B54" w:rsidR="0008155B" w:rsidRPr="00D02B11">
            <w:pPr>
              <w:spacing w:after="0"/>
              <w:jc w:val="center"/>
              <w:rPr>
                <w:rFonts w:hAnsi="Times New Roman" w:ascii="Times New Roman"/>
                <w:sz w:val="24"/>
                <w:szCs w:val="24"/>
                <w:lang w:eastAsia="hr-HR"/>
              </w:rPr>
            </w:pPr>
            <w:r w:rsidRPr="00D02B11">
              <w:rPr>
                <w:rFonts w:hAnsi="Times New Roman" w:ascii="Times New Roman"/>
                <w:sz w:val="24"/>
                <w:szCs w:val="24"/>
                <w:lang w:eastAsia="hr-HR"/>
              </w:rPr>
              <w:t>1</w:t>
            </w:r>
          </w:p>
        </w:tc>
        <w:tc>
          <w:tcPr>
            <w:tcW w:type="dxa" w:w="5740"/>
            <w:vAlign w:val="bottom"/>
          </w:tcPr>
          <w:p w:rsidRDefault="0008155B" w:rsidP="00DD6B54" w:rsidR="0008155B" w:rsidRPr="00D02B11">
            <w:pPr>
              <w:spacing w:after="0"/>
              <w:rPr>
                <w:rFonts w:hAnsi="Times New Roman" w:ascii="Times New Roman"/>
                <w:sz w:val="24"/>
                <w:szCs w:val="24"/>
                <w:lang w:eastAsia="hr-HR"/>
              </w:rPr>
            </w:pPr>
            <w:r w:rsidRPr="00D02B11">
              <w:rPr>
                <w:rFonts w:hAnsi="Times New Roman" w:ascii="Times New Roman"/>
                <w:sz w:val="24"/>
                <w:szCs w:val="24"/>
                <w:lang w:eastAsia="hr-HR"/>
              </w:rPr>
              <w:t>REGOS</w:t>
            </w:r>
          </w:p>
        </w:tc>
        <w:tc>
          <w:tcPr>
            <w:tcW w:type="dxa" w:w="1400"/>
            <w:noWrap/>
            <w:vAlign w:val="bottom"/>
          </w:tcPr>
          <w:p w:rsidRDefault="0008155B" w:rsidP="00DD6B54" w:rsidR="0008155B" w:rsidRPr="00D02B11">
            <w:pPr>
              <w:spacing w:after="0"/>
              <w:jc w:val="right"/>
              <w:rPr>
                <w:rFonts w:hAnsi="Times New Roman" w:ascii="Times New Roman"/>
                <w:sz w:val="24"/>
                <w:szCs w:val="24"/>
                <w:lang w:eastAsia="hr-HR"/>
              </w:rPr>
            </w:pPr>
            <w:r w:rsidRPr="00D02B11">
              <w:rPr>
                <w:rFonts w:hAnsi="Times New Roman" w:ascii="Times New Roman"/>
                <w:sz w:val="24"/>
                <w:szCs w:val="24"/>
                <w:lang w:eastAsia="hr-HR"/>
              </w:rPr>
              <w:t>4.634,55</w:t>
            </w:r>
          </w:p>
        </w:tc>
      </w:tr>
      <w:tr w:rsidTr="004645AC" w:rsidR="0008155B" w:rsidRPr="00D02B11">
        <w:trPr>
          <w:trHeight w:val="349"/>
        </w:trPr>
        <w:tc>
          <w:tcPr>
            <w:tcW w:type="dxa" w:w="800"/>
            <w:noWrap/>
            <w:vAlign w:val="bottom"/>
          </w:tcPr>
          <w:p w:rsidRDefault="0008155B" w:rsidP="00DD6B54" w:rsidR="0008155B" w:rsidRPr="00D02B11">
            <w:pPr>
              <w:spacing w:after="0"/>
              <w:jc w:val="center"/>
              <w:rPr>
                <w:rFonts w:hAnsi="Times New Roman" w:ascii="Times New Roman"/>
                <w:sz w:val="24"/>
                <w:szCs w:val="24"/>
                <w:lang w:eastAsia="hr-HR"/>
              </w:rPr>
            </w:pPr>
            <w:r w:rsidRPr="00D02B11">
              <w:rPr>
                <w:rFonts w:hAnsi="Times New Roman" w:ascii="Times New Roman"/>
                <w:sz w:val="24"/>
                <w:szCs w:val="24"/>
                <w:lang w:eastAsia="hr-HR"/>
              </w:rPr>
              <w:t>2</w:t>
            </w:r>
          </w:p>
        </w:tc>
        <w:tc>
          <w:tcPr>
            <w:tcW w:type="dxa" w:w="5740"/>
            <w:vAlign w:val="bottom"/>
          </w:tcPr>
          <w:p w:rsidRDefault="0008155B" w:rsidP="00DD6B54" w:rsidR="0008155B" w:rsidRPr="00D02B11">
            <w:pPr>
              <w:spacing w:after="0"/>
              <w:rPr>
                <w:rFonts w:hAnsi="Times New Roman" w:ascii="Times New Roman"/>
                <w:sz w:val="24"/>
                <w:szCs w:val="24"/>
                <w:lang w:eastAsia="hr-HR"/>
              </w:rPr>
            </w:pPr>
            <w:r w:rsidRPr="00D02B11">
              <w:rPr>
                <w:rFonts w:hAnsi="Times New Roman" w:ascii="Times New Roman"/>
                <w:sz w:val="24"/>
                <w:szCs w:val="24"/>
                <w:lang w:eastAsia="hr-HR"/>
              </w:rPr>
              <w:t>HZZMO-područna služba SPLIT</w:t>
            </w:r>
          </w:p>
        </w:tc>
        <w:tc>
          <w:tcPr>
            <w:tcW w:type="dxa" w:w="1400"/>
            <w:noWrap/>
            <w:vAlign w:val="bottom"/>
          </w:tcPr>
          <w:p w:rsidRDefault="0008155B" w:rsidP="00DD6B54" w:rsidR="0008155B" w:rsidRPr="00D02B11">
            <w:pPr>
              <w:spacing w:after="0"/>
              <w:jc w:val="right"/>
              <w:rPr>
                <w:rFonts w:hAnsi="Times New Roman" w:ascii="Times New Roman"/>
                <w:sz w:val="24"/>
                <w:szCs w:val="24"/>
                <w:lang w:eastAsia="hr-HR"/>
              </w:rPr>
            </w:pPr>
            <w:r w:rsidRPr="00D02B11">
              <w:rPr>
                <w:rFonts w:hAnsi="Times New Roman" w:ascii="Times New Roman"/>
                <w:sz w:val="24"/>
                <w:szCs w:val="24"/>
                <w:lang w:eastAsia="hr-HR"/>
              </w:rPr>
              <w:t>7.193,53</w:t>
            </w:r>
          </w:p>
        </w:tc>
      </w:tr>
      <w:tr w:rsidTr="004645AC" w:rsidR="0008155B" w:rsidRPr="00D02B11">
        <w:trPr>
          <w:trHeight w:val="358"/>
        </w:trPr>
        <w:tc>
          <w:tcPr>
            <w:tcW w:type="dxa" w:w="800"/>
            <w:noWrap/>
            <w:vAlign w:val="bottom"/>
          </w:tcPr>
          <w:p w:rsidRDefault="0008155B" w:rsidP="00DD6B54" w:rsidR="0008155B" w:rsidRPr="00D02B11">
            <w:pPr>
              <w:spacing w:after="0"/>
              <w:jc w:val="center"/>
              <w:rPr>
                <w:rFonts w:hAnsi="Times New Roman" w:ascii="Times New Roman"/>
                <w:sz w:val="24"/>
                <w:szCs w:val="24"/>
                <w:lang w:eastAsia="hr-HR"/>
              </w:rPr>
            </w:pPr>
            <w:r w:rsidRPr="00D02B11">
              <w:rPr>
                <w:rFonts w:hAnsi="Times New Roman" w:ascii="Times New Roman"/>
                <w:sz w:val="24"/>
                <w:szCs w:val="24"/>
                <w:lang w:eastAsia="hr-HR"/>
              </w:rPr>
              <w:t>3</w:t>
            </w:r>
          </w:p>
        </w:tc>
        <w:tc>
          <w:tcPr>
            <w:tcW w:type="dxa" w:w="5740"/>
            <w:vAlign w:val="bottom"/>
          </w:tcPr>
          <w:p w:rsidRDefault="0008155B" w:rsidP="00DD6B54" w:rsidR="0008155B" w:rsidRPr="00D02B11">
            <w:pPr>
              <w:spacing w:after="0"/>
              <w:rPr>
                <w:rFonts w:hAnsi="Times New Roman" w:ascii="Times New Roman"/>
                <w:sz w:val="24"/>
                <w:szCs w:val="24"/>
                <w:lang w:eastAsia="hr-HR"/>
              </w:rPr>
            </w:pPr>
            <w:r w:rsidRPr="00D02B11">
              <w:rPr>
                <w:rFonts w:hAnsi="Times New Roman" w:ascii="Times New Roman"/>
                <w:sz w:val="24"/>
                <w:szCs w:val="24"/>
                <w:lang w:eastAsia="hr-HR"/>
              </w:rPr>
              <w:t>MARIO JAKŠIĆ</w:t>
            </w:r>
          </w:p>
        </w:tc>
        <w:tc>
          <w:tcPr>
            <w:tcW w:type="dxa" w:w="1400"/>
            <w:noWrap/>
            <w:vAlign w:val="bottom"/>
          </w:tcPr>
          <w:p w:rsidRDefault="0008155B" w:rsidP="00DD6B54" w:rsidR="0008155B" w:rsidRPr="00D02B11">
            <w:pPr>
              <w:spacing w:after="0"/>
              <w:jc w:val="right"/>
              <w:rPr>
                <w:rFonts w:hAnsi="Times New Roman" w:ascii="Times New Roman"/>
                <w:sz w:val="24"/>
                <w:szCs w:val="24"/>
                <w:lang w:eastAsia="hr-HR"/>
              </w:rPr>
            </w:pPr>
            <w:r w:rsidRPr="00D02B11">
              <w:rPr>
                <w:rFonts w:hAnsi="Times New Roman" w:ascii="Times New Roman"/>
                <w:sz w:val="24"/>
                <w:szCs w:val="24"/>
                <w:lang w:eastAsia="hr-HR"/>
              </w:rPr>
              <w:t>12.879,37</w:t>
            </w:r>
          </w:p>
        </w:tc>
      </w:tr>
      <w:tr w:rsidTr="004645AC" w:rsidR="0008155B" w:rsidRPr="00D02B11">
        <w:trPr>
          <w:trHeight w:val="355"/>
        </w:trPr>
        <w:tc>
          <w:tcPr>
            <w:tcW w:type="dxa" w:w="800"/>
            <w:noWrap/>
            <w:vAlign w:val="bottom"/>
          </w:tcPr>
          <w:p w:rsidRDefault="0008155B" w:rsidP="00DD6B54" w:rsidR="0008155B" w:rsidRPr="00D02B11">
            <w:pPr>
              <w:spacing w:after="0"/>
              <w:jc w:val="center"/>
              <w:rPr>
                <w:rFonts w:hAnsi="Times New Roman" w:ascii="Times New Roman"/>
                <w:sz w:val="24"/>
                <w:szCs w:val="24"/>
                <w:lang w:eastAsia="hr-HR"/>
              </w:rPr>
            </w:pPr>
            <w:r w:rsidRPr="00D02B11">
              <w:rPr>
                <w:rFonts w:hAnsi="Times New Roman" w:ascii="Times New Roman"/>
                <w:sz w:val="24"/>
                <w:szCs w:val="24"/>
                <w:lang w:eastAsia="hr-HR"/>
              </w:rPr>
              <w:t>4</w:t>
            </w:r>
          </w:p>
        </w:tc>
        <w:tc>
          <w:tcPr>
            <w:tcW w:type="dxa" w:w="5740"/>
            <w:vAlign w:val="bottom"/>
          </w:tcPr>
          <w:p w:rsidRDefault="0008155B" w:rsidP="00DD6B54" w:rsidR="0008155B" w:rsidRPr="00D02B11">
            <w:pPr>
              <w:spacing w:after="0"/>
              <w:rPr>
                <w:rFonts w:hAnsi="Times New Roman" w:ascii="Times New Roman"/>
                <w:sz w:val="24"/>
                <w:szCs w:val="24"/>
                <w:lang w:eastAsia="hr-HR"/>
              </w:rPr>
            </w:pPr>
            <w:r w:rsidRPr="00D02B11">
              <w:rPr>
                <w:rFonts w:hAnsi="Times New Roman" w:ascii="Times New Roman"/>
                <w:sz w:val="24"/>
                <w:szCs w:val="24"/>
                <w:lang w:eastAsia="hr-HR"/>
              </w:rPr>
              <w:t>MARIO ORLIĆ</w:t>
            </w:r>
          </w:p>
        </w:tc>
        <w:tc>
          <w:tcPr>
            <w:tcW w:type="dxa" w:w="1400"/>
            <w:noWrap/>
            <w:vAlign w:val="bottom"/>
          </w:tcPr>
          <w:p w:rsidRDefault="0008155B" w:rsidP="00DD6B54" w:rsidR="0008155B" w:rsidRPr="00D02B11">
            <w:pPr>
              <w:spacing w:after="0"/>
              <w:jc w:val="right"/>
              <w:rPr>
                <w:rFonts w:hAnsi="Times New Roman" w:ascii="Times New Roman"/>
                <w:sz w:val="24"/>
                <w:szCs w:val="24"/>
                <w:lang w:eastAsia="hr-HR"/>
              </w:rPr>
            </w:pPr>
            <w:r w:rsidRPr="00D02B11">
              <w:rPr>
                <w:rFonts w:hAnsi="Times New Roman" w:ascii="Times New Roman"/>
                <w:sz w:val="24"/>
                <w:szCs w:val="24"/>
                <w:lang w:eastAsia="hr-HR"/>
              </w:rPr>
              <w:t>12.406,42</w:t>
            </w:r>
          </w:p>
        </w:tc>
      </w:tr>
      <w:tr w:rsidTr="005F3B26" w:rsidR="0008155B" w:rsidRPr="00D02B11">
        <w:trPr>
          <w:trHeight w:val="642"/>
        </w:trPr>
        <w:tc>
          <w:tcPr>
            <w:tcW w:type="dxa" w:w="800"/>
            <w:noWrap/>
            <w:vAlign w:val="bottom"/>
          </w:tcPr>
          <w:p w:rsidRDefault="0008155B" w:rsidP="00DD6B54" w:rsidR="0008155B" w:rsidRPr="00D02B11">
            <w:pPr>
              <w:spacing w:after="0"/>
              <w:jc w:val="center"/>
              <w:rPr>
                <w:rFonts w:hAnsi="Times New Roman" w:ascii="Times New Roman"/>
                <w:sz w:val="24"/>
                <w:szCs w:val="24"/>
                <w:lang w:eastAsia="hr-HR"/>
              </w:rPr>
            </w:pPr>
            <w:r w:rsidRPr="00D02B11">
              <w:rPr>
                <w:rFonts w:hAnsi="Times New Roman" w:ascii="Times New Roman"/>
                <w:sz w:val="24"/>
                <w:szCs w:val="24"/>
                <w:lang w:eastAsia="hr-HR"/>
              </w:rPr>
              <w:t>5</w:t>
            </w:r>
          </w:p>
        </w:tc>
        <w:tc>
          <w:tcPr>
            <w:tcW w:type="dxa" w:w="5740"/>
            <w:vAlign w:val="bottom"/>
          </w:tcPr>
          <w:p w:rsidRDefault="0008155B" w:rsidP="00DD6B54" w:rsidR="0008155B" w:rsidRPr="00D02B11">
            <w:pPr>
              <w:spacing w:after="0"/>
              <w:rPr>
                <w:rFonts w:hAnsi="Times New Roman" w:ascii="Times New Roman"/>
                <w:sz w:val="24"/>
                <w:szCs w:val="24"/>
                <w:lang w:eastAsia="hr-HR"/>
              </w:rPr>
            </w:pPr>
            <w:r w:rsidRPr="00D02B11">
              <w:rPr>
                <w:rFonts w:hAnsi="Times New Roman" w:ascii="Times New Roman"/>
                <w:sz w:val="24"/>
                <w:szCs w:val="24"/>
                <w:lang w:eastAsia="hr-HR"/>
              </w:rPr>
              <w:t>SUPER MONITOR d.o.o., Zagreb, Radnička c. 27, OIB 15574872867 - stjecatelj iza Borović Marka, OIB 06591227413</w:t>
            </w:r>
          </w:p>
        </w:tc>
        <w:tc>
          <w:tcPr>
            <w:tcW w:type="dxa" w:w="1400"/>
            <w:noWrap/>
            <w:vAlign w:val="bottom"/>
          </w:tcPr>
          <w:p w:rsidRDefault="0008155B" w:rsidP="00DD6B54" w:rsidR="0008155B" w:rsidRPr="00D02B11">
            <w:pPr>
              <w:spacing w:after="0"/>
              <w:jc w:val="right"/>
              <w:rPr>
                <w:rFonts w:hAnsi="Times New Roman" w:ascii="Times New Roman"/>
                <w:sz w:val="24"/>
                <w:szCs w:val="24"/>
                <w:lang w:eastAsia="hr-HR"/>
              </w:rPr>
            </w:pPr>
            <w:r w:rsidRPr="00D02B11">
              <w:rPr>
                <w:rFonts w:hAnsi="Times New Roman" w:ascii="Times New Roman"/>
                <w:sz w:val="24"/>
                <w:szCs w:val="24"/>
                <w:lang w:eastAsia="hr-HR"/>
              </w:rPr>
              <w:t>13.643,40</w:t>
            </w:r>
          </w:p>
        </w:tc>
      </w:tr>
      <w:tr w:rsidTr="005F3B26" w:rsidR="0008155B" w:rsidRPr="00D02B11">
        <w:trPr>
          <w:trHeight w:val="642"/>
        </w:trPr>
        <w:tc>
          <w:tcPr>
            <w:tcW w:type="dxa" w:w="800"/>
            <w:noWrap/>
            <w:vAlign w:val="bottom"/>
          </w:tcPr>
          <w:p w:rsidRDefault="0008155B" w:rsidP="00DD6B54" w:rsidR="0008155B" w:rsidRPr="00D02B11">
            <w:pPr>
              <w:spacing w:after="0"/>
              <w:jc w:val="center"/>
              <w:rPr>
                <w:rFonts w:hAnsi="Times New Roman" w:ascii="Times New Roman"/>
                <w:sz w:val="24"/>
                <w:szCs w:val="24"/>
                <w:lang w:eastAsia="hr-HR"/>
              </w:rPr>
            </w:pPr>
            <w:r w:rsidRPr="00D02B11">
              <w:rPr>
                <w:rFonts w:hAnsi="Times New Roman" w:ascii="Times New Roman"/>
                <w:sz w:val="24"/>
                <w:szCs w:val="24"/>
                <w:lang w:eastAsia="hr-HR"/>
              </w:rPr>
              <w:t>6</w:t>
            </w:r>
          </w:p>
        </w:tc>
        <w:tc>
          <w:tcPr>
            <w:tcW w:type="dxa" w:w="5740"/>
            <w:vAlign w:val="bottom"/>
          </w:tcPr>
          <w:p w:rsidRDefault="0008155B" w:rsidP="00DD6B54" w:rsidR="0008155B" w:rsidRPr="00D02B11">
            <w:pPr>
              <w:spacing w:after="0"/>
              <w:rPr>
                <w:rFonts w:hAnsi="Times New Roman" w:ascii="Times New Roman"/>
                <w:sz w:val="24"/>
                <w:szCs w:val="24"/>
                <w:lang w:eastAsia="hr-HR"/>
              </w:rPr>
            </w:pPr>
            <w:r w:rsidRPr="00D02B11">
              <w:rPr>
                <w:rFonts w:hAnsi="Times New Roman" w:ascii="Times New Roman"/>
                <w:sz w:val="24"/>
                <w:szCs w:val="24"/>
                <w:lang w:eastAsia="hr-HR"/>
              </w:rPr>
              <w:t>SUPER MONITOR d.o.o., Zagreb, Radnička c. 27, OIB 15574872867 - stjecatelj iza Grubić Darije, OIB 53664763260</w:t>
            </w:r>
          </w:p>
        </w:tc>
        <w:tc>
          <w:tcPr>
            <w:tcW w:type="dxa" w:w="1400"/>
            <w:noWrap/>
            <w:vAlign w:val="bottom"/>
          </w:tcPr>
          <w:p w:rsidRDefault="0008155B" w:rsidP="00DD6B54" w:rsidR="0008155B" w:rsidRPr="00D02B11">
            <w:pPr>
              <w:spacing w:after="0"/>
              <w:jc w:val="right"/>
              <w:rPr>
                <w:rFonts w:hAnsi="Times New Roman" w:ascii="Times New Roman"/>
                <w:sz w:val="24"/>
                <w:szCs w:val="24"/>
                <w:lang w:eastAsia="hr-HR"/>
              </w:rPr>
            </w:pPr>
            <w:r w:rsidRPr="00D02B11">
              <w:rPr>
                <w:rFonts w:hAnsi="Times New Roman" w:ascii="Times New Roman"/>
                <w:sz w:val="24"/>
                <w:szCs w:val="24"/>
                <w:lang w:eastAsia="hr-HR"/>
              </w:rPr>
              <w:t>16.076,78</w:t>
            </w:r>
          </w:p>
        </w:tc>
      </w:tr>
      <w:tr w:rsidTr="004645AC" w:rsidR="0008155B" w:rsidRPr="00D02B11">
        <w:trPr>
          <w:trHeight w:val="295"/>
        </w:trPr>
        <w:tc>
          <w:tcPr>
            <w:tcW w:type="dxa" w:w="800"/>
            <w:noWrap/>
            <w:vAlign w:val="bottom"/>
          </w:tcPr>
          <w:p w:rsidRDefault="0008155B" w:rsidP="00DD6B54" w:rsidR="0008155B" w:rsidRPr="00D02B11">
            <w:pPr>
              <w:spacing w:after="0"/>
              <w:jc w:val="center"/>
              <w:rPr>
                <w:rFonts w:hAnsi="Times New Roman" w:ascii="Times New Roman"/>
                <w:sz w:val="24"/>
                <w:szCs w:val="24"/>
                <w:lang w:eastAsia="hr-HR"/>
              </w:rPr>
            </w:pPr>
            <w:r w:rsidRPr="00D02B11">
              <w:rPr>
                <w:rFonts w:hAnsi="Times New Roman" w:ascii="Times New Roman"/>
                <w:sz w:val="24"/>
                <w:szCs w:val="24"/>
                <w:lang w:eastAsia="hr-HR"/>
              </w:rPr>
              <w:t>7</w:t>
            </w:r>
          </w:p>
        </w:tc>
        <w:tc>
          <w:tcPr>
            <w:tcW w:type="dxa" w:w="5740"/>
            <w:vAlign w:val="bottom"/>
          </w:tcPr>
          <w:p w:rsidRDefault="0008155B" w:rsidP="00DD6B54" w:rsidR="0008155B" w:rsidRPr="00D02B11">
            <w:pPr>
              <w:spacing w:after="0"/>
              <w:rPr>
                <w:rFonts w:hAnsi="Times New Roman" w:ascii="Times New Roman"/>
                <w:sz w:val="24"/>
                <w:szCs w:val="24"/>
                <w:lang w:eastAsia="hr-HR"/>
              </w:rPr>
            </w:pPr>
            <w:r w:rsidRPr="00D02B11">
              <w:rPr>
                <w:rFonts w:hAnsi="Times New Roman" w:ascii="Times New Roman"/>
                <w:sz w:val="24"/>
                <w:szCs w:val="24"/>
                <w:lang w:eastAsia="hr-HR"/>
              </w:rPr>
              <w:t>SUPER MONITOR d.o.o., Zagreb, Radnička c. 27, OIB 15574872867 - stjecatelj iza Suman Dalibora, OIB 73948464515</w:t>
            </w:r>
          </w:p>
        </w:tc>
        <w:tc>
          <w:tcPr>
            <w:tcW w:type="dxa" w:w="1400"/>
            <w:noWrap/>
            <w:vAlign w:val="bottom"/>
          </w:tcPr>
          <w:p w:rsidRDefault="0008155B" w:rsidP="00DD6B54" w:rsidR="0008155B" w:rsidRPr="00D02B11">
            <w:pPr>
              <w:spacing w:after="0"/>
              <w:jc w:val="right"/>
              <w:rPr>
                <w:rFonts w:hAnsi="Times New Roman" w:ascii="Times New Roman"/>
                <w:sz w:val="24"/>
                <w:szCs w:val="24"/>
                <w:lang w:eastAsia="hr-HR"/>
              </w:rPr>
            </w:pPr>
            <w:r w:rsidRPr="00D02B11">
              <w:rPr>
                <w:rFonts w:hAnsi="Times New Roman" w:ascii="Times New Roman"/>
                <w:sz w:val="24"/>
                <w:szCs w:val="24"/>
                <w:lang w:eastAsia="hr-HR"/>
              </w:rPr>
              <w:t>21.732,17</w:t>
            </w:r>
          </w:p>
        </w:tc>
      </w:tr>
      <w:tr w:rsidTr="004645AC" w:rsidR="0008155B" w:rsidRPr="00D02B11">
        <w:trPr>
          <w:trHeight w:val="347"/>
        </w:trPr>
        <w:tc>
          <w:tcPr>
            <w:tcW w:type="dxa" w:w="800"/>
            <w:noWrap/>
            <w:vAlign w:val="bottom"/>
          </w:tcPr>
          <w:p w:rsidRDefault="0008155B" w:rsidP="00DD6B54" w:rsidR="0008155B" w:rsidRPr="00D02B11">
            <w:pPr>
              <w:spacing w:after="0"/>
              <w:jc w:val="center"/>
              <w:rPr>
                <w:rFonts w:hAnsi="Times New Roman" w:ascii="Times New Roman"/>
                <w:sz w:val="24"/>
                <w:szCs w:val="24"/>
                <w:lang w:eastAsia="hr-HR"/>
              </w:rPr>
            </w:pPr>
            <w:r w:rsidRPr="00D02B11">
              <w:rPr>
                <w:rFonts w:hAnsi="Times New Roman" w:ascii="Times New Roman"/>
                <w:sz w:val="24"/>
                <w:szCs w:val="24"/>
                <w:lang w:eastAsia="hr-HR"/>
              </w:rPr>
              <w:t>8</w:t>
            </w:r>
          </w:p>
        </w:tc>
        <w:tc>
          <w:tcPr>
            <w:tcW w:type="dxa" w:w="5740"/>
            <w:vAlign w:val="bottom"/>
          </w:tcPr>
          <w:p w:rsidRDefault="0008155B" w:rsidP="00DD6B54" w:rsidR="0008155B" w:rsidRPr="00D02B11">
            <w:pPr>
              <w:spacing w:after="0"/>
              <w:rPr>
                <w:rFonts w:hAnsi="Times New Roman" w:ascii="Times New Roman"/>
                <w:sz w:val="24"/>
                <w:szCs w:val="24"/>
                <w:lang w:eastAsia="hr-HR"/>
              </w:rPr>
            </w:pPr>
            <w:r w:rsidRPr="00D02B11">
              <w:rPr>
                <w:rFonts w:hAnsi="Times New Roman" w:ascii="Times New Roman"/>
                <w:sz w:val="24"/>
                <w:szCs w:val="24"/>
                <w:lang w:eastAsia="hr-HR"/>
              </w:rPr>
              <w:t>MARKO GALIĆ</w:t>
            </w:r>
          </w:p>
        </w:tc>
        <w:tc>
          <w:tcPr>
            <w:tcW w:type="dxa" w:w="1400"/>
            <w:noWrap/>
            <w:vAlign w:val="bottom"/>
          </w:tcPr>
          <w:p w:rsidRDefault="0008155B" w:rsidP="00DD6B54" w:rsidR="0008155B" w:rsidRPr="00D02B11">
            <w:pPr>
              <w:spacing w:after="0"/>
              <w:jc w:val="right"/>
              <w:rPr>
                <w:rFonts w:hAnsi="Times New Roman" w:ascii="Times New Roman"/>
                <w:sz w:val="24"/>
                <w:szCs w:val="24"/>
                <w:lang w:eastAsia="hr-HR"/>
              </w:rPr>
            </w:pPr>
            <w:r w:rsidRPr="00D02B11">
              <w:rPr>
                <w:rFonts w:hAnsi="Times New Roman" w:ascii="Times New Roman"/>
                <w:sz w:val="24"/>
                <w:szCs w:val="24"/>
                <w:lang w:eastAsia="hr-HR"/>
              </w:rPr>
              <w:t>12.363,59</w:t>
            </w:r>
          </w:p>
        </w:tc>
      </w:tr>
      <w:tr w:rsidTr="005F3B26" w:rsidR="0008155B" w:rsidRPr="00D02B11">
        <w:trPr>
          <w:trHeight w:val="642"/>
        </w:trPr>
        <w:tc>
          <w:tcPr>
            <w:tcW w:type="dxa" w:w="800"/>
            <w:noWrap/>
            <w:vAlign w:val="bottom"/>
          </w:tcPr>
          <w:p w:rsidRDefault="0008155B" w:rsidP="00DD6B54" w:rsidR="0008155B" w:rsidRPr="00D02B11">
            <w:pPr>
              <w:spacing w:after="0"/>
              <w:jc w:val="center"/>
              <w:rPr>
                <w:rFonts w:hAnsi="Times New Roman" w:ascii="Times New Roman"/>
                <w:sz w:val="24"/>
                <w:szCs w:val="24"/>
                <w:lang w:eastAsia="hr-HR"/>
              </w:rPr>
            </w:pPr>
            <w:r w:rsidRPr="00D02B11">
              <w:rPr>
                <w:rFonts w:hAnsi="Times New Roman" w:ascii="Times New Roman"/>
                <w:sz w:val="24"/>
                <w:szCs w:val="24"/>
                <w:lang w:eastAsia="hr-HR"/>
              </w:rPr>
              <w:t>9</w:t>
            </w:r>
          </w:p>
        </w:tc>
        <w:tc>
          <w:tcPr>
            <w:tcW w:type="dxa" w:w="5740"/>
            <w:vAlign w:val="bottom"/>
          </w:tcPr>
          <w:p w:rsidRDefault="0008155B" w:rsidP="00DD6B54" w:rsidR="0008155B" w:rsidRPr="00D02B11">
            <w:pPr>
              <w:spacing w:after="0"/>
              <w:rPr>
                <w:rFonts w:hAnsi="Times New Roman" w:ascii="Times New Roman"/>
                <w:sz w:val="24"/>
                <w:szCs w:val="24"/>
                <w:lang w:eastAsia="hr-HR"/>
              </w:rPr>
            </w:pPr>
            <w:r w:rsidRPr="00D02B11">
              <w:rPr>
                <w:rFonts w:hAnsi="Times New Roman" w:ascii="Times New Roman"/>
                <w:sz w:val="24"/>
                <w:szCs w:val="24"/>
                <w:lang w:eastAsia="hr-HR"/>
              </w:rPr>
              <w:t>SUPER MONITOR d.o.o., Zagreb, Radnička c. 27, OIB 15574872867 - stjecatelj iza Jerković Darka, OIB 73911200989</w:t>
            </w:r>
          </w:p>
        </w:tc>
        <w:tc>
          <w:tcPr>
            <w:tcW w:type="dxa" w:w="1400"/>
            <w:noWrap/>
            <w:vAlign w:val="bottom"/>
          </w:tcPr>
          <w:p w:rsidRDefault="0008155B" w:rsidP="00DD6B54" w:rsidR="0008155B" w:rsidRPr="00D02B11">
            <w:pPr>
              <w:spacing w:after="0"/>
              <w:jc w:val="right"/>
              <w:rPr>
                <w:rFonts w:hAnsi="Times New Roman" w:ascii="Times New Roman"/>
                <w:sz w:val="24"/>
                <w:szCs w:val="24"/>
                <w:lang w:eastAsia="hr-HR"/>
              </w:rPr>
            </w:pPr>
            <w:r w:rsidRPr="00D02B11">
              <w:rPr>
                <w:rFonts w:hAnsi="Times New Roman" w:ascii="Times New Roman"/>
                <w:sz w:val="24"/>
                <w:szCs w:val="24"/>
                <w:lang w:eastAsia="hr-HR"/>
              </w:rPr>
              <w:t>10.629,53</w:t>
            </w:r>
          </w:p>
        </w:tc>
      </w:tr>
      <w:tr w:rsidTr="004645AC" w:rsidR="0008155B" w:rsidRPr="00D02B11">
        <w:trPr>
          <w:trHeight w:val="239"/>
        </w:trPr>
        <w:tc>
          <w:tcPr>
            <w:tcW w:type="dxa" w:w="800"/>
            <w:noWrap/>
            <w:vAlign w:val="bottom"/>
          </w:tcPr>
          <w:p w:rsidRDefault="0008155B" w:rsidP="00DD6B54" w:rsidR="0008155B" w:rsidRPr="00D02B11">
            <w:pPr>
              <w:spacing w:after="0"/>
              <w:jc w:val="center"/>
              <w:rPr>
                <w:rFonts w:hAnsi="Times New Roman" w:ascii="Times New Roman"/>
                <w:sz w:val="24"/>
                <w:szCs w:val="24"/>
                <w:lang w:eastAsia="hr-HR"/>
              </w:rPr>
            </w:pPr>
            <w:r w:rsidRPr="00D02B11">
              <w:rPr>
                <w:rFonts w:hAnsi="Times New Roman" w:ascii="Times New Roman"/>
                <w:sz w:val="24"/>
                <w:szCs w:val="24"/>
                <w:lang w:eastAsia="hr-HR"/>
              </w:rPr>
              <w:t>10</w:t>
            </w:r>
          </w:p>
        </w:tc>
        <w:tc>
          <w:tcPr>
            <w:tcW w:type="dxa" w:w="5740"/>
            <w:vAlign w:val="bottom"/>
          </w:tcPr>
          <w:p w:rsidRDefault="0008155B" w:rsidP="00DD6B54" w:rsidR="0008155B" w:rsidRPr="00D02B11">
            <w:pPr>
              <w:spacing w:after="0"/>
              <w:rPr>
                <w:rFonts w:hAnsi="Times New Roman" w:ascii="Times New Roman"/>
                <w:sz w:val="24"/>
                <w:szCs w:val="24"/>
                <w:lang w:eastAsia="hr-HR"/>
              </w:rPr>
            </w:pPr>
            <w:r w:rsidRPr="00D02B11">
              <w:rPr>
                <w:rFonts w:hAnsi="Times New Roman" w:ascii="Times New Roman"/>
                <w:sz w:val="24"/>
                <w:szCs w:val="24"/>
                <w:lang w:eastAsia="hr-HR"/>
              </w:rPr>
              <w:t>NENO MILIŠIĆ</w:t>
            </w:r>
          </w:p>
        </w:tc>
        <w:tc>
          <w:tcPr>
            <w:tcW w:type="dxa" w:w="1400"/>
            <w:noWrap/>
            <w:vAlign w:val="bottom"/>
          </w:tcPr>
          <w:p w:rsidRDefault="0008155B" w:rsidP="00DD6B54" w:rsidR="0008155B" w:rsidRPr="00D02B11">
            <w:pPr>
              <w:spacing w:after="0"/>
              <w:jc w:val="right"/>
              <w:rPr>
                <w:rFonts w:hAnsi="Times New Roman" w:ascii="Times New Roman"/>
                <w:sz w:val="24"/>
                <w:szCs w:val="24"/>
                <w:lang w:eastAsia="hr-HR"/>
              </w:rPr>
            </w:pPr>
            <w:r w:rsidRPr="00D02B11">
              <w:rPr>
                <w:rFonts w:hAnsi="Times New Roman" w:ascii="Times New Roman"/>
                <w:sz w:val="24"/>
                <w:szCs w:val="24"/>
                <w:lang w:eastAsia="hr-HR"/>
              </w:rPr>
              <w:t>10.620,65</w:t>
            </w:r>
          </w:p>
        </w:tc>
      </w:tr>
      <w:tr w:rsidTr="005F3B26" w:rsidR="0008155B" w:rsidRPr="00D02B11">
        <w:trPr>
          <w:trHeight w:val="642"/>
        </w:trPr>
        <w:tc>
          <w:tcPr>
            <w:tcW w:type="dxa" w:w="800"/>
            <w:noWrap/>
            <w:vAlign w:val="bottom"/>
          </w:tcPr>
          <w:p w:rsidRDefault="0008155B" w:rsidP="00DD6B54" w:rsidR="0008155B" w:rsidRPr="00D02B11">
            <w:pPr>
              <w:spacing w:after="0"/>
              <w:jc w:val="center"/>
              <w:rPr>
                <w:rFonts w:hAnsi="Times New Roman" w:ascii="Times New Roman"/>
                <w:sz w:val="24"/>
                <w:szCs w:val="24"/>
                <w:lang w:eastAsia="hr-HR"/>
              </w:rPr>
            </w:pPr>
            <w:r w:rsidRPr="00D02B11">
              <w:rPr>
                <w:rFonts w:hAnsi="Times New Roman" w:ascii="Times New Roman"/>
                <w:sz w:val="24"/>
                <w:szCs w:val="24"/>
                <w:lang w:eastAsia="hr-HR"/>
              </w:rPr>
              <w:t>11</w:t>
            </w:r>
          </w:p>
        </w:tc>
        <w:tc>
          <w:tcPr>
            <w:tcW w:type="dxa" w:w="5740"/>
            <w:vAlign w:val="bottom"/>
          </w:tcPr>
          <w:p w:rsidRDefault="0008155B" w:rsidP="00DD6B54" w:rsidR="0008155B" w:rsidRPr="00D02B11">
            <w:pPr>
              <w:spacing w:after="0"/>
              <w:rPr>
                <w:rFonts w:hAnsi="Times New Roman" w:ascii="Times New Roman"/>
                <w:sz w:val="24"/>
                <w:szCs w:val="24"/>
                <w:lang w:eastAsia="hr-HR"/>
              </w:rPr>
            </w:pPr>
            <w:r w:rsidRPr="00D02B11">
              <w:rPr>
                <w:rFonts w:hAnsi="Times New Roman" w:ascii="Times New Roman"/>
                <w:sz w:val="24"/>
                <w:szCs w:val="24"/>
                <w:lang w:eastAsia="hr-HR"/>
              </w:rPr>
              <w:t>SUPER MONITOR d.o.o., Zagreb, Radnička c. 27, OIB 15574872867 - stjecatelj iza Odrljin Nediljka, OIB 58992661323</w:t>
            </w:r>
          </w:p>
        </w:tc>
        <w:tc>
          <w:tcPr>
            <w:tcW w:type="dxa" w:w="1400"/>
            <w:noWrap/>
            <w:vAlign w:val="bottom"/>
          </w:tcPr>
          <w:p w:rsidRDefault="0008155B" w:rsidP="00DD6B54" w:rsidR="0008155B" w:rsidRPr="00D02B11">
            <w:pPr>
              <w:spacing w:after="0"/>
              <w:jc w:val="right"/>
              <w:rPr>
                <w:rFonts w:hAnsi="Times New Roman" w:ascii="Times New Roman"/>
                <w:sz w:val="24"/>
                <w:szCs w:val="24"/>
                <w:lang w:eastAsia="hr-HR"/>
              </w:rPr>
            </w:pPr>
            <w:r w:rsidRPr="00D02B11">
              <w:rPr>
                <w:rFonts w:hAnsi="Times New Roman" w:ascii="Times New Roman"/>
                <w:sz w:val="24"/>
                <w:szCs w:val="24"/>
                <w:lang w:eastAsia="hr-HR"/>
              </w:rPr>
              <w:t>10.547,54</w:t>
            </w:r>
          </w:p>
        </w:tc>
      </w:tr>
      <w:tr w:rsidTr="005F3B26" w:rsidR="0008155B" w:rsidRPr="00D02B11">
        <w:trPr>
          <w:trHeight w:val="642"/>
        </w:trPr>
        <w:tc>
          <w:tcPr>
            <w:tcW w:type="dxa" w:w="800"/>
            <w:noWrap/>
            <w:vAlign w:val="bottom"/>
          </w:tcPr>
          <w:p w:rsidRDefault="0008155B" w:rsidP="00DD6B54" w:rsidR="0008155B" w:rsidRPr="00D02B11">
            <w:pPr>
              <w:spacing w:after="0"/>
              <w:jc w:val="center"/>
              <w:rPr>
                <w:rFonts w:hAnsi="Times New Roman" w:ascii="Times New Roman"/>
                <w:sz w:val="24"/>
                <w:szCs w:val="24"/>
                <w:lang w:eastAsia="hr-HR"/>
              </w:rPr>
            </w:pPr>
            <w:r w:rsidRPr="00D02B11">
              <w:rPr>
                <w:rFonts w:hAnsi="Times New Roman" w:ascii="Times New Roman"/>
                <w:sz w:val="24"/>
                <w:szCs w:val="24"/>
                <w:lang w:eastAsia="hr-HR"/>
              </w:rPr>
              <w:t>12</w:t>
            </w:r>
          </w:p>
        </w:tc>
        <w:tc>
          <w:tcPr>
            <w:tcW w:type="dxa" w:w="5740"/>
            <w:vAlign w:val="bottom"/>
          </w:tcPr>
          <w:p w:rsidRDefault="0008155B" w:rsidP="00DD6B54" w:rsidR="0008155B" w:rsidRPr="00D02B11">
            <w:pPr>
              <w:spacing w:after="0"/>
              <w:rPr>
                <w:rFonts w:hAnsi="Times New Roman" w:ascii="Times New Roman"/>
                <w:sz w:val="24"/>
                <w:szCs w:val="24"/>
                <w:lang w:eastAsia="hr-HR"/>
              </w:rPr>
            </w:pPr>
            <w:r w:rsidRPr="00D02B11">
              <w:rPr>
                <w:rFonts w:hAnsi="Times New Roman" w:ascii="Times New Roman"/>
                <w:sz w:val="24"/>
                <w:szCs w:val="24"/>
                <w:lang w:eastAsia="hr-HR"/>
              </w:rPr>
              <w:t>SUPER MONITOR d.o.o., Zagreb, Radnička c. 27, OIB 15574872867 - stjecatelj iza Mrdalj Dragomira, OIB 76486931196</w:t>
            </w:r>
          </w:p>
        </w:tc>
        <w:tc>
          <w:tcPr>
            <w:tcW w:type="dxa" w:w="1400"/>
            <w:noWrap/>
            <w:vAlign w:val="bottom"/>
          </w:tcPr>
          <w:p w:rsidRDefault="0008155B" w:rsidP="00DD6B54" w:rsidR="0008155B" w:rsidRPr="00D02B11">
            <w:pPr>
              <w:spacing w:after="0"/>
              <w:jc w:val="right"/>
              <w:rPr>
                <w:rFonts w:hAnsi="Times New Roman" w:ascii="Times New Roman"/>
                <w:sz w:val="24"/>
                <w:szCs w:val="24"/>
                <w:lang w:eastAsia="hr-HR"/>
              </w:rPr>
            </w:pPr>
            <w:r w:rsidRPr="00D02B11">
              <w:rPr>
                <w:rFonts w:hAnsi="Times New Roman" w:ascii="Times New Roman"/>
                <w:sz w:val="24"/>
                <w:szCs w:val="24"/>
                <w:lang w:eastAsia="hr-HR"/>
              </w:rPr>
              <w:t>11.805,01</w:t>
            </w:r>
          </w:p>
        </w:tc>
      </w:tr>
      <w:tr w:rsidTr="005F3B26" w:rsidR="0008155B" w:rsidRPr="00D02B11">
        <w:trPr>
          <w:trHeight w:val="315"/>
        </w:trPr>
        <w:tc>
          <w:tcPr>
            <w:tcW w:type="dxa" w:w="800"/>
            <w:noWrap/>
            <w:vAlign w:val="bottom"/>
          </w:tcPr>
          <w:p w:rsidRDefault="0008155B" w:rsidP="00DD6B54" w:rsidR="0008155B" w:rsidRPr="00D02B11">
            <w:pPr>
              <w:spacing w:after="0"/>
              <w:jc w:val="center"/>
              <w:rPr>
                <w:rFonts w:hAnsi="Times New Roman" w:ascii="Times New Roman"/>
                <w:sz w:val="24"/>
                <w:szCs w:val="24"/>
                <w:lang w:eastAsia="hr-HR"/>
              </w:rPr>
            </w:pPr>
            <w:r w:rsidRPr="00D02B11">
              <w:rPr>
                <w:rFonts w:hAnsi="Times New Roman" w:ascii="Times New Roman"/>
                <w:sz w:val="24"/>
                <w:szCs w:val="24"/>
                <w:lang w:eastAsia="hr-HR"/>
              </w:rPr>
              <w:t> </w:t>
            </w:r>
          </w:p>
        </w:tc>
        <w:tc>
          <w:tcPr>
            <w:tcW w:type="dxa" w:w="5740"/>
            <w:vAlign w:val="bottom"/>
          </w:tcPr>
          <w:p w:rsidRDefault="0008155B" w:rsidP="00DD6B54" w:rsidR="0008155B" w:rsidRPr="00D02B11">
            <w:pPr>
              <w:spacing w:after="0"/>
              <w:rPr>
                <w:rFonts w:hAnsi="Times New Roman" w:ascii="Times New Roman"/>
                <w:sz w:val="24"/>
                <w:szCs w:val="24"/>
                <w:lang w:eastAsia="hr-HR"/>
              </w:rPr>
            </w:pPr>
            <w:r w:rsidRPr="00D02B11">
              <w:rPr>
                <w:rFonts w:hAnsi="Times New Roman" w:ascii="Times New Roman"/>
                <w:sz w:val="24"/>
                <w:szCs w:val="24"/>
                <w:lang w:eastAsia="hr-HR"/>
              </w:rPr>
              <w:t>Ukupno:</w:t>
            </w:r>
          </w:p>
        </w:tc>
        <w:tc>
          <w:tcPr>
            <w:tcW w:type="dxa" w:w="1400"/>
            <w:noWrap/>
            <w:vAlign w:val="bottom"/>
          </w:tcPr>
          <w:p w:rsidRDefault="0008155B" w:rsidP="00DD6B54" w:rsidR="0008155B" w:rsidRPr="00D02B11">
            <w:pPr>
              <w:spacing w:after="0"/>
              <w:jc w:val="right"/>
              <w:rPr>
                <w:rFonts w:hAnsi="Times New Roman" w:ascii="Times New Roman"/>
                <w:sz w:val="24"/>
                <w:szCs w:val="24"/>
                <w:lang w:eastAsia="hr-HR"/>
              </w:rPr>
            </w:pPr>
            <w:r w:rsidRPr="00D02B11">
              <w:rPr>
                <w:rFonts w:hAnsi="Times New Roman" w:ascii="Times New Roman"/>
                <w:sz w:val="24"/>
                <w:szCs w:val="24"/>
                <w:lang w:eastAsia="hr-HR"/>
              </w:rPr>
              <w:t>144.532,54</w:t>
            </w:r>
          </w:p>
        </w:tc>
      </w:tr>
    </w:tbl>
    <w:p w:rsidRDefault="0008155B" w:rsidP="00F51451" w:rsidR="0008155B" w:rsidRPr="00D02B11">
      <w:pPr>
        <w:spacing w:after="0"/>
        <w:jc w:val="both"/>
        <w:rPr>
          <w:rFonts w:hAnsi="Times New Roman" w:ascii="Times New Roman"/>
          <w:sz w:val="24"/>
          <w:szCs w:val="24"/>
        </w:rPr>
      </w:pPr>
    </w:p>
    <w:p w:rsidRDefault="0008155B" w:rsidP="00F51451" w:rsidR="0008155B" w:rsidRPr="00D02B11">
      <w:pPr>
        <w:spacing w:after="0"/>
        <w:jc w:val="both"/>
        <w:rPr>
          <w:rFonts w:hAnsi="Times New Roman" w:ascii="Times New Roman"/>
          <w:sz w:val="24"/>
          <w:szCs w:val="24"/>
        </w:rPr>
      </w:pPr>
    </w:p>
    <w:p w:rsidRDefault="0008155B" w:rsidP="00DD6B54" w:rsidR="0008155B" w:rsidRPr="00D02B11">
      <w:pPr>
        <w:spacing w:after="0"/>
        <w:jc w:val="both"/>
        <w:rPr>
          <w:rFonts w:hAnsi="Times New Roman" w:ascii="Times New Roman"/>
          <w:sz w:val="24"/>
          <w:szCs w:val="24"/>
        </w:rPr>
      </w:pPr>
      <w:r w:rsidRPr="00D02B11">
        <w:rPr>
          <w:rFonts w:hAnsi="Times New Roman" w:ascii="Times New Roman"/>
          <w:sz w:val="24"/>
          <w:szCs w:val="24"/>
        </w:rPr>
        <w:t>Vjerovnici II. višeg isplatnog reda</w:t>
      </w:r>
      <w:r>
        <w:rPr>
          <w:rFonts w:hAnsi="Times New Roman" w:ascii="Times New Roman"/>
          <w:sz w:val="24"/>
          <w:szCs w:val="24"/>
        </w:rPr>
        <w:t xml:space="preserve"> (do sada utvrđene tražbine)</w:t>
      </w:r>
    </w:p>
    <w:p w:rsidRDefault="0008155B" w:rsidP="00F51451" w:rsidR="0008155B" w:rsidRPr="00D02B11">
      <w:pPr>
        <w:spacing w:after="0"/>
        <w:jc w:val="both"/>
        <w:rPr>
          <w:rFonts w:hAnsi="Times New Roman" w:ascii="Times New Roman"/>
          <w:sz w:val="24"/>
          <w:szCs w:val="24"/>
        </w:rPr>
      </w:pPr>
    </w:p>
    <w:tbl>
      <w:tblPr>
        <w:tblW w:type="dxa" w:w="8100"/>
        <w:tblInd w:type="dxa" w:w="468"/>
        <w:tblLook w:val="0000" w:noVBand="0" w:noHBand="0" w:lastColumn="0" w:firstColumn="0" w:lastRow="0" w:firstRow="0"/>
      </w:tblPr>
      <w:tblGrid>
        <w:gridCol w:w="900"/>
        <w:gridCol w:w="5760"/>
        <w:gridCol w:w="1440"/>
      </w:tblGrid>
      <w:tr w:rsidTr="006F1022" w:rsidR="0008155B" w:rsidRPr="00D02B11">
        <w:trPr>
          <w:trHeight w:val="630"/>
        </w:trPr>
        <w:tc>
          <w:tcPr>
            <w:tcW w:type="dxa" w:w="900"/>
            <w:tcBorders>
              <w:top w:space="0" w:sz="4" w:color="auto" w:val="single"/>
              <w:left w:space="0" w:sz="4" w:color="auto" w:val="single"/>
              <w:bottom w:space="0" w:sz="4" w:color="auto" w:val="single"/>
              <w:right w:space="0" w:sz="4" w:color="auto" w:val="single"/>
            </w:tcBorders>
            <w:vAlign w:val="bottom"/>
          </w:tcPr>
          <w:p w:rsidRDefault="0008155B" w:rsidP="006F1022" w:rsidR="0008155B" w:rsidRPr="00D02B11">
            <w:pPr>
              <w:spacing w:after="0"/>
              <w:jc w:val="center"/>
              <w:rPr>
                <w:rFonts w:hAnsi="Times New Roman" w:ascii="Times New Roman"/>
                <w:sz w:val="24"/>
                <w:szCs w:val="24"/>
                <w:lang w:eastAsia="hr-HR"/>
              </w:rPr>
            </w:pPr>
            <w:r w:rsidRPr="00D02B11">
              <w:rPr>
                <w:rFonts w:hAnsi="Times New Roman" w:ascii="Times New Roman"/>
                <w:sz w:val="24"/>
                <w:szCs w:val="24"/>
                <w:lang w:eastAsia="hr-HR"/>
              </w:rPr>
              <w:t>R.br.</w:t>
            </w:r>
          </w:p>
        </w:tc>
        <w:tc>
          <w:tcPr>
            <w:tcW w:type="dxa" w:w="5760"/>
            <w:tcBorders>
              <w:top w:space="0" w:sz="4" w:color="auto" w:val="single"/>
              <w:left w:val="nil"/>
              <w:bottom w:space="0" w:sz="4" w:color="auto" w:val="single"/>
              <w:right w:space="0" w:sz="4" w:color="auto" w:val="single"/>
            </w:tcBorders>
            <w:vAlign w:val="bottom"/>
          </w:tcPr>
          <w:p w:rsidRDefault="0008155B" w:rsidP="006F1022" w:rsidR="0008155B" w:rsidRPr="00D02B11">
            <w:pPr>
              <w:spacing w:after="0"/>
              <w:jc w:val="center"/>
              <w:rPr>
                <w:rFonts w:hAnsi="Times New Roman" w:ascii="Times New Roman"/>
                <w:sz w:val="24"/>
                <w:szCs w:val="24"/>
                <w:lang w:eastAsia="hr-HR"/>
              </w:rPr>
            </w:pPr>
            <w:r w:rsidRPr="00D02B11">
              <w:rPr>
                <w:rFonts w:hAnsi="Times New Roman" w:ascii="Times New Roman"/>
                <w:sz w:val="24"/>
                <w:szCs w:val="24"/>
                <w:lang w:eastAsia="hr-HR"/>
              </w:rPr>
              <w:t>Vjerovnik</w:t>
            </w:r>
          </w:p>
        </w:tc>
        <w:tc>
          <w:tcPr>
            <w:tcW w:type="dxa" w:w="1440"/>
            <w:tcBorders>
              <w:top w:space="0" w:sz="4" w:color="auto" w:val="single"/>
              <w:left w:val="nil"/>
              <w:bottom w:space="0" w:sz="4" w:color="auto" w:val="single"/>
              <w:right w:space="0" w:sz="4" w:color="auto" w:val="single"/>
            </w:tcBorders>
            <w:vAlign w:val="bottom"/>
          </w:tcPr>
          <w:p w:rsidRDefault="0008155B" w:rsidP="006F1022" w:rsidR="0008155B" w:rsidRPr="00D02B11">
            <w:pPr>
              <w:spacing w:after="0"/>
              <w:jc w:val="center"/>
              <w:rPr>
                <w:rFonts w:hAnsi="Times New Roman" w:ascii="Times New Roman"/>
                <w:sz w:val="24"/>
                <w:szCs w:val="24"/>
                <w:lang w:eastAsia="hr-HR"/>
              </w:rPr>
            </w:pPr>
            <w:r w:rsidRPr="00D02B11">
              <w:rPr>
                <w:rFonts w:hAnsi="Times New Roman" w:ascii="Times New Roman"/>
                <w:sz w:val="24"/>
                <w:szCs w:val="24"/>
                <w:lang w:eastAsia="hr-HR"/>
              </w:rPr>
              <w:t>Utvrđena tražbina</w:t>
            </w:r>
          </w:p>
        </w:tc>
      </w:tr>
      <w:tr w:rsidTr="006F1022" w:rsidR="0008155B" w:rsidRPr="00D02B11">
        <w:trPr>
          <w:trHeight w:val="315"/>
        </w:trPr>
        <w:tc>
          <w:tcPr>
            <w:tcW w:type="dxa" w:w="900"/>
            <w:tcBorders>
              <w:top w:val="nil"/>
              <w:left w:space="0" w:sz="4" w:color="auto" w:val="single"/>
              <w:bottom w:space="0" w:sz="4" w:color="auto" w:val="single"/>
              <w:right w:space="0" w:sz="4" w:color="auto" w:val="single"/>
            </w:tcBorders>
            <w:noWrap/>
            <w:vAlign w:val="bottom"/>
          </w:tcPr>
          <w:p w:rsidRDefault="0008155B" w:rsidP="006F1022" w:rsidR="0008155B" w:rsidRPr="00D02B11">
            <w:pPr>
              <w:spacing w:after="0"/>
              <w:jc w:val="center"/>
              <w:rPr>
                <w:rFonts w:hAnsi="Times New Roman" w:ascii="Times New Roman"/>
                <w:sz w:val="24"/>
                <w:szCs w:val="24"/>
                <w:lang w:eastAsia="hr-HR"/>
              </w:rPr>
            </w:pPr>
            <w:r w:rsidRPr="00D02B11">
              <w:rPr>
                <w:rFonts w:hAnsi="Times New Roman" w:ascii="Times New Roman"/>
                <w:sz w:val="24"/>
                <w:szCs w:val="24"/>
                <w:lang w:eastAsia="hr-HR"/>
              </w:rPr>
              <w:t>1</w:t>
            </w:r>
          </w:p>
        </w:tc>
        <w:tc>
          <w:tcPr>
            <w:tcW w:type="dxa" w:w="5760"/>
            <w:tcBorders>
              <w:top w:val="nil"/>
              <w:left w:val="nil"/>
              <w:bottom w:space="0" w:sz="4" w:color="auto" w:val="single"/>
              <w:right w:space="0" w:sz="4" w:color="auto" w:val="single"/>
            </w:tcBorders>
            <w:vAlign w:val="bottom"/>
          </w:tcPr>
          <w:p w:rsidRDefault="0008155B" w:rsidP="006F1022" w:rsidR="0008155B" w:rsidRPr="00D02B11">
            <w:pPr>
              <w:spacing w:after="0"/>
              <w:rPr>
                <w:rFonts w:hAnsi="Times New Roman" w:ascii="Times New Roman"/>
                <w:sz w:val="24"/>
                <w:szCs w:val="24"/>
                <w:lang w:eastAsia="hr-HR"/>
              </w:rPr>
            </w:pPr>
            <w:r w:rsidRPr="00D02B11">
              <w:rPr>
                <w:rFonts w:hAnsi="Times New Roman" w:ascii="Times New Roman"/>
                <w:sz w:val="24"/>
                <w:szCs w:val="24"/>
                <w:lang w:eastAsia="hr-HR"/>
              </w:rPr>
              <w:t>SUPER MONITOR d.o.o., Zagreb, Radnička c. 27, OIB 15574872867 - stjecatelj iza PARTNER TRUST d.o.o., OIB 24124089739</w:t>
            </w:r>
          </w:p>
        </w:tc>
        <w:tc>
          <w:tcPr>
            <w:tcW w:type="dxa" w:w="1440"/>
            <w:tcBorders>
              <w:top w:val="nil"/>
              <w:left w:val="nil"/>
              <w:bottom w:space="0" w:sz="4" w:color="auto" w:val="single"/>
              <w:right w:space="0" w:sz="4" w:color="auto" w:val="single"/>
            </w:tcBorders>
            <w:noWrap/>
            <w:vAlign w:val="bottom"/>
          </w:tcPr>
          <w:p w:rsidRDefault="0008155B" w:rsidP="006F1022" w:rsidR="0008155B" w:rsidRPr="00D02B11">
            <w:pPr>
              <w:spacing w:after="0"/>
              <w:jc w:val="right"/>
              <w:rPr>
                <w:rFonts w:hAnsi="Times New Roman" w:ascii="Times New Roman"/>
                <w:sz w:val="24"/>
                <w:szCs w:val="24"/>
                <w:lang w:eastAsia="hr-HR"/>
              </w:rPr>
            </w:pPr>
            <w:r w:rsidRPr="00D02B11">
              <w:rPr>
                <w:rFonts w:hAnsi="Times New Roman" w:ascii="Times New Roman"/>
                <w:sz w:val="24"/>
                <w:szCs w:val="24"/>
                <w:lang w:eastAsia="hr-HR"/>
              </w:rPr>
              <w:t>10.980,00</w:t>
            </w:r>
          </w:p>
        </w:tc>
      </w:tr>
      <w:tr w:rsidTr="006F1022" w:rsidR="0008155B" w:rsidRPr="00D02B11">
        <w:trPr>
          <w:trHeight w:val="315"/>
        </w:trPr>
        <w:tc>
          <w:tcPr>
            <w:tcW w:type="dxa" w:w="900"/>
            <w:tcBorders>
              <w:top w:val="nil"/>
              <w:left w:space="0" w:sz="4" w:color="auto" w:val="single"/>
              <w:bottom w:space="0" w:sz="4" w:color="auto" w:val="single"/>
              <w:right w:space="0" w:sz="4" w:color="auto" w:val="single"/>
            </w:tcBorders>
            <w:noWrap/>
            <w:vAlign w:val="bottom"/>
          </w:tcPr>
          <w:p w:rsidRDefault="0008155B" w:rsidP="006F1022" w:rsidR="0008155B" w:rsidRPr="00D02B11">
            <w:pPr>
              <w:spacing w:after="0"/>
              <w:jc w:val="center"/>
              <w:rPr>
                <w:rFonts w:hAnsi="Times New Roman" w:ascii="Times New Roman"/>
                <w:sz w:val="24"/>
                <w:szCs w:val="24"/>
                <w:lang w:eastAsia="hr-HR"/>
              </w:rPr>
            </w:pPr>
            <w:r w:rsidRPr="00D02B11">
              <w:rPr>
                <w:rFonts w:hAnsi="Times New Roman" w:ascii="Times New Roman"/>
                <w:sz w:val="24"/>
                <w:szCs w:val="24"/>
                <w:lang w:eastAsia="hr-HR"/>
              </w:rPr>
              <w:t>2</w:t>
            </w:r>
          </w:p>
        </w:tc>
        <w:tc>
          <w:tcPr>
            <w:tcW w:type="dxa" w:w="5760"/>
            <w:tcBorders>
              <w:top w:val="nil"/>
              <w:left w:val="nil"/>
              <w:bottom w:space="0" w:sz="4" w:color="auto" w:val="single"/>
              <w:right w:space="0" w:sz="4" w:color="auto" w:val="single"/>
            </w:tcBorders>
            <w:vAlign w:val="bottom"/>
          </w:tcPr>
          <w:p w:rsidRDefault="0008155B" w:rsidP="006F1022" w:rsidR="0008155B" w:rsidRPr="00D02B11">
            <w:pPr>
              <w:spacing w:after="0"/>
              <w:rPr>
                <w:rFonts w:hAnsi="Times New Roman" w:ascii="Times New Roman"/>
                <w:sz w:val="24"/>
                <w:szCs w:val="24"/>
                <w:lang w:eastAsia="hr-HR"/>
              </w:rPr>
            </w:pPr>
            <w:r w:rsidRPr="00D02B11">
              <w:rPr>
                <w:rFonts w:hAnsi="Times New Roman" w:ascii="Times New Roman"/>
                <w:sz w:val="24"/>
                <w:szCs w:val="24"/>
                <w:lang w:eastAsia="hr-HR"/>
              </w:rPr>
              <w:t>SUPER MONITOR d.o.o., Zagreb, Radnička c. 27, OIB 15574872867 - stjecatelj iza SALONIT d.d. u stečaju, OIB 14755697651</w:t>
            </w:r>
          </w:p>
        </w:tc>
        <w:tc>
          <w:tcPr>
            <w:tcW w:type="dxa" w:w="1440"/>
            <w:tcBorders>
              <w:top w:val="nil"/>
              <w:left w:val="nil"/>
              <w:bottom w:space="0" w:sz="4" w:color="auto" w:val="single"/>
              <w:right w:space="0" w:sz="4" w:color="auto" w:val="single"/>
            </w:tcBorders>
            <w:noWrap/>
            <w:vAlign w:val="bottom"/>
          </w:tcPr>
          <w:p w:rsidRDefault="0008155B" w:rsidP="006F1022" w:rsidR="0008155B" w:rsidRPr="00D02B11">
            <w:pPr>
              <w:spacing w:after="0"/>
              <w:jc w:val="right"/>
              <w:rPr>
                <w:rFonts w:hAnsi="Times New Roman" w:ascii="Times New Roman"/>
                <w:sz w:val="24"/>
                <w:szCs w:val="24"/>
                <w:lang w:eastAsia="hr-HR"/>
              </w:rPr>
            </w:pPr>
            <w:r w:rsidRPr="00D02B11">
              <w:rPr>
                <w:rFonts w:hAnsi="Times New Roman" w:ascii="Times New Roman"/>
                <w:sz w:val="24"/>
                <w:szCs w:val="24"/>
                <w:lang w:eastAsia="hr-HR"/>
              </w:rPr>
              <w:t>436.707,92</w:t>
            </w:r>
          </w:p>
        </w:tc>
      </w:tr>
      <w:tr w:rsidTr="006F1022" w:rsidR="0008155B" w:rsidRPr="00D02B11">
        <w:trPr>
          <w:trHeight w:val="315"/>
        </w:trPr>
        <w:tc>
          <w:tcPr>
            <w:tcW w:type="dxa" w:w="900"/>
            <w:tcBorders>
              <w:top w:val="nil"/>
              <w:left w:space="0" w:sz="4" w:color="auto" w:val="single"/>
              <w:bottom w:space="0" w:sz="4" w:color="auto" w:val="single"/>
              <w:right w:space="0" w:sz="4" w:color="auto" w:val="single"/>
            </w:tcBorders>
            <w:noWrap/>
            <w:vAlign w:val="bottom"/>
          </w:tcPr>
          <w:p w:rsidRDefault="0008155B" w:rsidP="006F1022" w:rsidR="0008155B" w:rsidRPr="00D02B11">
            <w:pPr>
              <w:spacing w:after="0"/>
              <w:jc w:val="center"/>
              <w:rPr>
                <w:rFonts w:hAnsi="Times New Roman" w:ascii="Times New Roman"/>
                <w:sz w:val="24"/>
                <w:szCs w:val="24"/>
                <w:lang w:eastAsia="hr-HR"/>
              </w:rPr>
            </w:pPr>
            <w:r w:rsidRPr="00D02B11">
              <w:rPr>
                <w:rFonts w:hAnsi="Times New Roman" w:ascii="Times New Roman"/>
                <w:sz w:val="24"/>
                <w:szCs w:val="24"/>
                <w:lang w:eastAsia="hr-HR"/>
              </w:rPr>
              <w:t>3</w:t>
            </w:r>
          </w:p>
        </w:tc>
        <w:tc>
          <w:tcPr>
            <w:tcW w:type="dxa" w:w="5760"/>
            <w:tcBorders>
              <w:top w:val="nil"/>
              <w:left w:val="nil"/>
              <w:bottom w:space="0" w:sz="4" w:color="auto" w:val="single"/>
              <w:right w:space="0" w:sz="4" w:color="auto" w:val="single"/>
            </w:tcBorders>
            <w:vAlign w:val="bottom"/>
          </w:tcPr>
          <w:p w:rsidRDefault="0008155B" w:rsidP="006F1022" w:rsidR="0008155B" w:rsidRPr="00D02B11">
            <w:pPr>
              <w:spacing w:after="0"/>
              <w:rPr>
                <w:rFonts w:hAnsi="Times New Roman" w:ascii="Times New Roman"/>
                <w:sz w:val="24"/>
                <w:szCs w:val="24"/>
                <w:lang w:eastAsia="hr-HR"/>
              </w:rPr>
            </w:pPr>
            <w:r w:rsidRPr="00D02B11">
              <w:rPr>
                <w:rFonts w:hAnsi="Times New Roman" w:ascii="Times New Roman"/>
                <w:sz w:val="24"/>
                <w:szCs w:val="24"/>
                <w:lang w:eastAsia="hr-HR"/>
              </w:rPr>
              <w:t>SUPER MONITOR d.o.o., Zagreb, Radnička c. 27, OIB 15574872867 - stjecatelj iza ONEUM GRAF d.o.o., OIB 92725885469</w:t>
            </w:r>
          </w:p>
        </w:tc>
        <w:tc>
          <w:tcPr>
            <w:tcW w:type="dxa" w:w="1440"/>
            <w:tcBorders>
              <w:top w:val="nil"/>
              <w:left w:val="nil"/>
              <w:bottom w:space="0" w:sz="4" w:color="auto" w:val="single"/>
              <w:right w:space="0" w:sz="4" w:color="auto" w:val="single"/>
            </w:tcBorders>
            <w:noWrap/>
            <w:vAlign w:val="bottom"/>
          </w:tcPr>
          <w:p w:rsidRDefault="0008155B" w:rsidP="006F1022" w:rsidR="0008155B" w:rsidRPr="00D02B11">
            <w:pPr>
              <w:spacing w:after="0"/>
              <w:jc w:val="right"/>
              <w:rPr>
                <w:rFonts w:hAnsi="Times New Roman" w:ascii="Times New Roman"/>
                <w:sz w:val="24"/>
                <w:szCs w:val="24"/>
                <w:lang w:eastAsia="hr-HR"/>
              </w:rPr>
            </w:pPr>
            <w:r w:rsidRPr="00D02B11">
              <w:rPr>
                <w:rFonts w:hAnsi="Times New Roman" w:ascii="Times New Roman"/>
                <w:sz w:val="24"/>
                <w:szCs w:val="24"/>
                <w:lang w:eastAsia="hr-HR"/>
              </w:rPr>
              <w:t>5.087,47</w:t>
            </w:r>
          </w:p>
        </w:tc>
      </w:tr>
      <w:tr w:rsidTr="006F1022" w:rsidR="0008155B" w:rsidRPr="00D02B11">
        <w:trPr>
          <w:trHeight w:val="315"/>
        </w:trPr>
        <w:tc>
          <w:tcPr>
            <w:tcW w:type="dxa" w:w="900"/>
            <w:tcBorders>
              <w:top w:val="nil"/>
              <w:left w:space="0" w:sz="4" w:color="auto" w:val="single"/>
              <w:bottom w:space="0" w:sz="4" w:color="auto" w:val="single"/>
              <w:right w:space="0" w:sz="4" w:color="auto" w:val="single"/>
            </w:tcBorders>
            <w:noWrap/>
            <w:vAlign w:val="bottom"/>
          </w:tcPr>
          <w:p w:rsidRDefault="0008155B" w:rsidP="006F1022" w:rsidR="0008155B" w:rsidRPr="00D02B11">
            <w:pPr>
              <w:spacing w:after="0"/>
              <w:jc w:val="center"/>
              <w:rPr>
                <w:rFonts w:hAnsi="Times New Roman" w:ascii="Times New Roman"/>
                <w:sz w:val="24"/>
                <w:szCs w:val="24"/>
                <w:lang w:eastAsia="hr-HR"/>
              </w:rPr>
            </w:pPr>
            <w:r w:rsidRPr="00D02B11">
              <w:rPr>
                <w:rFonts w:hAnsi="Times New Roman" w:ascii="Times New Roman"/>
                <w:sz w:val="24"/>
                <w:szCs w:val="24"/>
                <w:lang w:eastAsia="hr-HR"/>
              </w:rPr>
              <w:t>4</w:t>
            </w:r>
          </w:p>
        </w:tc>
        <w:tc>
          <w:tcPr>
            <w:tcW w:type="dxa" w:w="5760"/>
            <w:tcBorders>
              <w:top w:val="nil"/>
              <w:left w:val="nil"/>
              <w:bottom w:space="0" w:sz="4" w:color="auto" w:val="single"/>
              <w:right w:space="0" w:sz="4" w:color="auto" w:val="single"/>
            </w:tcBorders>
            <w:noWrap/>
            <w:vAlign w:val="bottom"/>
          </w:tcPr>
          <w:p w:rsidRDefault="0008155B" w:rsidP="006F1022" w:rsidR="0008155B" w:rsidRPr="00D02B11">
            <w:pPr>
              <w:spacing w:after="0"/>
              <w:rPr>
                <w:rFonts w:hAnsi="Times New Roman" w:ascii="Times New Roman"/>
                <w:sz w:val="24"/>
                <w:szCs w:val="24"/>
                <w:lang w:eastAsia="hr-HR"/>
              </w:rPr>
            </w:pPr>
            <w:r w:rsidRPr="00D02B11">
              <w:rPr>
                <w:rFonts w:hAnsi="Times New Roman" w:ascii="Times New Roman"/>
                <w:sz w:val="24"/>
                <w:szCs w:val="24"/>
                <w:lang w:eastAsia="hr-HR"/>
              </w:rPr>
              <w:t>RH MINISTAR.FINANCIJA</w:t>
            </w:r>
          </w:p>
        </w:tc>
        <w:tc>
          <w:tcPr>
            <w:tcW w:type="dxa" w:w="1440"/>
            <w:tcBorders>
              <w:top w:val="nil"/>
              <w:left w:val="nil"/>
              <w:bottom w:space="0" w:sz="4" w:color="auto" w:val="single"/>
              <w:right w:space="0" w:sz="4" w:color="auto" w:val="single"/>
            </w:tcBorders>
            <w:noWrap/>
            <w:vAlign w:val="bottom"/>
          </w:tcPr>
          <w:p w:rsidRDefault="0008155B" w:rsidP="006F1022" w:rsidR="0008155B" w:rsidRPr="00D02B11">
            <w:pPr>
              <w:spacing w:after="0"/>
              <w:jc w:val="right"/>
              <w:rPr>
                <w:rFonts w:hAnsi="Times New Roman" w:ascii="Times New Roman"/>
                <w:sz w:val="24"/>
                <w:szCs w:val="24"/>
                <w:lang w:eastAsia="hr-HR"/>
              </w:rPr>
            </w:pPr>
            <w:r w:rsidRPr="00D02B11">
              <w:rPr>
                <w:rFonts w:hAnsi="Times New Roman" w:ascii="Times New Roman"/>
                <w:sz w:val="24"/>
                <w:szCs w:val="24"/>
                <w:lang w:eastAsia="hr-HR"/>
              </w:rPr>
              <w:t>244.887,90</w:t>
            </w:r>
          </w:p>
        </w:tc>
      </w:tr>
      <w:tr w:rsidTr="006F1022" w:rsidR="0008155B" w:rsidRPr="00D02B11">
        <w:trPr>
          <w:trHeight w:val="315"/>
        </w:trPr>
        <w:tc>
          <w:tcPr>
            <w:tcW w:type="dxa" w:w="900"/>
            <w:tcBorders>
              <w:top w:val="nil"/>
              <w:left w:space="0" w:sz="4" w:color="auto" w:val="single"/>
              <w:bottom w:space="0" w:sz="4" w:color="auto" w:val="single"/>
              <w:right w:space="0" w:sz="4" w:color="auto" w:val="single"/>
            </w:tcBorders>
            <w:noWrap/>
            <w:vAlign w:val="bottom"/>
          </w:tcPr>
          <w:p w:rsidRDefault="0008155B" w:rsidP="006F1022" w:rsidR="0008155B" w:rsidRPr="00D02B11">
            <w:pPr>
              <w:spacing w:after="0"/>
              <w:jc w:val="center"/>
              <w:rPr>
                <w:rFonts w:hAnsi="Times New Roman" w:ascii="Times New Roman"/>
                <w:sz w:val="24"/>
                <w:szCs w:val="24"/>
                <w:lang w:eastAsia="hr-HR"/>
              </w:rPr>
            </w:pPr>
            <w:r w:rsidRPr="00D02B11">
              <w:rPr>
                <w:rFonts w:hAnsi="Times New Roman" w:ascii="Times New Roman"/>
                <w:sz w:val="24"/>
                <w:szCs w:val="24"/>
                <w:lang w:eastAsia="hr-HR"/>
              </w:rPr>
              <w:t> </w:t>
            </w:r>
          </w:p>
        </w:tc>
        <w:tc>
          <w:tcPr>
            <w:tcW w:type="dxa" w:w="5760"/>
            <w:tcBorders>
              <w:top w:val="nil"/>
              <w:left w:val="nil"/>
              <w:bottom w:space="0" w:sz="4" w:color="auto" w:val="single"/>
              <w:right w:space="0" w:sz="4" w:color="auto" w:val="single"/>
            </w:tcBorders>
            <w:vAlign w:val="bottom"/>
          </w:tcPr>
          <w:p w:rsidRDefault="0008155B" w:rsidP="006F1022" w:rsidR="0008155B" w:rsidRPr="00D02B11">
            <w:pPr>
              <w:spacing w:after="0"/>
              <w:rPr>
                <w:rFonts w:hAnsi="Times New Roman" w:ascii="Times New Roman"/>
                <w:sz w:val="24"/>
                <w:szCs w:val="24"/>
                <w:lang w:eastAsia="hr-HR"/>
              </w:rPr>
            </w:pPr>
            <w:r w:rsidRPr="00D02B11">
              <w:rPr>
                <w:rFonts w:hAnsi="Times New Roman" w:ascii="Times New Roman"/>
                <w:sz w:val="24"/>
                <w:szCs w:val="24"/>
                <w:lang w:eastAsia="hr-HR"/>
              </w:rPr>
              <w:t>Ukupno:</w:t>
            </w:r>
          </w:p>
        </w:tc>
        <w:tc>
          <w:tcPr>
            <w:tcW w:type="dxa" w:w="1440"/>
            <w:tcBorders>
              <w:top w:val="nil"/>
              <w:left w:val="nil"/>
              <w:bottom w:space="0" w:sz="4" w:color="auto" w:val="single"/>
              <w:right w:space="0" w:sz="4" w:color="auto" w:val="single"/>
            </w:tcBorders>
            <w:noWrap/>
            <w:vAlign w:val="bottom"/>
          </w:tcPr>
          <w:p w:rsidRDefault="0008155B" w:rsidP="006F1022" w:rsidR="0008155B" w:rsidRPr="00D02B11">
            <w:pPr>
              <w:spacing w:after="0"/>
              <w:jc w:val="right"/>
              <w:rPr>
                <w:rFonts w:hAnsi="Times New Roman" w:ascii="Times New Roman"/>
                <w:sz w:val="24"/>
                <w:szCs w:val="24"/>
                <w:lang w:eastAsia="hr-HR"/>
              </w:rPr>
            </w:pPr>
            <w:r w:rsidRPr="00D02B11">
              <w:rPr>
                <w:rFonts w:hAnsi="Times New Roman" w:ascii="Times New Roman"/>
                <w:sz w:val="24"/>
                <w:szCs w:val="24"/>
                <w:lang w:eastAsia="hr-HR"/>
              </w:rPr>
              <w:t>697.663,29</w:t>
            </w:r>
          </w:p>
        </w:tc>
      </w:tr>
    </w:tbl>
    <w:p w:rsidRDefault="0008155B" w:rsidP="00F51451" w:rsidR="0008155B" w:rsidRPr="00D02B11">
      <w:pPr>
        <w:spacing w:after="0"/>
        <w:jc w:val="both"/>
        <w:rPr>
          <w:rFonts w:hAnsi="Times New Roman" w:ascii="Times New Roman"/>
          <w:sz w:val="24"/>
          <w:szCs w:val="24"/>
        </w:rPr>
      </w:pPr>
    </w:p>
    <w:p w:rsidRDefault="0008155B" w:rsidP="00F51451" w:rsidR="0008155B" w:rsidRPr="00D02B11">
      <w:pPr>
        <w:spacing w:after="0"/>
        <w:jc w:val="both"/>
        <w:rPr>
          <w:rFonts w:hAnsi="Times New Roman" w:ascii="Times New Roman"/>
          <w:sz w:val="24"/>
          <w:szCs w:val="24"/>
        </w:rPr>
      </w:pPr>
    </w:p>
    <w:p w:rsidRDefault="0008155B" w:rsidP="005122DB" w:rsidR="0008155B" w:rsidRPr="00D02B11">
      <w:pPr>
        <w:spacing w:after="0"/>
        <w:rPr>
          <w:rFonts w:hAnsi="Times New Roman" w:ascii="Times New Roman"/>
          <w:sz w:val="24"/>
          <w:szCs w:val="24"/>
        </w:rPr>
      </w:pPr>
      <w:r w:rsidRPr="00D02B11">
        <w:rPr>
          <w:rFonts w:hAnsi="Times New Roman" w:ascii="Times New Roman"/>
          <w:sz w:val="24"/>
          <w:szCs w:val="24"/>
        </w:rPr>
        <w:lastRenderedPageBreak/>
        <w:t>II. STANJE STEČAJNE MASE</w:t>
      </w:r>
    </w:p>
    <w:p w:rsidRDefault="0008155B" w:rsidP="005122DB" w:rsidR="0008155B" w:rsidRPr="00D02B11">
      <w:pPr>
        <w:spacing w:after="0"/>
        <w:rPr>
          <w:rFonts w:hAnsi="Times New Roman" w:ascii="Times New Roman"/>
          <w:sz w:val="24"/>
          <w:szCs w:val="24"/>
        </w:rPr>
      </w:pPr>
    </w:p>
    <w:p w:rsidRDefault="0008155B" w:rsidP="005122DB" w:rsidR="0008155B" w:rsidRPr="00D02B11">
      <w:pPr>
        <w:spacing w:after="0"/>
        <w:jc w:val="both"/>
        <w:rPr>
          <w:rFonts w:hAnsi="Times New Roman" w:ascii="Times New Roman"/>
          <w:sz w:val="24"/>
          <w:szCs w:val="24"/>
        </w:rPr>
      </w:pPr>
      <w:r w:rsidRPr="00D02B11">
        <w:rPr>
          <w:rFonts w:hAnsi="Times New Roman" w:ascii="Times New Roman"/>
          <w:sz w:val="24"/>
          <w:szCs w:val="24"/>
        </w:rPr>
        <w:t>Neunovčena imovina nad kojom se vode parnice pobijanja pravnih radnji:</w:t>
      </w:r>
    </w:p>
    <w:p w:rsidRDefault="0008155B" w:rsidP="00336787" w:rsidR="0008155B" w:rsidRPr="00D02B11">
      <w:pPr>
        <w:numPr>
          <w:ilvl w:val="0"/>
          <w:numId w:val="15"/>
        </w:numPr>
        <w:spacing w:after="0"/>
        <w:jc w:val="both"/>
        <w:rPr>
          <w:rFonts w:hAnsi="Times New Roman" w:ascii="Times New Roman"/>
          <w:sz w:val="24"/>
          <w:szCs w:val="24"/>
        </w:rPr>
      </w:pPr>
      <w:r w:rsidRPr="00D02B11">
        <w:rPr>
          <w:rFonts w:hAnsi="Times New Roman" w:ascii="Times New Roman"/>
          <w:sz w:val="24"/>
          <w:szCs w:val="24"/>
        </w:rPr>
        <w:t>nekretnine upisane u zemljišnim knjigama Općinskog suda u Splitu, Zemljišnoknjižni odjel Solin, z.k.ul 1824, k.o. Solin, k.č.br. 4652/5, z.k.ul 4311, k.o. Solin, k.č.br. 4562/6, z.k.ul 3676, k.o. Solin, k.č.br. 4562/14, z.k.ul 3676, k.o. Solin, k.č.br. 4562/7, z.k.ul 3676, k.o. Solin, k.č.br. 4683/1, z.k.ul 2636, k.o. Solin, k.č.br. 4684/3, z.k.ul 2636, k.o. Solin, k.č.br. 4684/4, z.k.ul 2636, k.o. Solin, k.č.br. 4684/5, z.k.ul 3227, k.o. Solin, k.č.br. 4682/2, z.k.ul 5102, k.o. Solin, k.č.br. 4656/2, z.k.ul 5102, k.o. Solin, k.č.br. 4661/5, z.k.ul 4311, k.o. Solin, k.č.br. 4657/15, z.k.ul 4305, k.o. Solin, k.č.br. 4657/17, z.k.ul 4096, k.o. Solin, k.č.br. 4476/8, z.k.ul 1636, k.o. Solin, k.č.br. 4473/6, z.k.ul 3676, k.o. Solin, k.č.br. 4406/3, z.k.ul 3207, k.o. Solin, k.č.br. 4652/8, z.k.ul 732, k.o. Solin, k.č.br. 6689/2, z.k.ul 2636, k.o. Solin, k.č.br. 4684/8, z.k.ul 3824, k.o. Solin, k.č.br. 4679/4, z.k.ul 732, k.o. Solin, k.č.br. 6690/6, z.k.ul 731, k.o. Solin, k.č.br. 4653/1, z.k.ul 732, k.o. Solin, k.č.br. 6687/6, z.k.ul 5254, k.o. Solin, k.č.br. 6953, procijenjene vrijednosti u iznosu od 74.533.708,90 kn.</w:t>
      </w:r>
    </w:p>
    <w:p w:rsidRDefault="0008155B" w:rsidP="00336787" w:rsidR="0008155B" w:rsidRPr="00D02B11">
      <w:pPr>
        <w:spacing w:after="0"/>
        <w:ind w:left="708"/>
        <w:jc w:val="both"/>
        <w:rPr>
          <w:rFonts w:hAnsi="Times New Roman" w:ascii="Times New Roman"/>
          <w:sz w:val="24"/>
          <w:szCs w:val="24"/>
        </w:rPr>
      </w:pPr>
      <w:r w:rsidRPr="00D02B11">
        <w:rPr>
          <w:rFonts w:hAnsi="Times New Roman" w:ascii="Times New Roman"/>
          <w:sz w:val="24"/>
          <w:szCs w:val="24"/>
        </w:rPr>
        <w:t>Opterećene založnim pravom:</w:t>
      </w:r>
    </w:p>
    <w:p w:rsidRDefault="0008155B" w:rsidP="00336787" w:rsidR="0008155B" w:rsidRPr="00D02B11">
      <w:pPr>
        <w:numPr>
          <w:ilvl w:val="1"/>
          <w:numId w:val="15"/>
        </w:numPr>
        <w:spacing w:after="0"/>
        <w:jc w:val="both"/>
        <w:rPr>
          <w:rFonts w:hAnsi="Times New Roman" w:ascii="Times New Roman"/>
          <w:sz w:val="24"/>
          <w:szCs w:val="24"/>
        </w:rPr>
      </w:pPr>
      <w:r w:rsidRPr="00D02B11">
        <w:rPr>
          <w:rFonts w:hAnsi="Times New Roman" w:ascii="Times New Roman"/>
          <w:sz w:val="24"/>
          <w:szCs w:val="24"/>
        </w:rPr>
        <w:t>u iznosu od 10.883.272,30 kn za korist ROBSON HOLDINGS d.o.o. , Zagreb, Radnička cesta 27, temeljem Ugovora o izdavanju garancije za uredno vraćanje kredita, Ugovor broj G-073-29/98 od 27.11.1998.g., zaprimljeno 21.09.2005.g. pod brojem Z-1251/05 (Z-5376/99)</w:t>
      </w:r>
    </w:p>
    <w:p w:rsidRDefault="0008155B" w:rsidP="00336787" w:rsidR="0008155B" w:rsidRPr="00D02B11">
      <w:pPr>
        <w:numPr>
          <w:ilvl w:val="1"/>
          <w:numId w:val="15"/>
        </w:numPr>
        <w:spacing w:after="0"/>
        <w:jc w:val="both"/>
        <w:rPr>
          <w:rFonts w:hAnsi="Times New Roman" w:ascii="Times New Roman"/>
          <w:sz w:val="24"/>
          <w:szCs w:val="24"/>
        </w:rPr>
      </w:pPr>
      <w:r w:rsidRPr="00D02B11">
        <w:rPr>
          <w:rFonts w:hAnsi="Times New Roman" w:ascii="Times New Roman"/>
          <w:sz w:val="24"/>
          <w:szCs w:val="24"/>
        </w:rPr>
        <w:t xml:space="preserve">u iznosu od 346.000,00 USD za korist Zagrebačka banka – Pomorska banka d.d. Split, temeljem Ugovora o kreditu br. 278/99 i </w:t>
      </w:r>
      <w:r>
        <w:rPr>
          <w:rFonts w:hAnsi="Times New Roman" w:ascii="Times New Roman"/>
          <w:sz w:val="24"/>
          <w:szCs w:val="24"/>
        </w:rPr>
        <w:t>S</w:t>
      </w:r>
      <w:r w:rsidRPr="00D02B11">
        <w:rPr>
          <w:rFonts w:hAnsi="Times New Roman" w:ascii="Times New Roman"/>
          <w:sz w:val="24"/>
          <w:szCs w:val="24"/>
        </w:rPr>
        <w:t>porazuma radi osiguranja novčane tražbine zasnivanjem založnog prava od 21.06.1999.g., zaprimljeno 21.09.2005.g. pod brojem Z-1272/05 (Z-5657/99)</w:t>
      </w:r>
    </w:p>
    <w:p w:rsidRDefault="0008155B" w:rsidP="00336787" w:rsidR="0008155B" w:rsidRPr="00D02B11">
      <w:pPr>
        <w:spacing w:after="0"/>
        <w:ind w:left="1080"/>
        <w:jc w:val="both"/>
        <w:rPr>
          <w:rFonts w:hAnsi="Times New Roman" w:ascii="Times New Roman"/>
          <w:sz w:val="24"/>
          <w:szCs w:val="24"/>
        </w:rPr>
      </w:pPr>
    </w:p>
    <w:p w:rsidRDefault="0008155B" w:rsidP="00336787" w:rsidR="0008155B" w:rsidRPr="00D02B11">
      <w:pPr>
        <w:spacing w:after="0"/>
        <w:ind w:left="708"/>
        <w:jc w:val="both"/>
        <w:rPr>
          <w:rFonts w:hAnsi="Times New Roman" w:ascii="Times New Roman"/>
          <w:sz w:val="24"/>
          <w:szCs w:val="24"/>
        </w:rPr>
      </w:pPr>
      <w:r w:rsidRPr="00D02B11">
        <w:rPr>
          <w:rFonts w:hAnsi="Times New Roman" w:ascii="Times New Roman"/>
          <w:sz w:val="24"/>
          <w:szCs w:val="24"/>
        </w:rPr>
        <w:t>Dana 23.06.2014.g. pod brojem Z-1703/2014 zaprimljena ZABILJEŽBA, OVRHA, RJEŠENJE O OVRSI OVR- 3637/14, zabilježba ovrhe ovrhovoditelja ROBSON HOLDING d.o.o., Radnička cesta 27, Zagreb na č.zem.: 4652/15, 4652/16, 4652/17, 4652/18, 4652/19, 4652/20, 4652/21, 4652/22, 4652/23, 4652/24, 4652/25, 4652/26, 4652/27, 4652/28, 4652/29, 4652/30, 4652/31, 4652/32, zk. ul. 1824; protiv ovršenika SALONIT d.d. u stečaju, Vranjic, Krešimirova ulica b.b., OIB: 14755697651, utvrđivanjem vrijednosti navedene nekretnine prodajom i namirenjem ovrhovoditelja ROBSON HOLDING d.o.o. iz iznosa dobivenog prodajom.</w:t>
      </w:r>
    </w:p>
    <w:p w:rsidRDefault="0008155B" w:rsidP="005122DB" w:rsidR="0008155B" w:rsidRPr="00D02B11">
      <w:pPr>
        <w:spacing w:after="0"/>
        <w:jc w:val="both"/>
        <w:rPr>
          <w:rFonts w:hAnsi="Times New Roman" w:ascii="Times New Roman"/>
          <w:sz w:val="24"/>
          <w:szCs w:val="24"/>
        </w:rPr>
      </w:pPr>
    </w:p>
    <w:p w:rsidRDefault="0008155B" w:rsidP="005122DB" w:rsidR="0008155B" w:rsidRPr="00D02B11">
      <w:pPr>
        <w:spacing w:after="0"/>
        <w:jc w:val="both"/>
        <w:rPr>
          <w:rFonts w:hAnsi="Times New Roman" w:ascii="Times New Roman"/>
          <w:sz w:val="24"/>
          <w:szCs w:val="24"/>
        </w:rPr>
      </w:pPr>
      <w:r w:rsidRPr="00D02B11">
        <w:rPr>
          <w:rFonts w:hAnsi="Times New Roman" w:ascii="Times New Roman"/>
          <w:sz w:val="24"/>
          <w:szCs w:val="24"/>
        </w:rPr>
        <w:t>Stanje žiro računa stečajnog dužnika na dan 16.05.2017.g. iznosi 1.599.839,68 kn.</w:t>
      </w:r>
    </w:p>
    <w:p w:rsidRDefault="0008155B" w:rsidP="005122DB" w:rsidR="0008155B" w:rsidRPr="00D02B11">
      <w:pPr>
        <w:spacing w:after="0"/>
        <w:jc w:val="both"/>
        <w:rPr>
          <w:rFonts w:hAnsi="Times New Roman" w:ascii="Times New Roman"/>
          <w:sz w:val="24"/>
          <w:szCs w:val="24"/>
        </w:rPr>
      </w:pPr>
    </w:p>
    <w:p w:rsidRDefault="0008155B" w:rsidP="005122DB" w:rsidR="0008155B" w:rsidRPr="00D02B11">
      <w:pPr>
        <w:spacing w:after="0"/>
        <w:jc w:val="both"/>
        <w:rPr>
          <w:rFonts w:hAnsi="Times New Roman" w:ascii="Times New Roman"/>
          <w:sz w:val="24"/>
          <w:szCs w:val="24"/>
        </w:rPr>
      </w:pPr>
    </w:p>
    <w:p w:rsidRDefault="0008155B" w:rsidP="005122DB" w:rsidR="0008155B" w:rsidRPr="00D02B11">
      <w:pPr>
        <w:spacing w:after="0"/>
        <w:rPr>
          <w:rFonts w:hAnsi="Times New Roman" w:ascii="Times New Roman"/>
          <w:sz w:val="24"/>
          <w:szCs w:val="24"/>
        </w:rPr>
      </w:pPr>
      <w:r w:rsidRPr="00D02B11">
        <w:rPr>
          <w:rFonts w:hAnsi="Times New Roman" w:ascii="Times New Roman"/>
          <w:sz w:val="24"/>
          <w:szCs w:val="24"/>
        </w:rPr>
        <w:t>III. RADNJE KOJE ĆE SE PODUZETI U NAREDNOM RAZDOBLJU</w:t>
      </w:r>
    </w:p>
    <w:p w:rsidRDefault="0008155B" w:rsidP="005122DB" w:rsidR="0008155B">
      <w:pPr>
        <w:spacing w:after="0"/>
        <w:jc w:val="both"/>
        <w:rPr>
          <w:rFonts w:hAnsi="Times New Roman" w:ascii="Times New Roman"/>
          <w:sz w:val="24"/>
          <w:szCs w:val="24"/>
        </w:rPr>
      </w:pPr>
    </w:p>
    <w:p w:rsidRDefault="0008155B" w:rsidP="005122DB" w:rsidR="0008155B">
      <w:pPr>
        <w:spacing w:after="0"/>
        <w:jc w:val="both"/>
        <w:rPr>
          <w:rFonts w:hAnsi="Times New Roman" w:ascii="Times New Roman"/>
          <w:sz w:val="24"/>
          <w:szCs w:val="24"/>
        </w:rPr>
      </w:pPr>
      <w:r>
        <w:rPr>
          <w:rFonts w:hAnsi="Times New Roman" w:ascii="Times New Roman"/>
          <w:sz w:val="24"/>
          <w:szCs w:val="24"/>
        </w:rPr>
        <w:t xml:space="preserve">Radi izjavljene revizije u pravnoj stvari </w:t>
      </w:r>
      <w:r w:rsidRPr="00D02B11">
        <w:rPr>
          <w:rFonts w:hAnsi="Times New Roman" w:ascii="Times New Roman"/>
          <w:sz w:val="24"/>
          <w:szCs w:val="24"/>
        </w:rPr>
        <w:t>posl.broj P-3603/2012</w:t>
      </w:r>
      <w:r>
        <w:rPr>
          <w:rFonts w:hAnsi="Times New Roman" w:ascii="Times New Roman"/>
          <w:sz w:val="24"/>
          <w:szCs w:val="24"/>
        </w:rPr>
        <w:t xml:space="preserve">, pri </w:t>
      </w:r>
      <w:r w:rsidRPr="00D02B11">
        <w:rPr>
          <w:rFonts w:hAnsi="Times New Roman" w:ascii="Times New Roman"/>
          <w:sz w:val="24"/>
          <w:szCs w:val="24"/>
        </w:rPr>
        <w:t>Trgovačko</w:t>
      </w:r>
      <w:r>
        <w:rPr>
          <w:rFonts w:hAnsi="Times New Roman" w:ascii="Times New Roman"/>
          <w:sz w:val="24"/>
          <w:szCs w:val="24"/>
        </w:rPr>
        <w:t>m</w:t>
      </w:r>
      <w:r w:rsidRPr="00D02B11">
        <w:rPr>
          <w:rFonts w:hAnsi="Times New Roman" w:ascii="Times New Roman"/>
          <w:sz w:val="24"/>
          <w:szCs w:val="24"/>
        </w:rPr>
        <w:t xml:space="preserve"> sud</w:t>
      </w:r>
      <w:r>
        <w:rPr>
          <w:rFonts w:hAnsi="Times New Roman" w:ascii="Times New Roman"/>
          <w:sz w:val="24"/>
          <w:szCs w:val="24"/>
        </w:rPr>
        <w:t>u</w:t>
      </w:r>
      <w:r w:rsidRPr="00D02B11">
        <w:rPr>
          <w:rFonts w:hAnsi="Times New Roman" w:ascii="Times New Roman"/>
          <w:sz w:val="24"/>
          <w:szCs w:val="24"/>
        </w:rPr>
        <w:t xml:space="preserve"> u Zagrebu,</w:t>
      </w:r>
      <w:r>
        <w:rPr>
          <w:rFonts w:hAnsi="Times New Roman" w:ascii="Times New Roman"/>
          <w:sz w:val="24"/>
          <w:szCs w:val="24"/>
        </w:rPr>
        <w:t xml:space="preserve"> t</w:t>
      </w:r>
      <w:r w:rsidRPr="00D02B11">
        <w:rPr>
          <w:rFonts w:hAnsi="Times New Roman" w:ascii="Times New Roman"/>
          <w:sz w:val="24"/>
          <w:szCs w:val="24"/>
        </w:rPr>
        <w:t>uženik</w:t>
      </w:r>
      <w:r>
        <w:rPr>
          <w:rFonts w:hAnsi="Times New Roman" w:ascii="Times New Roman"/>
          <w:sz w:val="24"/>
          <w:szCs w:val="24"/>
        </w:rPr>
        <w:t>a</w:t>
      </w:r>
      <w:r w:rsidRPr="00D02B11">
        <w:rPr>
          <w:rFonts w:hAnsi="Times New Roman" w:ascii="Times New Roman"/>
          <w:sz w:val="24"/>
          <w:szCs w:val="24"/>
        </w:rPr>
        <w:t xml:space="preserve"> AD PLASTIK d.d.</w:t>
      </w:r>
      <w:r>
        <w:rPr>
          <w:rFonts w:hAnsi="Times New Roman" w:ascii="Times New Roman"/>
          <w:sz w:val="24"/>
          <w:szCs w:val="24"/>
        </w:rPr>
        <w:t>, stečajni upravitelj neće, za sada, predložiti djelomičnu diobu prikupljenih sredstava.</w:t>
      </w:r>
    </w:p>
    <w:p w:rsidRDefault="0008155B" w:rsidP="005122DB" w:rsidR="0008155B" w:rsidRPr="00D02B11">
      <w:pPr>
        <w:spacing w:after="0"/>
        <w:jc w:val="both"/>
        <w:rPr>
          <w:rFonts w:hAnsi="Times New Roman" w:ascii="Times New Roman"/>
          <w:sz w:val="24"/>
          <w:szCs w:val="24"/>
        </w:rPr>
      </w:pPr>
    </w:p>
    <w:p w:rsidRDefault="0008155B" w:rsidP="00F20B0C" w:rsidR="0008155B" w:rsidRPr="00D02B11">
      <w:pPr>
        <w:jc w:val="both"/>
        <w:rPr>
          <w:rFonts w:hAnsi="Times New Roman" w:ascii="Times New Roman"/>
          <w:sz w:val="24"/>
          <w:szCs w:val="24"/>
        </w:rPr>
      </w:pPr>
      <w:r w:rsidRPr="00D02B11">
        <w:rPr>
          <w:rFonts w:hAnsi="Times New Roman" w:ascii="Times New Roman"/>
          <w:sz w:val="24"/>
          <w:szCs w:val="24"/>
        </w:rPr>
        <w:t>Nastaviti</w:t>
      </w:r>
      <w:r>
        <w:rPr>
          <w:rFonts w:hAnsi="Times New Roman" w:ascii="Times New Roman"/>
          <w:sz w:val="24"/>
          <w:szCs w:val="24"/>
        </w:rPr>
        <w:t xml:space="preserve"> će</w:t>
      </w:r>
      <w:r w:rsidRPr="00D02B11">
        <w:rPr>
          <w:rFonts w:hAnsi="Times New Roman" w:ascii="Times New Roman"/>
          <w:sz w:val="24"/>
          <w:szCs w:val="24"/>
        </w:rPr>
        <w:t xml:space="preserve"> sa</w:t>
      </w:r>
      <w:r>
        <w:rPr>
          <w:rFonts w:hAnsi="Times New Roman" w:ascii="Times New Roman"/>
          <w:sz w:val="24"/>
          <w:szCs w:val="24"/>
        </w:rPr>
        <w:t xml:space="preserve"> sa</w:t>
      </w:r>
      <w:r w:rsidRPr="00D02B11">
        <w:rPr>
          <w:rFonts w:hAnsi="Times New Roman" w:ascii="Times New Roman"/>
          <w:sz w:val="24"/>
          <w:szCs w:val="24"/>
        </w:rPr>
        <w:t xml:space="preserve"> sudjelovanjem u sudskim postupcima koji su u tijeku, kao i s urednim vođenjem knjigovodstva stečajnog dužnika i predavanjem svih zakonom propisanih izvješća i obrazaca nadležnim institucijama.</w:t>
      </w:r>
    </w:p>
    <w:p w:rsidRDefault="0008155B" w:rsidP="005122DB" w:rsidR="0008155B" w:rsidRPr="00D02B11">
      <w:pPr>
        <w:spacing w:after="0"/>
        <w:jc w:val="both"/>
        <w:rPr>
          <w:rFonts w:hAnsi="Times New Roman" w:ascii="Times New Roman"/>
          <w:sz w:val="24"/>
          <w:szCs w:val="24"/>
        </w:rPr>
      </w:pPr>
    </w:p>
    <w:p w:rsidRDefault="0008155B" w:rsidP="005122DB" w:rsidR="0008155B" w:rsidRPr="00D02B11">
      <w:pPr>
        <w:spacing w:after="0"/>
        <w:jc w:val="both"/>
        <w:rPr>
          <w:rFonts w:hAnsi="Times New Roman" w:ascii="Times New Roman"/>
          <w:sz w:val="24"/>
          <w:szCs w:val="24"/>
        </w:rPr>
      </w:pPr>
    </w:p>
    <w:p w:rsidRDefault="0008155B" w:rsidP="005122DB" w:rsidR="0008155B" w:rsidRPr="00D02B11">
      <w:pPr>
        <w:spacing w:after="0"/>
        <w:rPr>
          <w:rFonts w:hAnsi="Times New Roman" w:ascii="Times New Roman"/>
          <w:sz w:val="24"/>
          <w:szCs w:val="24"/>
        </w:rPr>
      </w:pPr>
      <w:r w:rsidRPr="00D02B11">
        <w:rPr>
          <w:rFonts w:hAnsi="Times New Roman" w:ascii="Times New Roman"/>
          <w:sz w:val="24"/>
          <w:szCs w:val="24"/>
        </w:rPr>
        <w:t>Mjesto i datum:</w:t>
      </w:r>
      <w:r w:rsidRPr="00D02B11">
        <w:rPr>
          <w:rFonts w:hAnsi="Times New Roman" w:ascii="Times New Roman"/>
          <w:sz w:val="24"/>
          <w:szCs w:val="24"/>
        </w:rPr>
        <w:tab/>
      </w:r>
      <w:r w:rsidRPr="00D02B11">
        <w:rPr>
          <w:rFonts w:hAnsi="Times New Roman" w:ascii="Times New Roman"/>
          <w:sz w:val="24"/>
          <w:szCs w:val="24"/>
        </w:rPr>
        <w:tab/>
      </w:r>
      <w:r w:rsidRPr="00D02B11">
        <w:rPr>
          <w:rFonts w:hAnsi="Times New Roman" w:ascii="Times New Roman"/>
          <w:sz w:val="24"/>
          <w:szCs w:val="24"/>
        </w:rPr>
        <w:tab/>
      </w:r>
      <w:r w:rsidRPr="00D02B11">
        <w:rPr>
          <w:rFonts w:hAnsi="Times New Roman" w:ascii="Times New Roman"/>
          <w:sz w:val="24"/>
          <w:szCs w:val="24"/>
        </w:rPr>
        <w:tab/>
      </w:r>
      <w:r w:rsidRPr="00D02B11">
        <w:rPr>
          <w:rFonts w:hAnsi="Times New Roman" w:ascii="Times New Roman"/>
          <w:sz w:val="24"/>
          <w:szCs w:val="24"/>
        </w:rPr>
        <w:tab/>
      </w:r>
      <w:r w:rsidRPr="00D02B11">
        <w:rPr>
          <w:rFonts w:hAnsi="Times New Roman" w:ascii="Times New Roman"/>
          <w:sz w:val="24"/>
          <w:szCs w:val="24"/>
        </w:rPr>
        <w:tab/>
      </w:r>
      <w:r w:rsidRPr="00D02B11">
        <w:rPr>
          <w:rFonts w:hAnsi="Times New Roman" w:ascii="Times New Roman"/>
          <w:sz w:val="24"/>
          <w:szCs w:val="24"/>
        </w:rPr>
        <w:tab/>
        <w:t>Stečajni upravitelj:</w:t>
      </w:r>
    </w:p>
    <w:p w:rsidRDefault="0008155B" w:rsidP="005122DB" w:rsidR="0008155B" w:rsidRPr="00D02B11">
      <w:pPr>
        <w:spacing w:after="0"/>
        <w:rPr>
          <w:rFonts w:hAnsi="Times New Roman" w:ascii="Times New Roman"/>
          <w:sz w:val="24"/>
          <w:szCs w:val="24"/>
        </w:rPr>
      </w:pPr>
      <w:r w:rsidRPr="00D02B11">
        <w:rPr>
          <w:rFonts w:hAnsi="Times New Roman" w:ascii="Times New Roman"/>
          <w:sz w:val="24"/>
          <w:szCs w:val="24"/>
        </w:rPr>
        <w:t>Zagreb, 18.05.2017.</w:t>
      </w:r>
      <w:r w:rsidRPr="00D02B11">
        <w:rPr>
          <w:rFonts w:hAnsi="Times New Roman" w:ascii="Times New Roman"/>
          <w:sz w:val="24"/>
          <w:szCs w:val="24"/>
        </w:rPr>
        <w:tab/>
      </w:r>
      <w:r w:rsidRPr="00D02B11">
        <w:rPr>
          <w:rFonts w:hAnsi="Times New Roman" w:ascii="Times New Roman"/>
          <w:sz w:val="24"/>
          <w:szCs w:val="24"/>
        </w:rPr>
        <w:tab/>
      </w:r>
      <w:r w:rsidRPr="00D02B11">
        <w:rPr>
          <w:rFonts w:hAnsi="Times New Roman" w:ascii="Times New Roman"/>
          <w:sz w:val="24"/>
          <w:szCs w:val="24"/>
        </w:rPr>
        <w:tab/>
      </w:r>
      <w:r w:rsidRPr="00D02B11">
        <w:rPr>
          <w:rFonts w:hAnsi="Times New Roman" w:ascii="Times New Roman"/>
          <w:sz w:val="24"/>
          <w:szCs w:val="24"/>
        </w:rPr>
        <w:tab/>
      </w:r>
      <w:r w:rsidRPr="00D02B11">
        <w:rPr>
          <w:rFonts w:hAnsi="Times New Roman" w:ascii="Times New Roman"/>
          <w:sz w:val="24"/>
          <w:szCs w:val="24"/>
        </w:rPr>
        <w:tab/>
      </w:r>
      <w:r w:rsidRPr="00D02B11">
        <w:rPr>
          <w:rFonts w:hAnsi="Times New Roman" w:ascii="Times New Roman"/>
          <w:sz w:val="24"/>
          <w:szCs w:val="24"/>
        </w:rPr>
        <w:tab/>
      </w:r>
      <w:r w:rsidRPr="00D02B11">
        <w:rPr>
          <w:rFonts w:hAnsi="Times New Roman" w:ascii="Times New Roman"/>
          <w:sz w:val="24"/>
          <w:szCs w:val="24"/>
        </w:rPr>
        <w:tab/>
        <w:t>Pero Hrkać, dipl.oec.</w:t>
      </w:r>
    </w:p>
    <w:sectPr w:rsidSect="003209B5" w:rsidR="0008155B" w:rsidRPr="00D02B11">
      <w:footerReference w:type="even" r:id="rId9"/>
      <w:footerReference w:type="default" r:id="rId10"/>
      <w:pgSz w:h="16838" w:w="11906"/>
      <w:pgMar w:gutter="0" w:footer="709" w:header="709" w:left="1418" w:bottom="1134"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8155B" w:rsidR="0008155B">
      <w:r>
        <w:separator/>
      </w:r>
    </w:p>
  </w:endnote>
  <w:endnote w:id="0" w:type="continuationSeparator">
    <w:p w:rsidRDefault="0008155B" w:rsidR="0008155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SimSun">
    <w:altName w:val="宋体"/>
    <w:panose1 w:val="02010600030101010101"/>
    <w:charset w:val="86"/>
    <w:family w:val="auto"/>
    <w:pitch w:val="variable"/>
    <w:sig w:csb1="00000000" w:csb0="00040001" w:usb3="00000000" w:usb2="00000016" w:usb1="288F0000" w:usb0="00000003"/>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155B" w:rsidP="00413F06" w:rsidR="0008155B">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155B" w:rsidP="00C414D3" w:rsidR="0008155B">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155B" w:rsidP="00413F06" w:rsidR="0008155B">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07474">
      <w:rPr>
        <w:rStyle w:val="Brojstranice"/>
        <w:noProof/>
      </w:rPr>
      <w:t>6</w:t>
    </w:r>
    <w:r>
      <w:rPr>
        <w:rStyle w:val="Brojstranice"/>
      </w:rPr>
      <w:fldChar w:fldCharType="end"/>
    </w:r>
  </w:p>
  <w:p w:rsidRDefault="0008155B" w:rsidP="00C414D3" w:rsidR="0008155B">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8155B" w:rsidR="0008155B">
      <w:r>
        <w:separator/>
      </w:r>
    </w:p>
  </w:footnote>
  <w:footnote w:id="0" w:type="continuationSeparator">
    <w:p w:rsidRDefault="0008155B" w:rsidR="0008155B">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6D783A"/>
    <w:multiLevelType w:val="hybridMultilevel"/>
    <w:tmpl w:val="9AE01F2C"/>
    <w:lvl w:tplc="041A000F" w:ilvl="0">
      <w:start w:val="1"/>
      <w:numFmt w:val="decimal"/>
      <w:lvlText w:val="%1."/>
      <w:lvlJc w:val="left"/>
      <w:pPr>
        <w:tabs>
          <w:tab w:pos="720" w:val="num"/>
        </w:tabs>
        <w:ind w:hanging="360" w:left="720"/>
      </w:pPr>
      <w:rPr>
        <w:rFonts w:cs="Times New Roman" w:hint="default"/>
      </w:rPr>
    </w:lvl>
    <w:lvl w:tplc="A140AC4A" w:ilvl="1">
      <w:start w:val="1"/>
      <w:numFmt w:val="lowerLetter"/>
      <w:lvlText w:val="%2)"/>
      <w:lvlJc w:val="left"/>
      <w:pPr>
        <w:tabs>
          <w:tab w:pos="1440" w:val="num"/>
        </w:tabs>
        <w:ind w:hanging="360" w:left="1440"/>
      </w:pPr>
      <w:rPr>
        <w:rFonts w:cs="Times New Roman" w:hint="default"/>
        <w:b w:val="false"/>
      </w:rPr>
    </w:lvl>
    <w:lvl w:tplc="041A0001" w:ilvl="2">
      <w:start w:val="1"/>
      <w:numFmt w:val="bullet"/>
      <w:lvlText w:val=""/>
      <w:lvlJc w:val="left"/>
      <w:pPr>
        <w:tabs>
          <w:tab w:pos="2340" w:val="num"/>
        </w:tabs>
        <w:ind w:hanging="360" w:left="2340"/>
      </w:pPr>
      <w:rPr>
        <w:rFonts w:hAnsi="Symbol" w:ascii="Symbol" w:hint="default"/>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0A8A7689"/>
    <w:multiLevelType w:val="hybridMultilevel"/>
    <w:tmpl w:val="72246BF4"/>
    <w:lvl w:tplc="041A000F" w:ilvl="0">
      <w:start w:val="1"/>
      <w:numFmt w:val="decimal"/>
      <w:lvlText w:val="%1."/>
      <w:lvlJc w:val="left"/>
      <w:pPr>
        <w:tabs>
          <w:tab w:pos="720" w:val="num"/>
        </w:tabs>
        <w:ind w:hanging="360" w:left="720"/>
      </w:pPr>
      <w:rPr>
        <w:rFonts w:cs="Times New Roman"/>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
    <w:nsid w:val="193C5377"/>
    <w:multiLevelType w:val="hybridMultilevel"/>
    <w:tmpl w:val="8CDC4F94"/>
    <w:lvl w:tplc="041A000F" w:ilvl="0">
      <w:start w:val="1"/>
      <w:numFmt w:val="decimal"/>
      <w:lvlText w:val="%1."/>
      <w:lvlJc w:val="left"/>
      <w:pPr>
        <w:tabs>
          <w:tab w:pos="720" w:val="num"/>
        </w:tabs>
        <w:ind w:hanging="360" w:left="720"/>
      </w:pPr>
      <w:rPr>
        <w:rFonts w:cs="Times New Roman"/>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3">
    <w:nsid w:val="26C4794D"/>
    <w:multiLevelType w:val="hybridMultilevel"/>
    <w:tmpl w:val="45C285A2"/>
    <w:lvl w:tplc="1346B312" w:ilvl="0">
      <w:start w:val="29"/>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2FBE35C6"/>
    <w:multiLevelType w:val="hybridMultilevel"/>
    <w:tmpl w:val="FBFEC1EE"/>
    <w:lvl w:tplc="850A3DAC" w:ilvl="0">
      <w:numFmt w:val="bullet"/>
      <w:lvlText w:val="-"/>
      <w:lvlJc w:val="left"/>
      <w:pPr>
        <w:tabs>
          <w:tab w:pos="1080" w:val="num"/>
        </w:tabs>
        <w:ind w:hanging="360" w:left="1080"/>
      </w:pPr>
      <w:rPr>
        <w:rFonts w:eastAsia="Times New Roman" w:hAnsi="Verdana" w:ascii="Verdana" w:hint="default"/>
      </w:rPr>
    </w:lvl>
    <w:lvl w:tplc="041A000F" w:ilvl="1">
      <w:start w:val="1"/>
      <w:numFmt w:val="decimal"/>
      <w:lvlText w:val="%2."/>
      <w:lvlJc w:val="left"/>
      <w:pPr>
        <w:tabs>
          <w:tab w:pos="1785" w:val="num"/>
        </w:tabs>
        <w:ind w:hanging="360" w:left="1785"/>
      </w:pPr>
      <w:rPr>
        <w:rFonts w:cs="Times New Roman"/>
      </w:rPr>
    </w:lvl>
    <w:lvl w:tplc="041A0005" w:ilvl="2">
      <w:start w:val="1"/>
      <w:numFmt w:val="bullet"/>
      <w:lvlText w:val=""/>
      <w:lvlJc w:val="left"/>
      <w:pPr>
        <w:tabs>
          <w:tab w:pos="2505" w:val="num"/>
        </w:tabs>
        <w:ind w:hanging="360" w:left="2505"/>
      </w:pPr>
      <w:rPr>
        <w:rFonts w:hAnsi="Wingdings" w:ascii="Wingdings" w:hint="default"/>
      </w:rPr>
    </w:lvl>
    <w:lvl w:tplc="041A0001" w:ilvl="3">
      <w:start w:val="1"/>
      <w:numFmt w:val="bullet"/>
      <w:lvlText w:val=""/>
      <w:lvlJc w:val="left"/>
      <w:pPr>
        <w:tabs>
          <w:tab w:pos="3225" w:val="num"/>
        </w:tabs>
        <w:ind w:hanging="360" w:left="3225"/>
      </w:pPr>
      <w:rPr>
        <w:rFonts w:hAnsi="Symbol" w:ascii="Symbol" w:hint="default"/>
      </w:rPr>
    </w:lvl>
    <w:lvl w:tplc="041A0003" w:ilvl="4">
      <w:start w:val="1"/>
      <w:numFmt w:val="bullet"/>
      <w:lvlText w:val="o"/>
      <w:lvlJc w:val="left"/>
      <w:pPr>
        <w:tabs>
          <w:tab w:pos="3945" w:val="num"/>
        </w:tabs>
        <w:ind w:hanging="360" w:left="3945"/>
      </w:pPr>
      <w:rPr>
        <w:rFonts w:hAnsi="Courier New" w:ascii="Courier New" w:hint="default"/>
      </w:rPr>
    </w:lvl>
    <w:lvl w:tplc="041A0005" w:ilvl="5">
      <w:start w:val="1"/>
      <w:numFmt w:val="bullet"/>
      <w:lvlText w:val=""/>
      <w:lvlJc w:val="left"/>
      <w:pPr>
        <w:tabs>
          <w:tab w:pos="4665" w:val="num"/>
        </w:tabs>
        <w:ind w:hanging="360" w:left="4665"/>
      </w:pPr>
      <w:rPr>
        <w:rFonts w:hAnsi="Wingdings" w:ascii="Wingdings" w:hint="default"/>
      </w:rPr>
    </w:lvl>
    <w:lvl w:tplc="041A0001" w:ilvl="6">
      <w:start w:val="1"/>
      <w:numFmt w:val="bullet"/>
      <w:lvlText w:val=""/>
      <w:lvlJc w:val="left"/>
      <w:pPr>
        <w:tabs>
          <w:tab w:pos="5385" w:val="num"/>
        </w:tabs>
        <w:ind w:hanging="360" w:left="5385"/>
      </w:pPr>
      <w:rPr>
        <w:rFonts w:hAnsi="Symbol" w:ascii="Symbol" w:hint="default"/>
      </w:rPr>
    </w:lvl>
    <w:lvl w:tplc="041A0003" w:ilvl="7">
      <w:start w:val="1"/>
      <w:numFmt w:val="bullet"/>
      <w:lvlText w:val="o"/>
      <w:lvlJc w:val="left"/>
      <w:pPr>
        <w:tabs>
          <w:tab w:pos="6105" w:val="num"/>
        </w:tabs>
        <w:ind w:hanging="360" w:left="6105"/>
      </w:pPr>
      <w:rPr>
        <w:rFonts w:hAnsi="Courier New" w:ascii="Courier New" w:hint="default"/>
      </w:rPr>
    </w:lvl>
    <w:lvl w:tplc="041A0005" w:ilvl="8">
      <w:start w:val="1"/>
      <w:numFmt w:val="bullet"/>
      <w:lvlText w:val=""/>
      <w:lvlJc w:val="left"/>
      <w:pPr>
        <w:tabs>
          <w:tab w:pos="6825" w:val="num"/>
        </w:tabs>
        <w:ind w:hanging="360" w:left="6825"/>
      </w:pPr>
      <w:rPr>
        <w:rFonts w:hAnsi="Wingdings" w:ascii="Wingdings" w:hint="default"/>
      </w:rPr>
    </w:lvl>
  </w:abstractNum>
  <w:abstractNum w:abstractNumId="5">
    <w:nsid w:val="327312D6"/>
    <w:multiLevelType w:val="hybridMultilevel"/>
    <w:tmpl w:val="52306C58"/>
    <w:lvl w:tplc="041A000F" w:ilvl="0">
      <w:start w:val="1"/>
      <w:numFmt w:val="decimal"/>
      <w:lvlText w:val="%1."/>
      <w:lvlJc w:val="left"/>
      <w:pPr>
        <w:tabs>
          <w:tab w:pos="720" w:val="num"/>
        </w:tabs>
        <w:ind w:hanging="360" w:left="720"/>
      </w:pPr>
      <w:rPr>
        <w:rFonts w:cs="Times New Roman" w:hAnsi="Times New Roman" w:ascii="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6">
    <w:nsid w:val="339A58DD"/>
    <w:multiLevelType w:val="hybridMultilevel"/>
    <w:tmpl w:val="9B907ACE"/>
    <w:lvl w:tplc="8DF808B0" w:ilvl="0">
      <w:numFmt w:val="bullet"/>
      <w:lvlText w:val="-"/>
      <w:lvlJc w:val="left"/>
      <w:pPr>
        <w:tabs>
          <w:tab w:pos="720" w:val="num"/>
        </w:tabs>
        <w:ind w:hanging="360" w:left="720"/>
      </w:pPr>
      <w:rPr>
        <w:rFonts w:eastAsia="SimSu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379D3430"/>
    <w:multiLevelType w:val="hybridMultilevel"/>
    <w:tmpl w:val="DD627D74"/>
    <w:lvl w:tplc="FDEAC882" w:ilvl="0">
      <w:start w:val="1"/>
      <w:numFmt w:val="bullet"/>
      <w:lvlText w:val="-"/>
      <w:lvlJc w:val="left"/>
      <w:pPr>
        <w:tabs>
          <w:tab w:pos="720" w:val="num"/>
        </w:tabs>
        <w:ind w:hanging="360" w:left="720"/>
      </w:pPr>
      <w:rPr>
        <w:rFonts w:eastAsia="SimSu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42E75886"/>
    <w:multiLevelType w:val="hybridMultilevel"/>
    <w:tmpl w:val="AF2A78DA"/>
    <w:lvl w:tplc="D9F07826" w:ilvl="0">
      <w:start w:val="1"/>
      <w:numFmt w:val="decimal"/>
      <w:lvlText w:val="%1."/>
      <w:lvlJc w:val="left"/>
      <w:pPr>
        <w:tabs>
          <w:tab w:pos="1065" w:val="num"/>
        </w:tabs>
        <w:ind w:hanging="705" w:left="1065"/>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9">
    <w:nsid w:val="46ED3820"/>
    <w:multiLevelType w:val="hybridMultilevel"/>
    <w:tmpl w:val="84CE7872"/>
    <w:lvl w:tplc="17E64FDE" w:ilvl="0">
      <w:start w:val="1"/>
      <w:numFmt w:val="upperRoman"/>
      <w:lvlText w:val="%1."/>
      <w:lvlJc w:val="left"/>
      <w:pPr>
        <w:tabs>
          <w:tab w:pos="2130" w:val="num"/>
        </w:tabs>
        <w:ind w:hanging="720" w:left="2130"/>
      </w:pPr>
      <w:rPr>
        <w:rFonts w:cs="Times New Roman" w:eastAsia="Times New Roman" w:hAnsi="Times New Roman" w:ascii="Times New Roman"/>
      </w:rPr>
    </w:lvl>
    <w:lvl w:tentative="true" w:tplc="041A0019" w:ilvl="1">
      <w:start w:val="1"/>
      <w:numFmt w:val="lowerLetter"/>
      <w:lvlText w:val="%2."/>
      <w:lvlJc w:val="left"/>
      <w:pPr>
        <w:tabs>
          <w:tab w:pos="2490" w:val="num"/>
        </w:tabs>
        <w:ind w:hanging="360" w:left="2490"/>
      </w:pPr>
      <w:rPr>
        <w:rFonts w:cs="Times New Roman"/>
      </w:rPr>
    </w:lvl>
    <w:lvl w:tentative="true" w:tplc="041A001B" w:ilvl="2">
      <w:start w:val="1"/>
      <w:numFmt w:val="lowerRoman"/>
      <w:lvlText w:val="%3."/>
      <w:lvlJc w:val="right"/>
      <w:pPr>
        <w:tabs>
          <w:tab w:pos="3210" w:val="num"/>
        </w:tabs>
        <w:ind w:hanging="180" w:left="3210"/>
      </w:pPr>
      <w:rPr>
        <w:rFonts w:cs="Times New Roman"/>
      </w:rPr>
    </w:lvl>
    <w:lvl w:tentative="true" w:tplc="041A000F" w:ilvl="3">
      <w:start w:val="1"/>
      <w:numFmt w:val="decimal"/>
      <w:lvlText w:val="%4."/>
      <w:lvlJc w:val="left"/>
      <w:pPr>
        <w:tabs>
          <w:tab w:pos="3930" w:val="num"/>
        </w:tabs>
        <w:ind w:hanging="360" w:left="3930"/>
      </w:pPr>
      <w:rPr>
        <w:rFonts w:cs="Times New Roman"/>
      </w:rPr>
    </w:lvl>
    <w:lvl w:tentative="true" w:tplc="041A0019" w:ilvl="4">
      <w:start w:val="1"/>
      <w:numFmt w:val="lowerLetter"/>
      <w:lvlText w:val="%5."/>
      <w:lvlJc w:val="left"/>
      <w:pPr>
        <w:tabs>
          <w:tab w:pos="4650" w:val="num"/>
        </w:tabs>
        <w:ind w:hanging="360" w:left="4650"/>
      </w:pPr>
      <w:rPr>
        <w:rFonts w:cs="Times New Roman"/>
      </w:rPr>
    </w:lvl>
    <w:lvl w:tentative="true" w:tplc="041A001B" w:ilvl="5">
      <w:start w:val="1"/>
      <w:numFmt w:val="lowerRoman"/>
      <w:lvlText w:val="%6."/>
      <w:lvlJc w:val="right"/>
      <w:pPr>
        <w:tabs>
          <w:tab w:pos="5370" w:val="num"/>
        </w:tabs>
        <w:ind w:hanging="180" w:left="5370"/>
      </w:pPr>
      <w:rPr>
        <w:rFonts w:cs="Times New Roman"/>
      </w:rPr>
    </w:lvl>
    <w:lvl w:tentative="true" w:tplc="041A000F" w:ilvl="6">
      <w:start w:val="1"/>
      <w:numFmt w:val="decimal"/>
      <w:lvlText w:val="%7."/>
      <w:lvlJc w:val="left"/>
      <w:pPr>
        <w:tabs>
          <w:tab w:pos="6090" w:val="num"/>
        </w:tabs>
        <w:ind w:hanging="360" w:left="6090"/>
      </w:pPr>
      <w:rPr>
        <w:rFonts w:cs="Times New Roman"/>
      </w:rPr>
    </w:lvl>
    <w:lvl w:tentative="true" w:tplc="041A0019" w:ilvl="7">
      <w:start w:val="1"/>
      <w:numFmt w:val="lowerLetter"/>
      <w:lvlText w:val="%8."/>
      <w:lvlJc w:val="left"/>
      <w:pPr>
        <w:tabs>
          <w:tab w:pos="6810" w:val="num"/>
        </w:tabs>
        <w:ind w:hanging="360" w:left="6810"/>
      </w:pPr>
      <w:rPr>
        <w:rFonts w:cs="Times New Roman"/>
      </w:rPr>
    </w:lvl>
    <w:lvl w:tentative="true" w:tplc="041A001B" w:ilvl="8">
      <w:start w:val="1"/>
      <w:numFmt w:val="lowerRoman"/>
      <w:lvlText w:val="%9."/>
      <w:lvlJc w:val="right"/>
      <w:pPr>
        <w:tabs>
          <w:tab w:pos="7530" w:val="num"/>
        </w:tabs>
        <w:ind w:hanging="180" w:left="7530"/>
      </w:pPr>
      <w:rPr>
        <w:rFonts w:cs="Times New Roman"/>
      </w:rPr>
    </w:lvl>
  </w:abstractNum>
  <w:abstractNum w:abstractNumId="10">
    <w:nsid w:val="50117188"/>
    <w:multiLevelType w:val="hybridMultilevel"/>
    <w:tmpl w:val="A5B6DE5E"/>
    <w:lvl w:tplc="041A000F"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1">
    <w:nsid w:val="51462A7B"/>
    <w:multiLevelType w:val="hybridMultilevel"/>
    <w:tmpl w:val="FDF080A0"/>
    <w:lvl w:tplc="041A000F" w:ilvl="0">
      <w:start w:val="1"/>
      <w:numFmt w:val="decimal"/>
      <w:lvlText w:val="%1."/>
      <w:lvlJc w:val="left"/>
      <w:pPr>
        <w:ind w:hanging="360" w:left="720"/>
      </w:pPr>
      <w:rPr>
        <w:rFonts w:cs="Times New Roman"/>
      </w:rPr>
    </w:lvl>
    <w:lvl w:tplc="041A0019" w:ilvl="1">
      <w:start w:val="1"/>
      <w:numFmt w:val="lowerLetter"/>
      <w:lvlText w:val="%2."/>
      <w:lvlJc w:val="left"/>
      <w:pPr>
        <w:ind w:hanging="360" w:left="1440"/>
      </w:pPr>
      <w:rPr>
        <w:rFonts w:cs="Times New Roman"/>
      </w:rPr>
    </w:lvl>
    <w:lvl w:tplc="041A001B" w:ilvl="2">
      <w:start w:val="1"/>
      <w:numFmt w:val="lowerRoman"/>
      <w:lvlText w:val="%3."/>
      <w:lvlJc w:val="right"/>
      <w:pPr>
        <w:ind w:hanging="180" w:left="2160"/>
      </w:pPr>
      <w:rPr>
        <w:rFonts w:cs="Times New Roman"/>
      </w:rPr>
    </w:lvl>
    <w:lvl w:tplc="041A000F" w:ilvl="3">
      <w:start w:val="1"/>
      <w:numFmt w:val="decimal"/>
      <w:lvlText w:val="%4."/>
      <w:lvlJc w:val="left"/>
      <w:pPr>
        <w:ind w:hanging="360" w:left="2880"/>
      </w:pPr>
      <w:rPr>
        <w:rFonts w:cs="Times New Roman"/>
      </w:rPr>
    </w:lvl>
    <w:lvl w:tplc="041A0019" w:ilvl="4">
      <w:start w:val="1"/>
      <w:numFmt w:val="lowerLetter"/>
      <w:lvlText w:val="%5."/>
      <w:lvlJc w:val="left"/>
      <w:pPr>
        <w:ind w:hanging="360" w:left="3600"/>
      </w:pPr>
      <w:rPr>
        <w:rFonts w:cs="Times New Roman"/>
      </w:rPr>
    </w:lvl>
    <w:lvl w:tplc="041A001B" w:ilvl="5">
      <w:start w:val="1"/>
      <w:numFmt w:val="lowerRoman"/>
      <w:lvlText w:val="%6."/>
      <w:lvlJc w:val="right"/>
      <w:pPr>
        <w:ind w:hanging="180" w:left="4320"/>
      </w:pPr>
      <w:rPr>
        <w:rFonts w:cs="Times New Roman"/>
      </w:rPr>
    </w:lvl>
    <w:lvl w:tplc="041A000F" w:ilvl="6">
      <w:start w:val="1"/>
      <w:numFmt w:val="decimal"/>
      <w:lvlText w:val="%7."/>
      <w:lvlJc w:val="left"/>
      <w:pPr>
        <w:ind w:hanging="360" w:left="5040"/>
      </w:pPr>
      <w:rPr>
        <w:rFonts w:cs="Times New Roman"/>
      </w:rPr>
    </w:lvl>
    <w:lvl w:tplc="041A0019" w:ilvl="7">
      <w:start w:val="1"/>
      <w:numFmt w:val="lowerLetter"/>
      <w:lvlText w:val="%8."/>
      <w:lvlJc w:val="left"/>
      <w:pPr>
        <w:ind w:hanging="360" w:left="5760"/>
      </w:pPr>
      <w:rPr>
        <w:rFonts w:cs="Times New Roman"/>
      </w:rPr>
    </w:lvl>
    <w:lvl w:tplc="041A001B" w:ilvl="8">
      <w:start w:val="1"/>
      <w:numFmt w:val="lowerRoman"/>
      <w:lvlText w:val="%9."/>
      <w:lvlJc w:val="right"/>
      <w:pPr>
        <w:ind w:hanging="180" w:left="6480"/>
      </w:pPr>
      <w:rPr>
        <w:rFonts w:cs="Times New Roman"/>
      </w:rPr>
    </w:lvl>
  </w:abstractNum>
  <w:abstractNum w:abstractNumId="12">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3">
    <w:nsid w:val="66ED6AD4"/>
    <w:multiLevelType w:val="hybridMultilevel"/>
    <w:tmpl w:val="26447D7C"/>
    <w:lvl w:tplc="1F4C1544" w:ilvl="0">
      <w:numFmt w:val="bullet"/>
      <w:lvlText w:val="-"/>
      <w:lvlJc w:val="left"/>
      <w:pPr>
        <w:tabs>
          <w:tab w:pos="720" w:val="num"/>
        </w:tabs>
        <w:ind w:hanging="360" w:left="720"/>
      </w:pPr>
      <w:rPr>
        <w:rFonts w:eastAsia="SimSun" w:hAnsi="Times New Roman" w:ascii="Times New Roman" w:hint="default"/>
      </w:rPr>
    </w:lvl>
    <w:lvl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4">
    <w:nsid w:val="6BD64F1F"/>
    <w:multiLevelType w:val="hybridMultilevel"/>
    <w:tmpl w:val="06E2581C"/>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5">
    <w:nsid w:val="704C6758"/>
    <w:multiLevelType w:val="hybridMultilevel"/>
    <w:tmpl w:val="C980E00C"/>
    <w:lvl w:tplc="35045F4E" w:ilvl="0">
      <w:start w:val="1"/>
      <w:numFmt w:val="bullet"/>
      <w:lvlText w:val="-"/>
      <w:lvlJc w:val="left"/>
      <w:pPr>
        <w:tabs>
          <w:tab w:pos="720" w:val="num"/>
        </w:tabs>
        <w:ind w:hanging="360" w:left="720"/>
      </w:pPr>
      <w:rPr>
        <w:rFonts w:eastAsia="SimSun" w:hAnsi="Times New Roman" w:ascii="Times New Roman" w:hint="default"/>
      </w:rPr>
    </w:lvl>
    <w:lvl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6">
    <w:nsid w:val="73CB0D45"/>
    <w:multiLevelType w:val="hybridMultilevel"/>
    <w:tmpl w:val="66403F76"/>
    <w:lvl w:tplc="041A000F" w:ilvl="0">
      <w:start w:val="1"/>
      <w:numFmt w:val="decimal"/>
      <w:lvlText w:val="%1."/>
      <w:lvlJc w:val="left"/>
      <w:pPr>
        <w:tabs>
          <w:tab w:pos="720" w:val="num"/>
        </w:tabs>
        <w:ind w:hanging="360" w:left="720"/>
      </w:pPr>
      <w:rPr>
        <w:rFonts w:cs="Times New Roman"/>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num w:numId="1">
    <w:abstractNumId w:val="12"/>
  </w:num>
  <w:num w:numId="2">
    <w:abstractNumId w:val="1"/>
  </w:num>
  <w:num w:numId="3">
    <w:abstractNumId w:val="2"/>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14"/>
  </w:num>
  <w:num w:numId="7">
    <w:abstractNumId w:val="11"/>
  </w:num>
  <w:num w:numId="8">
    <w:abstractNumId w:val="8"/>
  </w:num>
  <w:num w:numId="9">
    <w:abstractNumId w:val="5"/>
  </w:num>
  <w:num w:numId="10">
    <w:abstractNumId w:val="4"/>
  </w:num>
  <w:num w:numId="11">
    <w:abstractNumId w:val="16"/>
  </w:num>
  <w:num w:numId="12">
    <w:abstractNumId w:val="3"/>
  </w:num>
  <w:num w:numId="13">
    <w:abstractNumId w:val="10"/>
  </w:num>
  <w:num w:numId="14">
    <w:abstractNumId w:val="13"/>
  </w:num>
  <w:num w:numId="15">
    <w:abstractNumId w:val="15"/>
  </w:num>
  <w:num w:numId="16">
    <w:abstractNumId w:val="7"/>
  </w:num>
  <w:num w:numId="17">
    <w:abstractNumId w:val="6"/>
  </w:num>
  <w:num w:numId="1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00478"/>
    <w:rsid w:val="00012C9E"/>
    <w:rsid w:val="00014FE9"/>
    <w:rsid w:val="000159A1"/>
    <w:rsid w:val="00020BF5"/>
    <w:rsid w:val="00021302"/>
    <w:rsid w:val="0003434B"/>
    <w:rsid w:val="00062351"/>
    <w:rsid w:val="000645B9"/>
    <w:rsid w:val="000749BB"/>
    <w:rsid w:val="0008155B"/>
    <w:rsid w:val="00083ECD"/>
    <w:rsid w:val="00097894"/>
    <w:rsid w:val="000B75B5"/>
    <w:rsid w:val="000D1015"/>
    <w:rsid w:val="000E1F39"/>
    <w:rsid w:val="000F1C59"/>
    <w:rsid w:val="0010697D"/>
    <w:rsid w:val="00107474"/>
    <w:rsid w:val="001143F5"/>
    <w:rsid w:val="00123B8F"/>
    <w:rsid w:val="00126931"/>
    <w:rsid w:val="0012778D"/>
    <w:rsid w:val="0014039F"/>
    <w:rsid w:val="00156D7C"/>
    <w:rsid w:val="001730BF"/>
    <w:rsid w:val="00173327"/>
    <w:rsid w:val="001911ED"/>
    <w:rsid w:val="001921F1"/>
    <w:rsid w:val="001B4892"/>
    <w:rsid w:val="001D546A"/>
    <w:rsid w:val="001E400A"/>
    <w:rsid w:val="001E73B0"/>
    <w:rsid w:val="001E761C"/>
    <w:rsid w:val="001F4A30"/>
    <w:rsid w:val="001F5EA0"/>
    <w:rsid w:val="001F6FBD"/>
    <w:rsid w:val="00204F7B"/>
    <w:rsid w:val="00233148"/>
    <w:rsid w:val="00242F09"/>
    <w:rsid w:val="00253116"/>
    <w:rsid w:val="00253F0D"/>
    <w:rsid w:val="00255170"/>
    <w:rsid w:val="0026790F"/>
    <w:rsid w:val="00272BB2"/>
    <w:rsid w:val="00273CB4"/>
    <w:rsid w:val="002763B3"/>
    <w:rsid w:val="00281AA6"/>
    <w:rsid w:val="00281FBF"/>
    <w:rsid w:val="002903A7"/>
    <w:rsid w:val="00291D18"/>
    <w:rsid w:val="002A5F0D"/>
    <w:rsid w:val="002B2EB3"/>
    <w:rsid w:val="002B5E93"/>
    <w:rsid w:val="002C1F19"/>
    <w:rsid w:val="002D1C5F"/>
    <w:rsid w:val="002D521C"/>
    <w:rsid w:val="002D7062"/>
    <w:rsid w:val="002E2383"/>
    <w:rsid w:val="002E4FE5"/>
    <w:rsid w:val="002E7A7E"/>
    <w:rsid w:val="0030736A"/>
    <w:rsid w:val="003110C7"/>
    <w:rsid w:val="003200E3"/>
    <w:rsid w:val="003209B5"/>
    <w:rsid w:val="00320A13"/>
    <w:rsid w:val="00321F9B"/>
    <w:rsid w:val="00326C6F"/>
    <w:rsid w:val="00336787"/>
    <w:rsid w:val="00343A3D"/>
    <w:rsid w:val="00353136"/>
    <w:rsid w:val="00353941"/>
    <w:rsid w:val="00363AEC"/>
    <w:rsid w:val="003726DD"/>
    <w:rsid w:val="00372964"/>
    <w:rsid w:val="00374780"/>
    <w:rsid w:val="00376164"/>
    <w:rsid w:val="0038009E"/>
    <w:rsid w:val="003852FB"/>
    <w:rsid w:val="00390415"/>
    <w:rsid w:val="003955E7"/>
    <w:rsid w:val="003A06EA"/>
    <w:rsid w:val="003A0803"/>
    <w:rsid w:val="003A60E8"/>
    <w:rsid w:val="003A717A"/>
    <w:rsid w:val="003B695F"/>
    <w:rsid w:val="003C555E"/>
    <w:rsid w:val="003C784C"/>
    <w:rsid w:val="003E0142"/>
    <w:rsid w:val="003E6133"/>
    <w:rsid w:val="003F246D"/>
    <w:rsid w:val="003F5B77"/>
    <w:rsid w:val="004112A5"/>
    <w:rsid w:val="00413249"/>
    <w:rsid w:val="00413F06"/>
    <w:rsid w:val="004144DD"/>
    <w:rsid w:val="0042685E"/>
    <w:rsid w:val="00433513"/>
    <w:rsid w:val="00435CDC"/>
    <w:rsid w:val="00443E25"/>
    <w:rsid w:val="004538AC"/>
    <w:rsid w:val="004575D4"/>
    <w:rsid w:val="00460E5A"/>
    <w:rsid w:val="004645AC"/>
    <w:rsid w:val="004656BA"/>
    <w:rsid w:val="00467005"/>
    <w:rsid w:val="004673DE"/>
    <w:rsid w:val="0047647A"/>
    <w:rsid w:val="00476B21"/>
    <w:rsid w:val="00476FD8"/>
    <w:rsid w:val="0047732E"/>
    <w:rsid w:val="004826C6"/>
    <w:rsid w:val="004869A1"/>
    <w:rsid w:val="0049087D"/>
    <w:rsid w:val="00493429"/>
    <w:rsid w:val="004953CA"/>
    <w:rsid w:val="004C04FC"/>
    <w:rsid w:val="004C5A0D"/>
    <w:rsid w:val="004C5A7F"/>
    <w:rsid w:val="004D676C"/>
    <w:rsid w:val="004D758C"/>
    <w:rsid w:val="004F2ECE"/>
    <w:rsid w:val="00500C3E"/>
    <w:rsid w:val="00502195"/>
    <w:rsid w:val="005056C1"/>
    <w:rsid w:val="00506C03"/>
    <w:rsid w:val="005122DB"/>
    <w:rsid w:val="005261BC"/>
    <w:rsid w:val="005306F4"/>
    <w:rsid w:val="00547B20"/>
    <w:rsid w:val="005646FF"/>
    <w:rsid w:val="005658DC"/>
    <w:rsid w:val="00575D04"/>
    <w:rsid w:val="00576358"/>
    <w:rsid w:val="00583FC7"/>
    <w:rsid w:val="005856DC"/>
    <w:rsid w:val="005A0544"/>
    <w:rsid w:val="005B4990"/>
    <w:rsid w:val="005B6AFB"/>
    <w:rsid w:val="005C1A35"/>
    <w:rsid w:val="005D56F5"/>
    <w:rsid w:val="005E162E"/>
    <w:rsid w:val="005E5485"/>
    <w:rsid w:val="005F3B26"/>
    <w:rsid w:val="00602C3D"/>
    <w:rsid w:val="00604116"/>
    <w:rsid w:val="00613202"/>
    <w:rsid w:val="00621D52"/>
    <w:rsid w:val="00632F77"/>
    <w:rsid w:val="00645675"/>
    <w:rsid w:val="00647B3E"/>
    <w:rsid w:val="0065052E"/>
    <w:rsid w:val="00655B39"/>
    <w:rsid w:val="00660979"/>
    <w:rsid w:val="00661ABB"/>
    <w:rsid w:val="0068562A"/>
    <w:rsid w:val="006A12BE"/>
    <w:rsid w:val="006B1010"/>
    <w:rsid w:val="006B7CC3"/>
    <w:rsid w:val="006C359A"/>
    <w:rsid w:val="006C5778"/>
    <w:rsid w:val="006C6819"/>
    <w:rsid w:val="006D4106"/>
    <w:rsid w:val="006D5022"/>
    <w:rsid w:val="006E4469"/>
    <w:rsid w:val="006E474E"/>
    <w:rsid w:val="006F1022"/>
    <w:rsid w:val="00701146"/>
    <w:rsid w:val="00701850"/>
    <w:rsid w:val="007022E3"/>
    <w:rsid w:val="007063E0"/>
    <w:rsid w:val="00707F14"/>
    <w:rsid w:val="00725769"/>
    <w:rsid w:val="00726406"/>
    <w:rsid w:val="00734E85"/>
    <w:rsid w:val="00761851"/>
    <w:rsid w:val="00763400"/>
    <w:rsid w:val="00766A05"/>
    <w:rsid w:val="00782073"/>
    <w:rsid w:val="007949FA"/>
    <w:rsid w:val="007A34AE"/>
    <w:rsid w:val="007A43D9"/>
    <w:rsid w:val="00802F21"/>
    <w:rsid w:val="00803249"/>
    <w:rsid w:val="00812C90"/>
    <w:rsid w:val="00821A4F"/>
    <w:rsid w:val="00823052"/>
    <w:rsid w:val="00824266"/>
    <w:rsid w:val="00834AB5"/>
    <w:rsid w:val="008370CE"/>
    <w:rsid w:val="00837600"/>
    <w:rsid w:val="0083776C"/>
    <w:rsid w:val="00842453"/>
    <w:rsid w:val="008512FB"/>
    <w:rsid w:val="00876908"/>
    <w:rsid w:val="00877BBF"/>
    <w:rsid w:val="008A033B"/>
    <w:rsid w:val="008B11BB"/>
    <w:rsid w:val="008B301C"/>
    <w:rsid w:val="008B59AC"/>
    <w:rsid w:val="008F093B"/>
    <w:rsid w:val="008F275C"/>
    <w:rsid w:val="008F61D4"/>
    <w:rsid w:val="008F7A3B"/>
    <w:rsid w:val="0090377A"/>
    <w:rsid w:val="00930D70"/>
    <w:rsid w:val="00934A73"/>
    <w:rsid w:val="00937D4E"/>
    <w:rsid w:val="00940786"/>
    <w:rsid w:val="009462F5"/>
    <w:rsid w:val="0095086D"/>
    <w:rsid w:val="00951E69"/>
    <w:rsid w:val="009532AA"/>
    <w:rsid w:val="00953C80"/>
    <w:rsid w:val="0097027F"/>
    <w:rsid w:val="00975C1C"/>
    <w:rsid w:val="00976307"/>
    <w:rsid w:val="00976ADF"/>
    <w:rsid w:val="00985366"/>
    <w:rsid w:val="009922C1"/>
    <w:rsid w:val="009A0C6D"/>
    <w:rsid w:val="009A416E"/>
    <w:rsid w:val="009A5EAA"/>
    <w:rsid w:val="009B6C64"/>
    <w:rsid w:val="009C289B"/>
    <w:rsid w:val="009C7921"/>
    <w:rsid w:val="009D4630"/>
    <w:rsid w:val="009D7AB8"/>
    <w:rsid w:val="00A02633"/>
    <w:rsid w:val="00A104A0"/>
    <w:rsid w:val="00A17CD8"/>
    <w:rsid w:val="00A20B21"/>
    <w:rsid w:val="00A32D1C"/>
    <w:rsid w:val="00A41725"/>
    <w:rsid w:val="00A46205"/>
    <w:rsid w:val="00A53775"/>
    <w:rsid w:val="00A614CE"/>
    <w:rsid w:val="00A74460"/>
    <w:rsid w:val="00A92781"/>
    <w:rsid w:val="00AA688A"/>
    <w:rsid w:val="00AA73E4"/>
    <w:rsid w:val="00AF4978"/>
    <w:rsid w:val="00AF5AD2"/>
    <w:rsid w:val="00B01032"/>
    <w:rsid w:val="00B118A2"/>
    <w:rsid w:val="00B159F7"/>
    <w:rsid w:val="00B242BF"/>
    <w:rsid w:val="00B40BEB"/>
    <w:rsid w:val="00B505C8"/>
    <w:rsid w:val="00B54333"/>
    <w:rsid w:val="00B60E2A"/>
    <w:rsid w:val="00B7168E"/>
    <w:rsid w:val="00B73C17"/>
    <w:rsid w:val="00B76F91"/>
    <w:rsid w:val="00B80062"/>
    <w:rsid w:val="00B80C12"/>
    <w:rsid w:val="00B82B83"/>
    <w:rsid w:val="00B837C0"/>
    <w:rsid w:val="00BA2584"/>
    <w:rsid w:val="00BB3CFF"/>
    <w:rsid w:val="00BD65A1"/>
    <w:rsid w:val="00BE41EB"/>
    <w:rsid w:val="00BE4DB4"/>
    <w:rsid w:val="00C07A3D"/>
    <w:rsid w:val="00C13516"/>
    <w:rsid w:val="00C14A45"/>
    <w:rsid w:val="00C14F38"/>
    <w:rsid w:val="00C21FD5"/>
    <w:rsid w:val="00C2236D"/>
    <w:rsid w:val="00C27CD7"/>
    <w:rsid w:val="00C34B9C"/>
    <w:rsid w:val="00C414D3"/>
    <w:rsid w:val="00C53C58"/>
    <w:rsid w:val="00C61F72"/>
    <w:rsid w:val="00C631DC"/>
    <w:rsid w:val="00C73935"/>
    <w:rsid w:val="00C74063"/>
    <w:rsid w:val="00C77EDE"/>
    <w:rsid w:val="00C819B6"/>
    <w:rsid w:val="00C91F82"/>
    <w:rsid w:val="00C9478E"/>
    <w:rsid w:val="00CA5985"/>
    <w:rsid w:val="00CC10E0"/>
    <w:rsid w:val="00CC4E43"/>
    <w:rsid w:val="00CD01AB"/>
    <w:rsid w:val="00CD554E"/>
    <w:rsid w:val="00CD62C0"/>
    <w:rsid w:val="00CF6682"/>
    <w:rsid w:val="00CF72B7"/>
    <w:rsid w:val="00D02B11"/>
    <w:rsid w:val="00D23AF9"/>
    <w:rsid w:val="00D23FB9"/>
    <w:rsid w:val="00D43AAA"/>
    <w:rsid w:val="00D51CE8"/>
    <w:rsid w:val="00D51EF1"/>
    <w:rsid w:val="00D57051"/>
    <w:rsid w:val="00D57B25"/>
    <w:rsid w:val="00D9173E"/>
    <w:rsid w:val="00D92515"/>
    <w:rsid w:val="00D931BC"/>
    <w:rsid w:val="00DB4664"/>
    <w:rsid w:val="00DB6D37"/>
    <w:rsid w:val="00DC14FA"/>
    <w:rsid w:val="00DC2871"/>
    <w:rsid w:val="00DD21F1"/>
    <w:rsid w:val="00DD5EF2"/>
    <w:rsid w:val="00DD6B54"/>
    <w:rsid w:val="00DE0D17"/>
    <w:rsid w:val="00DE41B2"/>
    <w:rsid w:val="00E3173B"/>
    <w:rsid w:val="00E45646"/>
    <w:rsid w:val="00E503C1"/>
    <w:rsid w:val="00E52C1A"/>
    <w:rsid w:val="00E53BD0"/>
    <w:rsid w:val="00E614F5"/>
    <w:rsid w:val="00E6522D"/>
    <w:rsid w:val="00E75701"/>
    <w:rsid w:val="00E76B36"/>
    <w:rsid w:val="00E80F06"/>
    <w:rsid w:val="00E8388A"/>
    <w:rsid w:val="00E92281"/>
    <w:rsid w:val="00E94E53"/>
    <w:rsid w:val="00E96EED"/>
    <w:rsid w:val="00E975AB"/>
    <w:rsid w:val="00EA1F0B"/>
    <w:rsid w:val="00EA75CF"/>
    <w:rsid w:val="00EB349A"/>
    <w:rsid w:val="00EC0D8F"/>
    <w:rsid w:val="00ED1B5C"/>
    <w:rsid w:val="00ED4468"/>
    <w:rsid w:val="00ED687D"/>
    <w:rsid w:val="00F03C74"/>
    <w:rsid w:val="00F05165"/>
    <w:rsid w:val="00F05532"/>
    <w:rsid w:val="00F13F02"/>
    <w:rsid w:val="00F14664"/>
    <w:rsid w:val="00F14B32"/>
    <w:rsid w:val="00F14B35"/>
    <w:rsid w:val="00F208EF"/>
    <w:rsid w:val="00F20B0C"/>
    <w:rsid w:val="00F30B0F"/>
    <w:rsid w:val="00F42581"/>
    <w:rsid w:val="00F51451"/>
    <w:rsid w:val="00F72892"/>
    <w:rsid w:val="00F825B9"/>
    <w:rsid w:val="00F83242"/>
    <w:rsid w:val="00F868EA"/>
    <w:rsid w:val="00F935C0"/>
    <w:rsid w:val="00F9565A"/>
    <w:rsid w:val="00FA7D4B"/>
    <w:rsid w:val="00FB0837"/>
    <w:rsid w:val="00FE0382"/>
    <w:rsid w:val="00FE412D"/>
    <w:rsid w:val="00FF3E5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SimSun" w:hAnsi="Calibri" w:ascii="Calibri"/>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after="80"/>
    </w:pPr>
    <w:rPr>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rsid w:val="00353136"/>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10697D"/>
    <w:rPr>
      <w:rFonts w:cs="Times New Roman" w:hAnsi="Times New Roman" w:ascii="Times New Roman"/>
      <w:sz w:val="2"/>
      <w:lang w:eastAsia="en-US"/>
    </w:rPr>
  </w:style>
  <w:style w:styleId="Podnoje" w:type="paragraph">
    <w:name w:val="footer"/>
    <w:basedOn w:val="Normal"/>
    <w:link w:val="PodnojeChar"/>
    <w:uiPriority w:val="99"/>
    <w:rsid w:val="00C414D3"/>
    <w:pPr>
      <w:tabs>
        <w:tab w:pos="4536" w:val="center"/>
        <w:tab w:pos="9072" w:val="right"/>
      </w:tabs>
    </w:pPr>
  </w:style>
  <w:style w:customStyle="true" w:styleId="PodnojeChar" w:type="character">
    <w:name w:val="Podnožje Char"/>
    <w:basedOn w:val="Zadanifontodlomka"/>
    <w:link w:val="Podnoje"/>
    <w:uiPriority w:val="99"/>
    <w:semiHidden/>
    <w:locked/>
    <w:rsid w:val="00AF4978"/>
    <w:rPr>
      <w:rFonts w:cs="Times New Roman"/>
      <w:lang w:eastAsia="en-US"/>
    </w:rPr>
  </w:style>
  <w:style w:styleId="Brojstranice" w:type="character">
    <w:name w:val="page number"/>
    <w:basedOn w:val="Zadanifontodlomka"/>
    <w:uiPriority w:val="99"/>
    <w:rsid w:val="00C414D3"/>
    <w:rPr>
      <w:rFonts w:cs="Times New Roman"/>
    </w:rPr>
  </w:style>
  <w:style w:styleId="Tekstrezerviranogmjesta" w:type="character">
    <w:name w:val="Placeholder Text"/>
    <w:basedOn w:val="Zadanifontodlomka"/>
    <w:uiPriority w:val="99"/>
    <w:semiHidden/>
    <w:rsid w:val="00107474"/>
    <w:rPr>
      <w:color w:val="808080"/>
      <w:bdr w:space="0" w:sz="0" w:color="auto" w:val="none"/>
      <w:shd w:fill="auto" w:color="auto" w:val="clear"/>
    </w:rPr>
  </w:style>
  <w:style w:customStyle="true" w:styleId="eSPISCCParagraphDefaultFont" w:type="character">
    <w:name w:val="eSPIS_CC_Paragraph Default Font"/>
    <w:basedOn w:val="Zadanifontodlomka"/>
    <w:rsid w:val="00107474"/>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107474"/>
    <w:rPr>
      <w:rFonts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07474"/>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07474"/>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SimSun" w:hAnsi="Calibri"/>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pPr>
    <w:rPr>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rsid w:val="00353136"/>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10697D"/>
    <w:rPr>
      <w:rFonts w:ascii="Times New Roman" w:cs="Times New Roman" w:hAnsi="Times New Roman"/>
      <w:sz w:val="2"/>
      <w:lang w:eastAsia="en-US"/>
    </w:rPr>
  </w:style>
  <w:style w:styleId="Podnoje" w:type="paragraph">
    <w:name w:val="footer"/>
    <w:basedOn w:val="Normal"/>
    <w:link w:val="PodnojeChar"/>
    <w:uiPriority w:val="99"/>
    <w:rsid w:val="00C414D3"/>
    <w:pPr>
      <w:tabs>
        <w:tab w:pos="4536" w:val="center"/>
        <w:tab w:pos="9072" w:val="right"/>
      </w:tabs>
    </w:pPr>
  </w:style>
  <w:style w:customStyle="1" w:styleId="PodnojeChar" w:type="character">
    <w:name w:val="Podnožje Char"/>
    <w:basedOn w:val="Zadanifontodlomka"/>
    <w:link w:val="Podnoje"/>
    <w:uiPriority w:val="99"/>
    <w:semiHidden/>
    <w:locked/>
    <w:rsid w:val="00AF4978"/>
    <w:rPr>
      <w:rFonts w:cs="Times New Roman"/>
      <w:lang w:eastAsia="en-US"/>
    </w:rPr>
  </w:style>
  <w:style w:styleId="Brojstranice" w:type="character">
    <w:name w:val="page number"/>
    <w:basedOn w:val="Zadanifontodlomka"/>
    <w:uiPriority w:val="99"/>
    <w:rsid w:val="00C414D3"/>
    <w:rPr>
      <w:rFonts w:cs="Times New Roman"/>
    </w:rPr>
  </w:style>
  <w:style w:styleId="Tekstrezerviranogmjesta" w:type="character">
    <w:name w:val="Placeholder Text"/>
    <w:basedOn w:val="Zadanifontodlomka"/>
    <w:uiPriority w:val="99"/>
    <w:semiHidden/>
    <w:rsid w:val="00107474"/>
    <w:rPr>
      <w:color w:val="808080"/>
      <w:bdr w:color="auto" w:space="0" w:sz="0" w:val="none"/>
      <w:shd w:color="auto" w:fill="auto" w:val="clear"/>
    </w:rPr>
  </w:style>
  <w:style w:customStyle="1" w:styleId="eSPISCCParagraphDefaultFont" w:type="character">
    <w:name w:val="eSPIS_CC_Paragraph Default Font"/>
    <w:basedOn w:val="Zadanifontodlomka"/>
    <w:rsid w:val="00107474"/>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107474"/>
    <w:rPr>
      <w:rFonts w:ascii="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07474"/>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07474"/>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1705360">
      <w:marLeft w:val="0"/>
      <w:marRight w:val="0"/>
      <w:marTop w:val="0"/>
      <w:marBottom w:val="0"/>
      <w:divBdr>
        <w:top w:space="0" w:sz="0" w:color="auto" w:val="none"/>
        <w:left w:space="0" w:sz="0" w:color="auto" w:val="none"/>
        <w:bottom w:space="0" w:sz="0" w:color="auto" w:val="none"/>
        <w:right w:space="0" w:sz="0" w:color="auto" w:val="none"/>
      </w:divBdr>
    </w:div>
    <w:div w:id="141705362">
      <w:marLeft w:val="0"/>
      <w:marRight w:val="0"/>
      <w:marTop w:val="0"/>
      <w:marBottom w:val="0"/>
      <w:divBdr>
        <w:top w:space="0" w:sz="0" w:color="auto" w:val="none"/>
        <w:left w:space="0" w:sz="0" w:color="auto" w:val="none"/>
        <w:bottom w:space="0" w:sz="0" w:color="auto" w:val="none"/>
        <w:right w:space="0" w:sz="0" w:color="auto" w:val="none"/>
      </w:divBdr>
      <w:divsChild>
        <w:div w:id="141705361">
          <w:marLeft w:val="0"/>
          <w:marRight w:val="0"/>
          <w:marTop w:val="0"/>
          <w:marBottom w:val="0"/>
          <w:divBdr>
            <w:top w:space="0" w:sz="0" w:color="auto" w:val="none"/>
            <w:left w:space="0" w:sz="0" w:color="auto" w:val="none"/>
            <w:bottom w:space="0" w:sz="0" w:color="auto" w:val="none"/>
            <w:right w:space="0" w:sz="0" w:color="auto" w:val="none"/>
          </w:divBdr>
        </w:div>
      </w:divsChild>
    </w:div>
    <w:div w:id="141705364">
      <w:marLeft w:val="0"/>
      <w:marRight w:val="0"/>
      <w:marTop w:val="0"/>
      <w:marBottom w:val="0"/>
      <w:divBdr>
        <w:top w:space="0" w:sz="0" w:color="auto" w:val="none"/>
        <w:left w:space="0" w:sz="0" w:color="auto" w:val="none"/>
        <w:bottom w:space="0" w:sz="0" w:color="auto" w:val="none"/>
        <w:right w:space="0" w:sz="0" w:color="auto" w:val="none"/>
      </w:divBdr>
      <w:divsChild>
        <w:div w:id="141705363">
          <w:marLeft w:val="0"/>
          <w:marRight w:val="0"/>
          <w:marTop w:val="0"/>
          <w:marBottom w:val="0"/>
          <w:divBdr>
            <w:top w:space="0" w:sz="0" w:color="auto" w:val="none"/>
            <w:left w:space="0" w:sz="0" w:color="auto" w:val="none"/>
            <w:bottom w:space="0" w:sz="0" w:color="auto" w:val="none"/>
            <w:right w:space="0" w:sz="0" w:color="auto" w:val="none"/>
          </w:divBdr>
        </w:div>
      </w:divsChild>
    </w:div>
    <w:div w:id="141705365">
      <w:marLeft w:val="0"/>
      <w:marRight w:val="0"/>
      <w:marTop w:val="0"/>
      <w:marBottom w:val="0"/>
      <w:divBdr>
        <w:top w:space="0" w:sz="0" w:color="auto" w:val="none"/>
        <w:left w:space="0" w:sz="0" w:color="auto" w:val="none"/>
        <w:bottom w:space="0" w:sz="0" w:color="auto" w:val="none"/>
        <w:right w:space="0" w:sz="0" w:color="auto" w:val="none"/>
      </w:divBdr>
    </w:div>
    <w:div w:id="141705366">
      <w:marLeft w:val="0"/>
      <w:marRight w:val="0"/>
      <w:marTop w:val="0"/>
      <w:marBottom w:val="0"/>
      <w:divBdr>
        <w:top w:space="0" w:sz="0" w:color="auto" w:val="none"/>
        <w:left w:space="0" w:sz="0" w:color="auto" w:val="none"/>
        <w:bottom w:space="0" w:sz="0" w:color="auto" w:val="none"/>
        <w:right w:space="0" w:sz="0" w:color="auto" w:val="none"/>
      </w:divBdr>
    </w:div>
    <w:div w:id="141705368">
      <w:marLeft w:val="0"/>
      <w:marRight w:val="0"/>
      <w:marTop w:val="0"/>
      <w:marBottom w:val="0"/>
      <w:divBdr>
        <w:top w:space="0" w:sz="0" w:color="auto" w:val="none"/>
        <w:left w:space="0" w:sz="0" w:color="auto" w:val="none"/>
        <w:bottom w:space="0" w:sz="0" w:color="auto" w:val="none"/>
        <w:right w:space="0" w:sz="0" w:color="auto" w:val="none"/>
      </w:divBdr>
      <w:divsChild>
        <w:div w:id="141705367">
          <w:marLeft w:val="0"/>
          <w:marRight w:val="0"/>
          <w:marTop w:val="0"/>
          <w:marBottom w:val="0"/>
          <w:divBdr>
            <w:top w:space="0" w:sz="0" w:color="auto" w:val="none"/>
            <w:left w:space="0" w:sz="0" w:color="auto" w:val="none"/>
            <w:bottom w:space="0" w:sz="0" w:color="auto" w:val="none"/>
            <w:right w:space="0" w:sz="0" w:color="auto" w:val="none"/>
          </w:divBdr>
        </w:div>
      </w:divsChild>
    </w:div>
    <w:div w:id="141705369">
      <w:marLeft w:val="0"/>
      <w:marRight w:val="0"/>
      <w:marTop w:val="0"/>
      <w:marBottom w:val="0"/>
      <w:divBdr>
        <w:top w:space="0" w:sz="0" w:color="auto" w:val="none"/>
        <w:left w:space="0" w:sz="0" w:color="auto" w:val="none"/>
        <w:bottom w:space="0" w:sz="0" w:color="auto" w:val="none"/>
        <w:right w:space="0" w:sz="0" w:color="auto" w:val="none"/>
      </w:divBdr>
    </w:div>
    <w:div w:id="141705370">
      <w:marLeft w:val="0"/>
      <w:marRight w:val="0"/>
      <w:marTop w:val="0"/>
      <w:marBottom w:val="0"/>
      <w:divBdr>
        <w:top w:space="0" w:sz="0" w:color="auto" w:val="none"/>
        <w:left w:space="0" w:sz="0" w:color="auto" w:val="none"/>
        <w:bottom w:space="0" w:sz="0" w:color="auto" w:val="none"/>
        <w:right w:space="0" w:sz="0" w:color="auto" w:val="none"/>
      </w:divBdr>
      <w:divsChild>
        <w:div w:id="141705379">
          <w:marLeft w:val="0"/>
          <w:marRight w:val="0"/>
          <w:marTop w:val="0"/>
          <w:marBottom w:val="0"/>
          <w:divBdr>
            <w:top w:space="0" w:sz="0" w:color="auto" w:val="none"/>
            <w:left w:space="0" w:sz="0" w:color="auto" w:val="none"/>
            <w:bottom w:space="0" w:sz="0" w:color="auto" w:val="none"/>
            <w:right w:space="0" w:sz="0" w:color="auto" w:val="none"/>
          </w:divBdr>
        </w:div>
      </w:divsChild>
    </w:div>
    <w:div w:id="141705371">
      <w:marLeft w:val="0"/>
      <w:marRight w:val="0"/>
      <w:marTop w:val="0"/>
      <w:marBottom w:val="0"/>
      <w:divBdr>
        <w:top w:space="0" w:sz="0" w:color="auto" w:val="none"/>
        <w:left w:space="0" w:sz="0" w:color="auto" w:val="none"/>
        <w:bottom w:space="0" w:sz="0" w:color="auto" w:val="none"/>
        <w:right w:space="0" w:sz="0" w:color="auto" w:val="none"/>
      </w:divBdr>
    </w:div>
    <w:div w:id="141705372">
      <w:marLeft w:val="0"/>
      <w:marRight w:val="0"/>
      <w:marTop w:val="0"/>
      <w:marBottom w:val="0"/>
      <w:divBdr>
        <w:top w:space="0" w:sz="0" w:color="auto" w:val="none"/>
        <w:left w:space="0" w:sz="0" w:color="auto" w:val="none"/>
        <w:bottom w:space="0" w:sz="0" w:color="auto" w:val="none"/>
        <w:right w:space="0" w:sz="0" w:color="auto" w:val="none"/>
      </w:divBdr>
      <w:divsChild>
        <w:div w:id="141705374">
          <w:marLeft w:val="0"/>
          <w:marRight w:val="0"/>
          <w:marTop w:val="0"/>
          <w:marBottom w:val="0"/>
          <w:divBdr>
            <w:top w:space="0" w:sz="0" w:color="auto" w:val="none"/>
            <w:left w:space="0" w:sz="0" w:color="auto" w:val="none"/>
            <w:bottom w:space="0" w:sz="0" w:color="auto" w:val="none"/>
            <w:right w:space="0" w:sz="0" w:color="auto" w:val="none"/>
          </w:divBdr>
        </w:div>
      </w:divsChild>
    </w:div>
    <w:div w:id="141705375">
      <w:marLeft w:val="0"/>
      <w:marRight w:val="0"/>
      <w:marTop w:val="0"/>
      <w:marBottom w:val="0"/>
      <w:divBdr>
        <w:top w:space="0" w:sz="0" w:color="auto" w:val="none"/>
        <w:left w:space="0" w:sz="0" w:color="auto" w:val="none"/>
        <w:bottom w:space="0" w:sz="0" w:color="auto" w:val="none"/>
        <w:right w:space="0" w:sz="0" w:color="auto" w:val="none"/>
      </w:divBdr>
    </w:div>
    <w:div w:id="141705376">
      <w:marLeft w:val="0"/>
      <w:marRight w:val="0"/>
      <w:marTop w:val="0"/>
      <w:marBottom w:val="0"/>
      <w:divBdr>
        <w:top w:space="0" w:sz="0" w:color="auto" w:val="none"/>
        <w:left w:space="0" w:sz="0" w:color="auto" w:val="none"/>
        <w:bottom w:space="0" w:sz="0" w:color="auto" w:val="none"/>
        <w:right w:space="0" w:sz="0" w:color="auto" w:val="none"/>
      </w:divBdr>
    </w:div>
    <w:div w:id="141705377">
      <w:marLeft w:val="0"/>
      <w:marRight w:val="0"/>
      <w:marTop w:val="0"/>
      <w:marBottom w:val="0"/>
      <w:divBdr>
        <w:top w:space="0" w:sz="0" w:color="auto" w:val="none"/>
        <w:left w:space="0" w:sz="0" w:color="auto" w:val="none"/>
        <w:bottom w:space="0" w:sz="0" w:color="auto" w:val="none"/>
        <w:right w:space="0" w:sz="0" w:color="auto" w:val="none"/>
      </w:divBdr>
      <w:divsChild>
        <w:div w:id="141705373">
          <w:marLeft w:val="0"/>
          <w:marRight w:val="0"/>
          <w:marTop w:val="0"/>
          <w:marBottom w:val="0"/>
          <w:divBdr>
            <w:top w:space="0" w:sz="0" w:color="auto" w:val="none"/>
            <w:left w:space="0" w:sz="0" w:color="auto" w:val="none"/>
            <w:bottom w:space="0" w:sz="0" w:color="auto" w:val="none"/>
            <w:right w:space="0" w:sz="0" w:color="auto" w:val="none"/>
          </w:divBdr>
        </w:div>
      </w:divsChild>
    </w:div>
    <w:div w:id="141705378">
      <w:marLeft w:val="0"/>
      <w:marRight w:val="0"/>
      <w:marTop w:val="0"/>
      <w:marBottom w:val="0"/>
      <w:divBdr>
        <w:top w:space="0" w:sz="0" w:color="auto" w:val="none"/>
        <w:left w:space="0" w:sz="0" w:color="auto" w:val="none"/>
        <w:bottom w:space="0" w:sz="0" w:color="auto" w:val="none"/>
        <w:right w:space="0" w:sz="0" w:color="auto" w:val="none"/>
      </w:divBdr>
    </w:div>
    <w:div w:id="141705380">
      <w:marLeft w:val="0"/>
      <w:marRight w:val="0"/>
      <w:marTop w:val="0"/>
      <w:marBottom w:val="0"/>
      <w:divBdr>
        <w:top w:space="0" w:sz="0" w:color="auto" w:val="none"/>
        <w:left w:space="0" w:sz="0" w:color="auto" w:val="none"/>
        <w:bottom w:space="0" w:sz="0" w:color="auto" w:val="none"/>
        <w:right w:space="0" w:sz="0" w:color="auto" w:val="none"/>
      </w:divBdr>
    </w:div>
    <w:div w:id="141705381">
      <w:marLeft w:val="0"/>
      <w:marRight w:val="0"/>
      <w:marTop w:val="0"/>
      <w:marBottom w:val="0"/>
      <w:divBdr>
        <w:top w:space="0" w:sz="0" w:color="auto" w:val="none"/>
        <w:left w:space="0" w:sz="0" w:color="auto" w:val="none"/>
        <w:bottom w:space="0" w:sz="0" w:color="auto" w:val="none"/>
        <w:right w:space="0" w:sz="0" w:color="auto" w:val="none"/>
      </w:divBdr>
    </w:div>
    <w:div w:id="141705382">
      <w:marLeft w:val="0"/>
      <w:marRight w:val="0"/>
      <w:marTop w:val="0"/>
      <w:marBottom w:val="0"/>
      <w:divBdr>
        <w:top w:space="0" w:sz="0" w:color="auto" w:val="none"/>
        <w:left w:space="0" w:sz="0" w:color="auto" w:val="none"/>
        <w:bottom w:space="0" w:sz="0" w:color="auto" w:val="none"/>
        <w:right w:space="0" w:sz="0" w:color="auto" w:val="none"/>
      </w:divBdr>
    </w:div>
    <w:div w:id="141705383">
      <w:marLeft w:val="0"/>
      <w:marRight w:val="0"/>
      <w:marTop w:val="0"/>
      <w:marBottom w:val="0"/>
      <w:divBdr>
        <w:top w:space="0" w:sz="0" w:color="auto" w:val="none"/>
        <w:left w:space="0" w:sz="0" w:color="auto" w:val="none"/>
        <w:bottom w:space="0" w:sz="0" w:color="auto" w:val="none"/>
        <w:right w:space="0" w:sz="0" w:color="auto" w:val="none"/>
      </w:divBdr>
    </w:div>
    <w:div w:id="141705384">
      <w:marLeft w:val="0"/>
      <w:marRight w:val="0"/>
      <w:marTop w:val="0"/>
      <w:marBottom w:val="0"/>
      <w:divBdr>
        <w:top w:space="0" w:sz="0" w:color="auto" w:val="none"/>
        <w:left w:space="0" w:sz="0" w:color="auto" w:val="none"/>
        <w:bottom w:space="0" w:sz="0" w:color="auto" w:val="none"/>
        <w:right w:space="0" w:sz="0" w:color="auto" w:val="none"/>
      </w:divBdr>
    </w:div>
    <w:div w:id="141705385">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St-47/2004-32</izvorni_sadrzaj>
    <derivirana_varijabla naziv="DomainObject.Oznaka_1">St-47/2004-32</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izvorni_sadrzaj>
    <derivirana_varijabla naziv="DomainObject.Predmet.Broj_1">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lipnja 2004.</izvorni_sadrzaj>
    <derivirana_varijabla naziv="DomainObject.Predmet.DatumOsnivanja_1">18. lipnja 2004.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MIGRIRANO IZ IN2 IN2 napomene: 2004-03-15 PREDMET Ustup Ts-a Split St-255/03 rj. od 16.02.04. IN2 napomene: 2011-03-01 PREDMET podnesak Državnog odvjetništva od03.01.2011. IN2 napomene: 2007-02-15 PREDMET podnesak (Robson holdings d.o.o.) od 15.02.2007. IN2 napomene: 2007-02-23 PREDMET podn. Robson Holdings d.o.o. 22.02.07. IN2 napomene: 2007-02-28 PREDMET ogl.pl. 28.02.07. IN2 napomene: 2008-01-31 PREDMET spis presigniran iz ref. suca Šimundića u  ref. sutkinje Rundek rj. od 31.01.2008. 10 Su-30/08 IN2 napomene: 2008-02-06 PREDMET vraćen spis sa uvida Ustavnog suda RH od 05.02.2008. IN2 napomene: 2008-03-21 PREDMET spis presigniran iz ref. sutkinje Rundek rj. od 20.03.2008. 10 Su-30/08 u ref. sutkinje Malenica IN2 napomene: 2008-06-19 PREDMET podnesak (Novi Salonit d.o.o.) od 18.06.2008. IN2 napomene: 2008-07-14 PREDMET podnesak ROBSON HOLDINGS d.o.o. IN2 napomene: 2008-12-23 PREDMET ogl.ploča od 21.11.2008. IN2 napomene: 2009-04-30 PREDMET ogl.ploča od 21.04.2009. IN2 napomene: 2009-05-14 PREDMET podnesak (Novi salonit d.o.o.) od 13.05.2009. IN2 napomene: 2009-10-26 PREDMET podnesak (OS Split) od 19.10.2009. IN2 napomene: 2009-11-11 PREDMET podnesak (OS Split) od 10.11.2009. Povijest stečajnih upravitelja: 18.06.2004.-20.04.2009. DAMIR MIKIĆ; 20.04.2009.- PERO HRKAČ;</izvorni_sadrzaj>
    <derivirana_varijabla naziv="DomainObject.Predmet.Opis_1">MIGRIRANO IZ IN2 IN2 napomene: 2004-03-15 PREDMET Ustup Ts-a Split St-255/03 rj. od 16.02.04. IN2 napomene: 2011-03-01 PREDMET podnesak Državnog odvjetništva od03.01.2011. IN2 napomene: 2007-02-15 PREDMET podnesak (Robson holdings d.o.o.) od 15.02.2007. IN2 napomene: 2007-02-23 PREDMET podn. Robson Holdings d.o.o. 22.02.07. IN2 napomene: 2007-02-28 PREDMET ogl.pl. 28.02.07. IN2 napomene: 2008-01-31 PREDMET spis presigniran iz ref. suca Šimundića u  ref. sutkinje Rundek rj. od 31.01.2008. 10 Su-30/08 IN2 napomene: 2008-02-06 PREDMET vraćen spis sa uvida Ustavnog suda RH od 05.02.2008. IN2 napomene: 2008-03-21 PREDMET spis presigniran iz ref. sutkinje Rundek rj. od 20.03.2008. 10 Su-30/08 u ref. sutkinje Malenica IN2 napomene: 2008-06-19 PREDMET podnesak (Novi Salonit d.o.o.) od 18.06.2008. IN2 napomene: 2008-07-14 PREDMET podnesak ROBSON HOLDINGS d.o.o. IN2 napomene: 2008-12-23 PREDMET ogl.ploča od 21.11.2008. IN2 napomene: 2009-04-30 PREDMET ogl.ploča od 21.04.2009. IN2 napomene: 2009-05-14 PREDMET podnesak (Novi salonit d.o.o.) od 13.05.2009. IN2 napomene: 2009-10-26 PREDMET podnesak (OS Split) od 19.10.2009. IN2 napomene: 2009-11-11 PREDMET podnesak (OS Split) od 10.11.2009. Povijest stečajnih upravitelja: 18.06.2004.-20.04.2009. DAMIR MIKIĆ; 20.04.2009.- PERO HRKAČ;</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St-47/2004</izvorni_sadrzaj>
    <derivirana_varijabla naziv="DomainObject.Predmet.OznakaBroj_1">St-47/2004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1-5 u IP ormar 19
6. svežanj u kal.</izvorni_sadrzaj>
    <derivirana_varijabla naziv="DomainObject.Predmet.PrimjedbaSuca_1">1-5 u IP ormar 19
6. svežanj u kal.</derivirana_varijabla>
  </DomainObject.Predmet.PrimjedbaSuca>
  <DomainObject.Predmet.ProtustrankaFormated>
    <izvorni_sadrzaj>  NOVI SALONIT društvo s ograničenom odgovornošću za proizvodnju, trgovinu i usluge</izvorni_sadrzaj>
    <derivirana_varijabla naziv="DomainObject.Predmet.ProtustrankaFormated_1">  NOVI SALONIT društvo s ograničenom odgovornošću za proizvodnju, trgovinu i usluge</derivirana_varijabla>
  </DomainObject.Predmet.ProtustrankaFormated>
  <DomainObject.Predmet.ProtustrankaFormatedOIB>
    <izvorni_sadrzaj>  NOVI SALONIT društvo s ograničenom odgovornošću za proizvodnju, trgovinu i usluge, OIB 74737876059</izvorni_sadrzaj>
    <derivirana_varijabla naziv="DomainObject.Predmet.ProtustrankaFormatedOIB_1">  NOVI SALONIT društvo s ograničenom odgovornošću za proizvodnju, trgovinu i usluge, OIB 74737876059</derivirana_varijabla>
  </DomainObject.Predmet.ProtustrankaFormatedOIB>
  <DomainObject.Predmet.ProtustrankaFormatedWithAdress>
    <izvorni_sadrzaj> NOVI SALONIT društvo s ograničenom odgovornošću za proizvodnju, trgovinu i usluge, Radnička Cesta 27, 10000 Zagreb</izvorni_sadrzaj>
    <derivirana_varijabla naziv="DomainObject.Predmet.ProtustrankaFormatedWithAdress_1"> NOVI SALONIT društvo s ograničenom odgovornošću za proizvodnju, trgovinu i usluge, Radnička Cesta 27, 10000 Zagreb</derivirana_varijabla>
  </DomainObject.Predmet.ProtustrankaFormatedWithAdress>
  <DomainObject.Predmet.ProtustrankaFormatedWithAdressOIB>
    <izvorni_sadrzaj> NOVI SALONIT društvo s ograničenom odgovornošću za proizvodnju, trgovinu i usluge, OIB 74737876059, Radnička Cesta 27, 10000 Zagreb</izvorni_sadrzaj>
    <derivirana_varijabla naziv="DomainObject.Predmet.ProtustrankaFormatedWithAdressOIB_1"> NOVI SALONIT društvo s ograničenom odgovornošću za proizvodnju, trgovinu i usluge, OIB 74737876059, Radnička Cesta 27, 10000 Zagreb</derivirana_varijabla>
  </DomainObject.Predmet.ProtustrankaFormatedWithAdressOIB>
  <DomainObject.Predmet.ProtustrankaWithAdress>
    <izvorni_sadrzaj>NOVI SALONIT društvo s ograničenom odgovornošću za proizvodnju, trgovinu i usluge Radnička Cesta 27, 10000 Zagreb</izvorni_sadrzaj>
    <derivirana_varijabla naziv="DomainObject.Predmet.ProtustrankaWithAdress_1">NOVI SALONIT društvo s ograničenom odgovornošću za proizvodnju, trgovinu i usluge Radnička Cesta 27, 10000 Zagreb</derivirana_varijabla>
  </DomainObject.Predmet.ProtustrankaWithAdress>
  <DomainObject.Predmet.ProtustrankaWithAdressOIB>
    <izvorni_sadrzaj>NOVI SALONIT društvo s ograničenom odgovornošću za proizvodnju, trgovinu i usluge, OIB 74737876059, Radnička Cesta 27, 10000 Zagreb</izvorni_sadrzaj>
    <derivirana_varijabla naziv="DomainObject.Predmet.ProtustrankaWithAdressOIB_1">NOVI SALONIT društvo s ograničenom odgovornošću za proizvodnju, trgovinu i usluge, OIB 74737876059, Radnička Cesta 27, 10000 Zagreb</derivirana_varijabla>
  </DomainObject.Predmet.ProtustrankaWithAdressOIB>
  <DomainObject.Predmet.ProtustrankaNazivFormated>
    <izvorni_sadrzaj>NOVI SALONIT društvo s ograničenom odgovornošću za proizvodnju, trgovinu i usluge</izvorni_sadrzaj>
    <derivirana_varijabla naziv="DomainObject.Predmet.ProtustrankaNazivFormated_1">NOVI SALONIT društvo s ograničenom odgovornošću za proizvodnju, trgovinu i usluge</derivirana_varijabla>
  </DomainObject.Predmet.ProtustrankaNazivFormated>
  <DomainObject.Predmet.ProtustrankaNazivFormatedOIB>
    <izvorni_sadrzaj>NOVI SALONIT društvo s ograničenom odgovornošću za proizvodnju, trgovinu i usluge, OIB 74737876059</izvorni_sadrzaj>
    <derivirana_varijabla naziv="DomainObject.Predmet.ProtustrankaNazivFormatedOIB_1">NOVI SALONIT društvo s ograničenom odgovornošću za proizvodnju, trgovinu i usluge, OIB 74737876059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financija,Porezna uprava / - REPUBLIKA HRVATSKA Ministarstvo financija,Porezna uprava</izvorni_sadrzaj>
    <derivirana_varijabla naziv="DomainObject.Predmet.StrankaFormated_1">  REPUBLIKA HRVATSKA Ministarstvo financija,Porezna uprava / - REPUBLIKA HRVATSKA Ministarstvo financija,Porezna uprava</derivirana_varijabla>
  </DomainObject.Predmet.StrankaFormated>
  <DomainObject.Predmet.StrankaFormatedOIB>
    <izvorni_sadrzaj>  REPUBLIKA HRVATSKA Ministarstvo financija,Porezna uprava / - REPUBLIKA HRVATSKA Ministarstvo financija,Porezna uprava, OIB 18683136487</izvorni_sadrzaj>
    <derivirana_varijabla naziv="DomainObject.Predmet.StrankaFormatedOIB_1">  REPUBLIKA HRVATSKA Ministarstvo financija,Porezna uprava / - REPUBLIKA HRVATSKA Ministarstvo financija,Porezna uprava, OIB 18683136487</derivirana_varijabla>
  </DomainObject.Predmet.StrankaFormatedOIB>
  <DomainObject.Predmet.StrankaFormatedWithAdress>
    <izvorni_sadrzaj> REPUBLIKA HRVATSKA Ministarstvo financija,Porezna uprava / - REPUBLIKA HRVATSKA Ministarstvo financija,Porezna uprava</izvorni_sadrzaj>
    <derivirana_varijabla naziv="DomainObject.Predmet.StrankaFormatedWithAdress_1"> REPUBLIKA HRVATSKA Ministarstvo financija,Porezna uprava / - REPUBLIKA HRVATSKA Ministarstvo financija,Porezna uprava</derivirana_varijabla>
  </DomainObject.Predmet.StrankaFormatedWithAdress>
  <DomainObject.Predmet.StrankaFormatedWithAdressOIB>
    <izvorni_sadrzaj> REPUBLIKA HRVATSKA Ministarstvo financija,Porezna uprava / - REPUBLIKA HRVATSKA Ministarstvo financija,Porezna uprava, OIB 18683136487</izvorni_sadrzaj>
    <derivirana_varijabla naziv="DomainObject.Predmet.StrankaFormatedWithAdressOIB_1"> REPUBLIKA HRVATSKA Ministarstvo financija,Porezna uprava / - REPUBLIKA HRVATSKA Ministarstvo financija,Porezna uprava, OIB 18683136487</derivirana_varijabla>
  </DomainObject.Predmet.StrankaFormatedWithAdressOIB>
  <DomainObject.Predmet.StrankaWithAdress>
    <izvorni_sadrzaj>REPUBLIKA HRVATSKA Ministarstvo financija,Porezna uprava / - REPUBLIKA HRVATSKA Ministarstvo financija,Porezna uprava </izvorni_sadrzaj>
    <derivirana_varijabla naziv="DomainObject.Predmet.StrankaWithAdress_1">REPUBLIKA HRVATSKA Ministarstvo financija,Porezna uprava / - REPUBLIKA HRVATSKA Ministarstvo financija,Porezna uprava </derivirana_varijabla>
  </DomainObject.Predmet.StrankaWithAdress>
  <DomainObject.Predmet.StrankaWithAdressOIB>
    <izvorni_sadrzaj>REPUBLIKA HRVATSKA Ministarstvo financija,Porezna uprava / - REPUBLIKA HRVATSKA Ministarstvo financija,Porezna uprava, OIB 18683136487</izvorni_sadrzaj>
    <derivirana_varijabla naziv="DomainObject.Predmet.StrankaWithAdressOIB_1">REPUBLIKA HRVATSKA Ministarstvo financija,Porezna uprava / - REPUBLIKA HRVATSKA Ministarstvo financija,Porezna uprava, OIB 18683136487</derivirana_varijabla>
  </DomainObject.Predmet.StrankaWithAdressOIB>
  <DomainObject.Predmet.StrankaNazivFormated>
    <izvorni_sadrzaj>REPUBLIKA HRVATSKA Ministarstvo financija,Porezna uprava / - REPUBLIKA HRVATSKA Ministarstvo financija,Porezna uprava</izvorni_sadrzaj>
    <derivirana_varijabla naziv="DomainObject.Predmet.StrankaNazivFormated_1">REPUBLIKA HRVATSKA Ministarstvo financija,Porezna uprava / - REPUBLIKA HRVATSKA Ministarstvo financija,Porezna uprava</derivirana_varijabla>
  </DomainObject.Predmet.StrankaNazivFormated>
  <DomainObject.Predmet.StrankaNazivFormatedOIB>
    <izvorni_sadrzaj>REPUBLIKA HRVATSKA Ministarstvo financija,Porezna uprava / - REPUBLIKA HRVATSKA Ministarstvo financija,Porezna uprava, OIB 18683136487</izvorni_sadrzaj>
    <derivirana_varijabla naziv="DomainObject.Predmet.StrankaNazivFormatedOIB_1">REPUBLIKA HRVATSKA Ministarstvo financija,Porezna uprava / - REPUBLIKA HRVATSKA Ministarstvo financija,Porezna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REPUBLIKA HRVATSKA Ministarstvo financija,Porezna uprava / - REPUBLIKA HRVATSKA Ministarstvo financija,Porezna uprava</item>
    </izvorni_sadrzaj>
    <derivirana_varijabla naziv="DomainObject.Predmet.StrankaListFormated_1">
      <item>REPUBLIKA HRVATSKA Ministarstvo financija,Porezna uprava / - REPUBLIKA HRVATSKA Ministarstvo financija,Porezna uprava</item>
    </derivirana_varijabla>
  </DomainObject.Predmet.StrankaListFormated>
  <DomainObject.Predmet.StrankaListFormatedOIB>
    <izvorni_sadrzaj>
      <item>REPUBLIKA HRVATSKA Ministarstvo financija,Porezna uprava / - REPUBLIKA HRVATSKA Ministarstvo financija,Porezna uprava, OIB 18683136487</item>
    </izvorni_sadrzaj>
    <derivirana_varijabla naziv="DomainObject.Predmet.StrankaListFormatedOIB_1">
      <item>REPUBLIKA HRVATSKA Ministarstvo financija,Porezna uprava / - REPUBLIKA HRVATSKA Ministarstvo financija,Porezna uprava, OIB 18683136487</item>
    </derivirana_varijabla>
  </DomainObject.Predmet.StrankaListFormatedOIB>
  <DomainObject.Predmet.StrankaListFormatedWithAdress>
    <izvorni_sadrzaj>
      <item>REPUBLIKA HRVATSKA Ministarstvo financija,Porezna uprava / - REPUBLIKA HRVATSKA Ministarstvo financija,Porezna uprava</item>
    </izvorni_sadrzaj>
    <derivirana_varijabla naziv="DomainObject.Predmet.StrankaListFormatedWithAdress_1">
      <item>REPUBLIKA HRVATSKA Ministarstvo financija,Porezna uprava / - REPUBLIKA HRVATSKA Ministarstvo financija,Porezna uprava</item>
    </derivirana_varijabla>
  </DomainObject.Predmet.StrankaListFormatedWithAdress>
  <DomainObject.Predmet.StrankaListFormatedWithAdressOIB>
    <izvorni_sadrzaj>
      <item>REPUBLIKA HRVATSKA Ministarstvo financija,Porezna uprava / - REPUBLIKA HRVATSKA Ministarstvo financija,Porezna uprava, OIB 18683136487</item>
    </izvorni_sadrzaj>
    <derivirana_varijabla naziv="DomainObject.Predmet.StrankaListFormatedWithAdressOIB_1">
      <item>REPUBLIKA HRVATSKA Ministarstvo financija,Porezna uprava / - REPUBLIKA HRVATSKA Ministarstvo financija,Porezna uprava, OIB 18683136487</item>
    </derivirana_varijabla>
  </DomainObject.Predmet.StrankaListFormatedWithAdressOIB>
  <DomainObject.Predmet.StrankaListNazivFormated>
    <izvorni_sadrzaj>
      <item>REPUBLIKA HRVATSKA Ministarstvo financija,Porezna uprava / - REPUBLIKA HRVATSKA Ministarstvo financija,Porezna uprava</item>
    </izvorni_sadrzaj>
    <derivirana_varijabla naziv="DomainObject.Predmet.StrankaListNazivFormated_1">
      <item>REPUBLIKA HRVATSKA Ministarstvo financija,Porezna uprava / - REPUBLIKA HRVATSKA Ministarstvo financija,Porezna uprava</item>
    </derivirana_varijabla>
  </DomainObject.Predmet.StrankaListNazivFormated>
  <DomainObject.Predmet.StrankaListNazivFormatedOIB>
    <izvorni_sadrzaj>
      <item>REPUBLIKA HRVATSKA Ministarstvo financija,Porezna uprava / - REPUBLIKA HRVATSKA Ministarstvo financija,Porezna uprava, OIB 18683136487</item>
    </izvorni_sadrzaj>
    <derivirana_varijabla naziv="DomainObject.Predmet.StrankaListNazivFormatedOIB_1">
      <item>REPUBLIKA HRVATSKA Ministarstvo financija,Porezna uprava / - REPUBLIKA HRVATSKA Ministarstvo financija,Porezna uprava, OIB 18683136487</item>
    </derivirana_varijabla>
  </DomainObject.Predmet.StrankaListNazivFormatedOIB>
  <DomainObject.Predmet.ProtuStrankaListFormated>
    <izvorni_sadrzaj>
      <item>NOVI SALONIT društvo s ograničenom odgovornošću za proizvodnju, trgovinu i usluge</item>
    </izvorni_sadrzaj>
    <derivirana_varijabla naziv="DomainObject.Predmet.ProtuStrankaListFormated_1">
      <item>NOVI SALONIT društvo s ograničenom odgovornošću za proizvodnju, trgovinu i usluge</item>
    </derivirana_varijabla>
  </DomainObject.Predmet.ProtuStrankaListFormated>
  <DomainObject.Predmet.ProtuStrankaListFormatedOIB>
    <izvorni_sadrzaj>
      <item>NOVI SALONIT društvo s ograničenom odgovornošću za proizvodnju, trgovinu i usluge, OIB 74737876059</item>
    </izvorni_sadrzaj>
    <derivirana_varijabla naziv="DomainObject.Predmet.ProtuStrankaListFormatedOIB_1">
      <item>NOVI SALONIT društvo s ograničenom odgovornošću za proizvodnju, trgovinu i usluge, OIB 74737876059</item>
    </derivirana_varijabla>
  </DomainObject.Predmet.ProtuStrankaListFormatedOIB>
  <DomainObject.Predmet.ProtuStrankaListFormatedWithAdress>
    <izvorni_sadrzaj>
      <item>NOVI SALONIT društvo s ograničenom odgovornošću za proizvodnju, trgovinu i usluge, Radnička Cesta 27, 10000 Zagreb</item>
    </izvorni_sadrzaj>
    <derivirana_varijabla naziv="DomainObject.Predmet.ProtuStrankaListFormatedWithAdress_1">
      <item>NOVI SALONIT društvo s ograničenom odgovornošću za proizvodnju, trgovinu i usluge, Radnička Cesta 27, 10000 Zagreb</item>
    </derivirana_varijabla>
  </DomainObject.Predmet.ProtuStrankaListFormatedWithAdress>
  <DomainObject.Predmet.ProtuStrankaListFormatedWithAdressOIB>
    <izvorni_sadrzaj>
      <item>NOVI SALONIT društvo s ograničenom odgovornošću za proizvodnju, trgovinu i usluge, OIB 74737876059, Radnička Cesta 27, 10000 Zagreb</item>
    </izvorni_sadrzaj>
    <derivirana_varijabla naziv="DomainObject.Predmet.ProtuStrankaListFormatedWithAdressOIB_1">
      <item>NOVI SALONIT društvo s ograničenom odgovornošću za proizvodnju, trgovinu i usluge, OIB 74737876059, Radnička Cesta 27, 10000 Zagreb</item>
    </derivirana_varijabla>
  </DomainObject.Predmet.ProtuStrankaListFormatedWithAdressOIB>
  <DomainObject.Predmet.ProtuStrankaListNazivFormated>
    <izvorni_sadrzaj>
      <item>NOVI SALONIT društvo s ograničenom odgovornošću za proizvodnju, trgovinu i usluge</item>
    </izvorni_sadrzaj>
    <derivirana_varijabla naziv="DomainObject.Predmet.ProtuStrankaListNazivFormated_1">
      <item>NOVI SALONIT društvo s ograničenom odgovornošću za proizvodnju, trgovinu i usluge</item>
    </derivirana_varijabla>
  </DomainObject.Predmet.ProtuStrankaListNazivFormated>
  <DomainObject.Predmet.ProtuStrankaListNazivFormatedOIB>
    <izvorni_sadrzaj>
      <item>NOVI SALONIT društvo s ograničenom odgovornošću za proizvodnju, trgovinu i usluge, OIB 74737876059</item>
    </izvorni_sadrzaj>
    <derivirana_varijabla naziv="DomainObject.Predmet.ProtuStrankaListNazivFormatedOIB_1">
      <item>NOVI SALONIT društvo s ograničenom odgovornošću za proizvodnju, trgovinu i usluge, OIB 74737876059</item>
    </derivirana_varijabla>
  </DomainObject.Predmet.ProtuStrankaListNazivFormatedOIB>
  <DomainObject.Predmet.OstaliListFormated>
    <izvorni_sadrzaj>
      <item>Pero Hrkać</item>
    </izvorni_sadrzaj>
    <derivirana_varijabla naziv="DomainObject.Predmet.OstaliListFormated_1">
      <item>Pero Hrkać</item>
    </derivirana_varijabla>
  </DomainObject.Predmet.OstaliListFormated>
  <DomainObject.Predmet.OstaliListFormatedOIB>
    <izvorni_sadrzaj>
      <item>Pero Hrkać, OIB 15244122912</item>
    </izvorni_sadrzaj>
    <derivirana_varijabla naziv="DomainObject.Predmet.OstaliListFormatedOIB_1">
      <item>Pero Hrkać, OIB 15244122912</item>
    </derivirana_varijabla>
  </DomainObject.Predmet.OstaliListFormatedOIB>
  <DomainObject.Predmet.OstaliListFormatedWithAdress>
    <izvorni_sadrzaj>
      <item>Pero Hrkać, Čikoševa 5, 10000 Zagreb</item>
    </izvorni_sadrzaj>
    <derivirana_varijabla naziv="DomainObject.Predmet.OstaliListFormatedWithAdress_1">
      <item>Pero Hrkać, Čikoševa 5, 10000 Zagreb</item>
    </derivirana_varijabla>
  </DomainObject.Predmet.OstaliListFormatedWithAdress>
  <DomainObject.Predmet.OstaliListFormatedWithAdressOIB>
    <izvorni_sadrzaj>
      <item>Pero Hrkać, OIB 15244122912, Čikoševa 5, 10000 Zagreb</item>
    </izvorni_sadrzaj>
    <derivirana_varijabla naziv="DomainObject.Predmet.OstaliListFormatedWithAdressOIB_1">
      <item>Pero Hrkać, OIB 15244122912, Čikoševa 5, 10000 Zagreb</item>
    </derivirana_varijabla>
  </DomainObject.Predmet.OstaliListFormatedWithAdressOIB>
  <DomainObject.Predmet.OstaliListNazivFormated>
    <izvorni_sadrzaj>
      <item>Pero Hrkać</item>
    </izvorni_sadrzaj>
    <derivirana_varijabla naziv="DomainObject.Predmet.OstaliListNazivFormated_1">
      <item>Pero Hrkać</item>
    </derivirana_varijabla>
  </DomainObject.Predmet.OstaliListNazivFormated>
  <DomainObject.Predmet.OstaliListNazivFormatedOIB>
    <izvorni_sadrzaj>
      <item>Pero Hrkać, OIB 15244122912</item>
    </izvorni_sadrzaj>
    <derivirana_varijabla naziv="DomainObject.Predmet.OstaliListNazivFormatedOIB_1">
      <item>Pero Hrkać, OIB 15244122912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2017.</izvorni_sadrzaj>
    <derivirana_varijabla naziv="DomainObject.Datum_1">30. svibnja 2017.</derivirana_varijabla>
  </DomainObject.Datum>
  <DomainObject.PoslovniBrojDokumenta>
    <izvorni_sadrzaj/>
    <derivirana_varijabla naziv="DomainObject.PoslovniBrojDokumenta_1"/>
  </DomainObject.PoslovniBrojDokumenta>
  <DomainObject.Predmet.StrankaIDrugi>
    <izvorni_sadrzaj>REPUBLIKA HRVATSKA Ministarstvo financija,Porezna uprava / - REPUBLIKA HRVATSKA Ministarstvo financija,Porezna uprava</izvorni_sadrzaj>
    <derivirana_varijabla naziv="DomainObject.Predmet.StrankaIDrugi_1">REPUBLIKA HRVATSKA Ministarstvo financija,Porezna uprava / - REPUBLIKA HRVATSKA Ministarstvo financija,Porezna uprava</derivirana_varijabla>
  </DomainObject.Predmet.StrankaIDrugi>
  <DomainObject.Predmet.ProtustrankaIDrugi>
    <izvorni_sadrzaj>NOVI SALONIT društvo s ograničenom odgovornošću za proizvodnju, trgovinu i usluge</izvorni_sadrzaj>
    <derivirana_varijabla naziv="DomainObject.Predmet.ProtustrankaIDrugi_1">NOVI SALONIT društvo s ograničenom odgovornošću za proizvodnju, trgovinu i usluge</derivirana_varijabla>
  </DomainObject.Predmet.ProtustrankaIDrugi>
  <DomainObject.Predmet.StrankaIDrugiAdressOIB>
    <izvorni_sadrzaj>REPUBLIKA HRVATSKA Ministarstvo financija,Porezna uprava / - REPUBLIKA HRVATSKA Ministarstvo financija,Porezna uprava, OIB 18683136487</izvorni_sadrzaj>
    <derivirana_varijabla naziv="DomainObject.Predmet.StrankaIDrugiAdressOIB_1">REPUBLIKA HRVATSKA Ministarstvo financija,Porezna uprava / - REPUBLIKA HRVATSKA Ministarstvo financija,Porezna uprava, OIB 18683136487</derivirana_varijabla>
  </DomainObject.Predmet.StrankaIDrugiAdressOIB>
  <DomainObject.Predmet.ProtustrankaIDrugiAdressOIB>
    <izvorni_sadrzaj>NOVI SALONIT društvo s ograničenom odgovornošću za proizvodnju, trgovinu i usluge, OIB 74737876059, Radnička Cesta 27, 10000 Zagreb</izvorni_sadrzaj>
    <derivirana_varijabla naziv="DomainObject.Predmet.ProtustrankaIDrugiAdressOIB_1">NOVI SALONIT društvo s ograničenom odgovornošću za proizvodnju, trgovinu i usluge, OIB 74737876059, Radnička Cesta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 Ministarstvo financija,Porezna uprava / - REPUBLIKA HRVATSKA Ministarstvo financija,Porezna uprava</item>
      <item>NOVI SALONIT društvo s ograničenom odgovornošću za proizvodnju, trgovinu i usluge</item>
      <item>Pero Hrkać</item>
    </izvorni_sadrzaj>
    <derivirana_varijabla naziv="DomainObject.Predmet.SudioniciListNaziv_1">
      <item>REPUBLIKA HRVATSKA Ministarstvo financija,Porezna uprava / - REPUBLIKA HRVATSKA Ministarstvo financija,Porezna uprava</item>
      <item>NOVI SALONIT društvo s ograničenom odgovornošću za proizvodnju, trgovinu i usluge</item>
      <item>Pero Hrkać</item>
    </derivirana_varijabla>
  </DomainObject.Predmet.SudioniciListNaziv>
  <DomainObject.Predmet.SudioniciListAdressOIB>
    <izvorni_sadrzaj>
      <item>REPUBLIKA HRVATSKA Ministarstvo financija,Porezna uprava / - REPUBLIKA HRVATSKA Ministarstvo financija,Porezna uprava, OIB 18683136487</item>
      <item>NOVI SALONIT društvo s ograničenom odgovornošću za proizvodnju, trgovinu i usluge, OIB 74737876059, Radnička Cesta 27,10000 Zagreb</item>
      <item>Pero Hrkać, OIB 15244122912, Čikoševa 5,10000 Zagreb</item>
    </izvorni_sadrzaj>
    <derivirana_varijabla naziv="DomainObject.Predmet.SudioniciListAdressOIB_1">
      <item>REPUBLIKA HRVATSKA Ministarstvo financija,Porezna uprava / - REPUBLIKA HRVATSKA Ministarstvo financija,Porezna uprava, OIB 18683136487</item>
      <item>NOVI SALONIT društvo s ograničenom odgovornošću za proizvodnju, trgovinu i usluge, OIB 74737876059, Radnička Cesta 27,10000 Zagreb</item>
      <item>Pero Hrkać, OIB 15244122912, Čikoševa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74737876059</item>
      <item>, OIB 15244122912</item>
    </izvorni_sadrzaj>
    <derivirana_varijabla naziv="DomainObject.Predmet.SudioniciListNazivOIB_1">
      <item>, OIB 18683136487</item>
      <item>, OIB 74737876059</item>
      <item>, OIB 15244122912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Pero Hrkać, OIB 15244122912, Lipovečka 1 Zagreb</item>
    </izvorni_sadrzaj>
    <derivirana_varijabla naziv="DomainObject.Predmet.StecajniUpraviteljiListAddressOIB_1">
      <item>Pero Hrkać, OIB 15244122912, Lipovečka 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6</properties:Pages>
  <properties:Words>2445</properties:Words>
  <properties:Characters>14753</properties:Characters>
  <properties:Lines>341</properties:Lines>
  <properties:Paragraphs>133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Obrazac 20</vt:lpstr>
    </vt:vector>
  </properties:TitlesOfParts>
  <properties:LinksUpToDate>false</properties:LinksUpToDate>
  <properties:CharactersWithSpaces>17084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2017-05-30T12:30:00Z</dcterms:created>
  <dc:creator>ADMINIBM</dc:creator>
  <cp:lastModifiedBy>Kristina Švajger</cp:lastModifiedBy>
  <cp:lastPrinted>2017-05-23T05:35:00Z</cp:lastPrinted>
  <dcterms:modified xmlns:xsi="http://www.w3.org/2001/XMLSchema-instance" xsi:type="dcterms:W3CDTF">2017-05-30T12:31:00Z</dcterms:modified>
  <cp:revision>3</cp:revision>
  <dc:title>Obrazac 20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St-47/2004-32 / Podnesak - Izvješće stečajnog upravitelja</vt:lpwstr>
  </prop:property>
  <prop:property name="CC_coloring" pid="4" fmtid="{D5CDD505-2E9C-101B-9397-08002B2CF9AE}">
    <vt:bool>false</vt:bool>
  </prop:property>
  <prop:property name="BrojStranica" pid="5" fmtid="{D5CDD505-2E9C-101B-9397-08002B2CF9AE}">
    <vt:i4>6</vt:i4>
  </prop:property>
</prop:Properties>
</file>