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9000" w14:paraId="e4a9000" w:rsidRDefault="00432D63" w:rsidP="00432D63" w:rsidR="00432D63" w:rsidRPr="00AC40B8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AC40B8">
        <w:rPr>
          <w:rFonts w:hAnsi="Times New Roman" w:ascii="Times New Roman"/>
          <w:b w:val="false"/>
          <w:bCs/>
          <w:lang w:val="hr-HR"/>
        </w:rPr>
        <w:t xml:space="preserve">                  </w:t>
      </w:r>
      <w:r w:rsidRPr="00AC40B8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0B8">
        <w:rPr>
          <w:rFonts w:hAnsi="Times New Roman" w:ascii="Times New Roman"/>
          <w:b w:val="false"/>
          <w:bCs/>
          <w:lang w:val="hr-HR"/>
        </w:rPr>
        <w:tab/>
      </w:r>
      <w:r w:rsidRPr="00AC40B8">
        <w:rPr>
          <w:rFonts w:hAnsi="Times New Roman" w:ascii="Times New Roman"/>
          <w:b w:val="false"/>
          <w:bCs/>
          <w:lang w:val="hr-HR"/>
        </w:rPr>
        <w:tab/>
      </w:r>
      <w:r w:rsidRPr="00AC40B8">
        <w:rPr>
          <w:rFonts w:hAnsi="Times New Roman" w:ascii="Times New Roman"/>
          <w:b w:val="false"/>
          <w:bCs/>
          <w:lang w:val="hr-HR"/>
        </w:rPr>
        <w:tab/>
      </w:r>
      <w:r w:rsidRPr="00AC40B8">
        <w:rPr>
          <w:rFonts w:hAnsi="Times New Roman" w:ascii="Times New Roman"/>
          <w:b w:val="false"/>
          <w:bCs/>
          <w:lang w:val="hr-HR"/>
        </w:rPr>
        <w:tab/>
      </w: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    REPUBLIKA HRVATSKA </w:t>
      </w:r>
      <w:r w:rsidR="00E37606" w:rsidRPr="00AC40B8">
        <w:rPr>
          <w:rFonts w:hAnsi="Times New Roman" w:ascii="Times New Roman"/>
          <w:b w:val="false"/>
          <w:lang w:val="hr-HR"/>
        </w:rPr>
        <w:tab/>
      </w:r>
      <w:r w:rsidR="00E37606" w:rsidRPr="00AC40B8">
        <w:rPr>
          <w:rFonts w:hAnsi="Times New Roman" w:ascii="Times New Roman"/>
          <w:b w:val="false"/>
          <w:lang w:val="hr-HR"/>
        </w:rPr>
        <w:tab/>
      </w:r>
      <w:r w:rsidR="00E37606" w:rsidRPr="00AC40B8">
        <w:rPr>
          <w:rFonts w:hAnsi="Times New Roman" w:ascii="Times New Roman"/>
          <w:b w:val="false"/>
          <w:lang w:val="hr-HR"/>
        </w:rPr>
        <w:tab/>
      </w:r>
      <w:r w:rsidR="00E37606" w:rsidRPr="00AC40B8">
        <w:rPr>
          <w:rFonts w:hAnsi="Times New Roman" w:ascii="Times New Roman"/>
          <w:b w:val="false"/>
          <w:lang w:val="hr-HR"/>
        </w:rPr>
        <w:tab/>
        <w:t xml:space="preserve">        </w:t>
      </w:r>
      <w:r w:rsidR="00E37606" w:rsidRPr="00AC40B8">
        <w:rPr>
          <w:rFonts w:hAnsi="Times New Roman" w:ascii="Times New Roman"/>
          <w:b w:val="false"/>
          <w:lang w:val="hr-HR"/>
        </w:rPr>
        <w:tab/>
      </w:r>
      <w:r w:rsidR="00E37606" w:rsidRPr="00AC40B8">
        <w:rPr>
          <w:rFonts w:hAnsi="Times New Roman" w:ascii="Times New Roman"/>
          <w:b w:val="false"/>
          <w:lang w:val="hr-HR"/>
        </w:rPr>
        <w:tab/>
        <w:t xml:space="preserve">         </w:t>
      </w:r>
      <w:r w:rsidRPr="00AC40B8">
        <w:rPr>
          <w:rFonts w:hAnsi="Times New Roman" w:ascii="Times New Roman"/>
          <w:b w:val="false"/>
          <w:lang w:val="hr-HR"/>
        </w:rPr>
        <w:t>2 St-379/2016-</w:t>
      </w:r>
      <w:r w:rsidR="00E37606" w:rsidRPr="00AC40B8">
        <w:rPr>
          <w:rFonts w:hAnsi="Times New Roman" w:ascii="Times New Roman"/>
          <w:b w:val="false"/>
          <w:lang w:val="hr-HR"/>
        </w:rPr>
        <w:t>50</w:t>
      </w: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  <w:t xml:space="preserve">         </w:t>
      </w: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stečajnim dužnikom GORIČICA d.o.o. u stečaju, Buzet, Trg Fontana 6, OIB: 50074698654, na temelju odredbe čl. 247. st. 3. Stečajnog zakona (Narodne Novine br. 71/15), </w:t>
      </w:r>
      <w:r w:rsidR="00E37606" w:rsidRPr="00AC40B8">
        <w:rPr>
          <w:rFonts w:hAnsi="Times New Roman" w:ascii="Times New Roman"/>
          <w:b w:val="false"/>
          <w:lang w:val="hr-HR"/>
        </w:rPr>
        <w:t>12. siječnja 2018</w:t>
      </w:r>
      <w:r w:rsidRPr="00AC40B8">
        <w:rPr>
          <w:rFonts w:hAnsi="Times New Roman" w:ascii="Times New Roman"/>
          <w:b w:val="false"/>
          <w:lang w:val="hr-HR"/>
        </w:rPr>
        <w:t>. donio je slijedeći</w:t>
      </w:r>
    </w:p>
    <w:p w:rsidRDefault="00432D63" w:rsidP="00432D63" w:rsidR="00432D63" w:rsidRPr="00AC40B8">
      <w:pPr>
        <w:jc w:val="center"/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jc w:val="center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Z A K L J U Č A K</w:t>
      </w:r>
    </w:p>
    <w:p w:rsidRDefault="00432D63" w:rsidP="00432D63" w:rsidR="00432D63" w:rsidRPr="00AC40B8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I.</w:t>
      </w:r>
      <w:r w:rsidRPr="00AC40B8">
        <w:rPr>
          <w:rFonts w:hAnsi="Times New Roman" w:ascii="Times New Roman"/>
          <w:b w:val="false"/>
          <w:lang w:val="hr-HR"/>
        </w:rPr>
        <w:tab/>
        <w:t xml:space="preserve">Utvrđuje se vrijednost nekretnina: 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1. suvlasnički dio</w:t>
      </w:r>
      <w:r w:rsidR="00CE1F69" w:rsidRPr="00AC40B8">
        <w:rPr>
          <w:rFonts w:hAnsi="Times New Roman" w:ascii="Times New Roman"/>
          <w:b w:val="false"/>
          <w:lang w:val="hr-HR"/>
        </w:rPr>
        <w:t xml:space="preserve"> (E-1) etažno vlasništvo</w:t>
      </w:r>
      <w:r w:rsidRPr="00AC40B8">
        <w:rPr>
          <w:rFonts w:hAnsi="Times New Roman" w:ascii="Times New Roman"/>
          <w:b w:val="false"/>
          <w:lang w:val="hr-HR"/>
        </w:rPr>
        <w:t xml:space="preserve">: 7375/10000 dijela k.č.br. </w:t>
      </w:r>
      <w:r w:rsidR="00CE1F69" w:rsidRPr="00AC40B8">
        <w:rPr>
          <w:rFonts w:hAnsi="Times New Roman" w:ascii="Times New Roman"/>
          <w:b w:val="false"/>
          <w:lang w:val="hr-HR"/>
        </w:rPr>
        <w:t>1326</w:t>
      </w:r>
      <w:r w:rsidRPr="00AC40B8">
        <w:rPr>
          <w:rFonts w:hAnsi="Times New Roman" w:ascii="Times New Roman"/>
          <w:b w:val="false"/>
          <w:lang w:val="hr-HR"/>
        </w:rPr>
        <w:t xml:space="preserve"> </w:t>
      </w:r>
      <w:r w:rsidR="00CE1F69" w:rsidRPr="00AC40B8">
        <w:rPr>
          <w:rFonts w:hAnsi="Times New Roman" w:ascii="Times New Roman"/>
          <w:b w:val="false"/>
          <w:lang w:val="hr-HR"/>
        </w:rPr>
        <w:t xml:space="preserve">upisane </w:t>
      </w:r>
      <w:r w:rsidRPr="00AC40B8">
        <w:rPr>
          <w:rFonts w:hAnsi="Times New Roman" w:ascii="Times New Roman"/>
          <w:b w:val="false"/>
          <w:lang w:val="hr-HR"/>
        </w:rPr>
        <w:t xml:space="preserve">u zk.ul. </w:t>
      </w:r>
      <w:r w:rsidR="00CE1F69" w:rsidRPr="00AC40B8">
        <w:rPr>
          <w:rFonts w:hAnsi="Times New Roman" w:ascii="Times New Roman"/>
          <w:b w:val="false"/>
          <w:lang w:val="hr-HR"/>
        </w:rPr>
        <w:t>2338</w:t>
      </w:r>
      <w:r w:rsidRPr="00AC40B8">
        <w:rPr>
          <w:rFonts w:hAnsi="Times New Roman" w:ascii="Times New Roman"/>
          <w:b w:val="false"/>
          <w:lang w:val="hr-HR"/>
        </w:rPr>
        <w:t>, k.o. Buzet</w:t>
      </w:r>
      <w:r w:rsidR="00CE1F69" w:rsidRPr="00AC40B8">
        <w:rPr>
          <w:rFonts w:hAnsi="Times New Roman" w:ascii="Times New Roman"/>
          <w:b w:val="false"/>
          <w:lang w:val="hr-HR"/>
        </w:rPr>
        <w:t xml:space="preserve"> – Stari grad</w:t>
      </w:r>
      <w:r w:rsidRPr="00AC40B8">
        <w:rPr>
          <w:rFonts w:hAnsi="Times New Roman" w:ascii="Times New Roman"/>
          <w:b w:val="false"/>
          <w:lang w:val="hr-HR"/>
        </w:rPr>
        <w:t>, s kojim je povezan poseban dio u elaboratu označen oznakom "A" bez boje, poslovne prostorije u prizemlju i na katu, ukupne površine 688,81 mč, koje se sastoje iz: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a) izložbenog salona sa stubištem, skladišta, prolaza za dostavu, trgovine, hodnika, spremišta i WC-a, površine 322,97 mč u prizemlju i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b) prodajnog prostora i krovišta-ravan krov dogradnje, površine 365,84 mč, na katu, etažno vlasništvo (E-1);</w:t>
      </w:r>
    </w:p>
    <w:p w:rsidRDefault="00432D63" w:rsidP="00432D63" w:rsidR="00E37606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u iznosu od </w:t>
      </w:r>
      <w:r w:rsidR="00E37606" w:rsidRPr="00AC40B8">
        <w:rPr>
          <w:rFonts w:hAnsi="Times New Roman" w:ascii="Times New Roman"/>
          <w:b w:val="false"/>
          <w:lang w:val="hr-HR"/>
        </w:rPr>
        <w:t>2.260.000,00</w:t>
      </w:r>
      <w:r w:rsidRPr="00AC40B8">
        <w:rPr>
          <w:rFonts w:hAnsi="Times New Roman" w:ascii="Times New Roman"/>
          <w:b w:val="false"/>
          <w:lang w:val="hr-HR"/>
        </w:rPr>
        <w:t xml:space="preserve"> kn.</w:t>
      </w:r>
    </w:p>
    <w:p w:rsidRDefault="00432D63" w:rsidP="00432D63" w:rsidR="00432D63" w:rsidRPr="00AC40B8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II.</w:t>
      </w:r>
      <w:r w:rsidRPr="00AC40B8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432D63" w:rsidP="00432D63" w:rsidR="00432D63" w:rsidRPr="00AC40B8">
      <w:pPr>
        <w:jc w:val="center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    </w:t>
      </w: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III.</w:t>
      </w:r>
      <w:r w:rsidRPr="00AC40B8">
        <w:rPr>
          <w:rFonts w:hAnsi="Times New Roman" w:ascii="Times New Roman"/>
          <w:b w:val="false"/>
          <w:lang w:val="hr-HR"/>
        </w:rPr>
        <w:tab/>
        <w:t>Uvjeti prodaje:</w:t>
      </w:r>
    </w:p>
    <w:p w:rsidRDefault="00CE1F69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- prodaje</w:t>
      </w:r>
      <w:r w:rsidR="00432D63" w:rsidRPr="00AC40B8">
        <w:rPr>
          <w:rFonts w:hAnsi="Times New Roman" w:ascii="Times New Roman"/>
          <w:b w:val="false"/>
          <w:lang w:val="hr-HR"/>
        </w:rPr>
        <w:t xml:space="preserve"> se: </w:t>
      </w:r>
      <w:r w:rsidR="00432D63" w:rsidRPr="00AC40B8">
        <w:rPr>
          <w:rFonts w:hAnsi="Times New Roman" w:ascii="Times New Roman"/>
          <w:b w:val="false"/>
          <w:lang w:val="hr-HR"/>
        </w:rPr>
        <w:tab/>
      </w:r>
    </w:p>
    <w:p w:rsidRDefault="00CE1F69" w:rsidP="00CE1F69" w:rsidR="00CE1F69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1. suvlasnički dio (E-1) etažno vlasništvo: 7375/10000 dijela k.č.br. 1326 upisane u zk.ul. 2338, k.o. Buzet – Stari grad, s kojim je povezan poseban dio u elaboratu označen oznakom "A" bez boje, poslovne prostorije u prizemlju i na katu, ukupne površine 688,81 mč, koje se sastoje iz:</w:t>
      </w:r>
    </w:p>
    <w:p w:rsidRDefault="00CE1F69" w:rsidP="00CE1F69" w:rsidR="00CE1F69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a) izložbenog salona sa stubištem, skladišta, prolaza za dostavu, trgovine, hodnika, spremišta i WC-a, površine 322,97 mč u prizemlju i</w:t>
      </w:r>
    </w:p>
    <w:p w:rsidRDefault="00CE1F69" w:rsidP="00CE1F69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b) prodajnog prostora i krovišta-ravan krov dogradnje, površine 365,84 mč, na katu, etažno vlasništvo (E-1);</w:t>
      </w:r>
      <w:r w:rsidR="00432D63" w:rsidRPr="00AC40B8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CE1F69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- utvrđena</w:t>
      </w:r>
      <w:r w:rsidR="00432D63" w:rsidRPr="00AC40B8">
        <w:rPr>
          <w:rFonts w:hAnsi="Times New Roman" w:ascii="Times New Roman"/>
          <w:b w:val="false"/>
          <w:lang w:val="hr-HR"/>
        </w:rPr>
        <w:t xml:space="preserve"> vrijednost nekretnina označenih pod točkom I. zaključka iznosi </w:t>
      </w:r>
      <w:r w:rsidRPr="00AC40B8">
        <w:rPr>
          <w:rFonts w:hAnsi="Times New Roman" w:ascii="Times New Roman"/>
          <w:b w:val="false"/>
          <w:lang w:val="hr-HR"/>
        </w:rPr>
        <w:t>2.260.000,00</w:t>
      </w:r>
      <w:r w:rsidR="00432D63" w:rsidRPr="00AC40B8">
        <w:rPr>
          <w:rFonts w:hAnsi="Times New Roman" w:ascii="Times New Roman"/>
          <w:b w:val="false"/>
          <w:lang w:val="hr-HR"/>
        </w:rPr>
        <w:t xml:space="preserve"> kn;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lastRenderedPageBreak/>
        <w:tab/>
        <w:t xml:space="preserve">- nekretnine se ne mogu prodati: 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CE1F69" w:rsidRPr="00AC40B8">
        <w:rPr>
          <w:rFonts w:hAnsi="Times New Roman" w:ascii="Times New Roman"/>
          <w:b w:val="false"/>
          <w:lang w:val="hr-HR"/>
        </w:rPr>
        <w:t>1.695.000,00</w:t>
      </w:r>
      <w:r w:rsidRPr="00AC40B8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432D63" w:rsidP="00432D63" w:rsidR="00432D63" w:rsidRPr="00AC40B8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CE1F69" w:rsidRPr="00AC40B8">
        <w:rPr>
          <w:rFonts w:hAnsi="Times New Roman" w:ascii="Times New Roman"/>
          <w:b w:val="false"/>
          <w:lang w:val="hr-HR"/>
        </w:rPr>
        <w:t>1.130.000,00</w:t>
      </w:r>
      <w:r w:rsidRPr="00AC40B8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  </w:t>
      </w:r>
      <w:r w:rsidRPr="00AC40B8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CE1F69" w:rsidRPr="00AC40B8">
        <w:rPr>
          <w:rFonts w:hAnsi="Times New Roman" w:ascii="Times New Roman"/>
          <w:b w:val="false"/>
          <w:lang w:val="hr-HR"/>
        </w:rPr>
        <w:t>565.000,00</w:t>
      </w:r>
      <w:r w:rsidRPr="00AC40B8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- kupac je dužan uplatiti kupovninu na poseban račun Financijske agencije (u daljnjem tekstu: Agencija) otvoren za tu namjenu u roku od 30 dana od dana pravomoćnosti rješenja o dosudi. Ako kupac u tom roku ne položi kupovninu sud će rješenjem oglasiti prodaju nevažećom</w:t>
      </w:r>
      <w:r w:rsidR="00AC40B8" w:rsidRPr="00AC40B8">
        <w:rPr>
          <w:rFonts w:hAnsi="Times New Roman" w:ascii="Times New Roman"/>
          <w:b w:val="false"/>
          <w:lang w:val="hr-HR"/>
        </w:rPr>
        <w:t xml:space="preserve">. </w:t>
      </w:r>
      <w:r w:rsidRPr="00AC40B8">
        <w:rPr>
          <w:rFonts w:hAnsi="Times New Roman" w:ascii="Times New Roman"/>
          <w:b w:val="false"/>
          <w:lang w:val="hr-HR"/>
        </w:rPr>
        <w:t xml:space="preserve">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podaci.;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  <w:t>- zainteresirane osobe za sudjelovanje u elektroničkoj javnoj dražbi upućuju se pratiti mrežne stranice Agencije.</w:t>
      </w:r>
    </w:p>
    <w:p w:rsidRDefault="00432D63" w:rsidP="00432D63" w:rsidR="00432D63" w:rsidRPr="00AC40B8">
      <w:pPr>
        <w:jc w:val="center"/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jc w:val="center"/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  <w:t>U Pazinu 1</w:t>
      </w:r>
      <w:r w:rsidR="00744A2C" w:rsidRPr="00AC40B8">
        <w:rPr>
          <w:rFonts w:hAnsi="Times New Roman" w:ascii="Times New Roman"/>
          <w:b w:val="false"/>
          <w:lang w:val="hr-HR"/>
        </w:rPr>
        <w:t>2. siječnja 2018.</w:t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ind w:firstLine="708" w:left="4956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                     Stečajna sutkinja</w:t>
      </w: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                </w:t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</w:r>
      <w:r w:rsidRPr="00AC40B8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AC40B8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432D63" w:rsidP="00432D63" w:rsidR="00432D63" w:rsidRPr="00AC40B8">
      <w:pPr>
        <w:jc w:val="right"/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jc w:val="right"/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jc w:val="right"/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UPUTA O PRAVNOM LIJEKU: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</w:p>
    <w:p w:rsidRDefault="00432D63" w:rsidP="00432D63" w:rsidR="00432D63" w:rsidRPr="00AC40B8">
      <w:pPr>
        <w:pStyle w:val="Bezproreda"/>
        <w:rPr>
          <w:szCs w:val="24"/>
        </w:rPr>
      </w:pPr>
      <w:r w:rsidRPr="00AC40B8">
        <w:rPr>
          <w:szCs w:val="24"/>
        </w:rPr>
        <w:t>DNA:</w:t>
      </w:r>
    </w:p>
    <w:p w:rsidRDefault="00432D63" w:rsidP="00432D63" w:rsidR="00432D63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 xml:space="preserve">- stečajni upravitelj Nikola Kruljac, Našice, Martin, Bana Jelačića 48 </w:t>
      </w:r>
    </w:p>
    <w:p w:rsidRDefault="00AC40B8" w:rsidP="00AC40B8" w:rsidR="00AC40B8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- OTP banka d.d. Zadar, pp ZOU Goran Veljović i dr., Pula, Dobrilina 9</w:t>
      </w:r>
    </w:p>
    <w:p w:rsidRDefault="00AC40B8" w:rsidP="00AC40B8" w:rsidR="00AC40B8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- MEBLO TRADE d.o.o., Zagreb, Remetinečka 137</w:t>
      </w:r>
    </w:p>
    <w:p w:rsidRDefault="00AC40B8" w:rsidP="00AC40B8" w:rsidR="00AC40B8" w:rsidRPr="00AC40B8">
      <w:pPr>
        <w:jc w:val="both"/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- REPUBLIKA HRVATSKA po ŽDO Pula, Pula, Rovinjska ul. 2</w:t>
      </w: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  <w:r w:rsidRPr="00AC40B8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432D63" w:rsidP="00432D63" w:rsidR="00432D63" w:rsidRPr="00AC40B8">
      <w:pPr>
        <w:rPr>
          <w:rFonts w:hAnsi="Times New Roman" w:ascii="Times New Roman"/>
          <w:b w:val="false"/>
          <w:lang w:val="hr-HR"/>
        </w:rPr>
      </w:pPr>
    </w:p>
    <w:p w:rsidRDefault="009D1C1A" w:rsidR="00500701" w:rsidRPr="00AC40B8">
      <w:pPr>
        <w:rPr>
          <w:lang w:val="hr-HR"/>
        </w:rPr>
      </w:pPr>
    </w:p>
    <w:sectPr w:rsidSect="00744CD8" w:rsidR="00500701" w:rsidRPr="00AC40B8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D63" w:rsidP="00432D63" w:rsidR="00432D63">
      <w:r>
        <w:separator/>
      </w:r>
    </w:p>
  </w:endnote>
  <w:endnote w:id="0" w:type="continuationSeparator">
    <w:p w:rsidRDefault="00432D63" w:rsidP="00432D63" w:rsidR="00432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D63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1C1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C1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D1C1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D63" w:rsidP="00432D63" w:rsidR="00432D63">
      <w:r>
        <w:separator/>
      </w:r>
    </w:p>
  </w:footnote>
  <w:footnote w:id="0" w:type="continuationSeparator">
    <w:p w:rsidRDefault="00432D63" w:rsidP="00432D63" w:rsidR="00432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432D63" w:rsidP="00397F31" w:rsidR="00442215" w:rsidRPr="00397F31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D1C1A" w:rsidRPr="009D1C1A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</w:t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  <w:t xml:space="preserve">        </w:t>
        </w:r>
        <w:r w:rsidR="00E37606">
          <w:rPr>
            <w:rFonts w:hAnsi="Times New Roman" w:ascii="Times New Roman"/>
            <w:b w:val="false"/>
            <w:lang w:val="hr-HR"/>
          </w:rPr>
          <w:t xml:space="preserve"> 2 St-379</w:t>
        </w:r>
        <w:r w:rsidR="00E37606" w:rsidRPr="00831336">
          <w:rPr>
            <w:rFonts w:hAnsi="Times New Roman" w:ascii="Times New Roman"/>
            <w:b w:val="false"/>
            <w:lang w:val="hr-HR"/>
          </w:rPr>
          <w:t>/</w:t>
        </w:r>
        <w:r w:rsidR="00E37606">
          <w:rPr>
            <w:rFonts w:hAnsi="Times New Roman" w:ascii="Times New Roman"/>
            <w:b w:val="false"/>
            <w:lang w:val="hr-HR"/>
          </w:rPr>
          <w:t>20</w:t>
        </w:r>
        <w:r w:rsidR="00E37606" w:rsidRPr="00831336">
          <w:rPr>
            <w:rFonts w:hAnsi="Times New Roman" w:ascii="Times New Roman"/>
            <w:b w:val="false"/>
            <w:lang w:val="hr-HR"/>
          </w:rPr>
          <w:t>1</w:t>
        </w:r>
        <w:r w:rsidR="00E37606">
          <w:rPr>
            <w:rFonts w:hAnsi="Times New Roman" w:ascii="Times New Roman"/>
            <w:b w:val="false"/>
            <w:lang w:val="hr-HR"/>
          </w:rPr>
          <w:t>6</w:t>
        </w:r>
        <w:r w:rsidR="00E37606" w:rsidRPr="00831336">
          <w:rPr>
            <w:rFonts w:hAnsi="Times New Roman" w:ascii="Times New Roman"/>
            <w:b w:val="false"/>
            <w:lang w:val="hr-HR"/>
          </w:rPr>
          <w:t>-</w:t>
        </w:r>
        <w:r w:rsidR="00E37606">
          <w:rPr>
            <w:rFonts w:hAnsi="Times New Roman" w:ascii="Times New Roman"/>
            <w:b w:val="false"/>
            <w:lang w:val="hr-HR"/>
          </w:rPr>
          <w:t>50</w:t>
        </w:r>
      </w:p>
    </w:sdtContent>
  </w:sdt>
  <w:p w:rsidRDefault="009D1C1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2D63"/>
    <w:rsid w:val="00432D63"/>
    <w:rsid w:val="00554328"/>
    <w:rsid w:val="00744A2C"/>
    <w:rsid w:val="00985388"/>
    <w:rsid w:val="009D1C1A"/>
    <w:rsid w:val="00AC40B8"/>
    <w:rsid w:val="00CE1F69"/>
    <w:rsid w:val="00E3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F69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32D6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432D6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32D63"/>
  </w:style>
  <w:style w:styleId="Zaglavlje" w:type="paragraph">
    <w:name w:val="header"/>
    <w:basedOn w:val="Normal"/>
    <w:link w:val="ZaglavljeChar"/>
    <w:uiPriority w:val="99"/>
    <w:rsid w:val="00432D63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2D63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432D63"/>
    <w:pPr>
      <w:ind w:left="708"/>
    </w:pPr>
  </w:style>
  <w:style w:styleId="Bezproreda" w:type="paragraph">
    <w:name w:val="No Spacing"/>
    <w:uiPriority w:val="1"/>
    <w:qFormat/>
    <w:rsid w:val="00432D63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2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2D63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D1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C1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C1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C1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C1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F69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32D6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432D6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32D63"/>
  </w:style>
  <w:style w:styleId="Zaglavlje" w:type="paragraph">
    <w:name w:val="header"/>
    <w:basedOn w:val="Normal"/>
    <w:link w:val="ZaglavljeChar"/>
    <w:uiPriority w:val="99"/>
    <w:rsid w:val="00432D63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2D63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432D63"/>
    <w:pPr>
      <w:ind w:left="708"/>
    </w:pPr>
  </w:style>
  <w:style w:styleId="Bezproreda" w:type="paragraph">
    <w:name w:val="No Spacing"/>
    <w:uiPriority w:val="1"/>
    <w:qFormat/>
    <w:rsid w:val="00432D63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2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2D63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D1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C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C1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C1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C1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3296</properties:Characters>
  <properties:Lines>86</properties:Lines>
  <properties:Paragraphs>39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2017-12-18T12:33:00Z</dcterms:created>
  <dc:creator>Jasmina Matika</dc:creator>
  <cp:lastModifiedBy>Jasmina Matika</cp:lastModifiedBy>
  <dcterms:modified xmlns:xsi="http://www.w3.org/2001/XMLSchema-instance" xsi:type="dcterms:W3CDTF">2018-01-12T10:48:00Z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