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6779" w14:paraId="c376779" w:rsidRDefault="00B5229D" w:rsidP="003E737A" w:rsidR="003E737A" w:rsidRPr="00AA2B9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t xml:space="preserve">               </w:t>
      </w:r>
      <w:r w:rsidR="001055A3">
        <w:rPr>
          <w:noProof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537B9B" w:rsidP="003E737A" w:rsidR="003E737A" w:rsidRPr="00AA2B9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 St</w:t>
      </w:r>
      <w:r w:rsidR="003E737A" w:rsidRPr="00AA2B98">
        <w:rPr>
          <w:rFonts w:hAnsi="Times New Roman" w:ascii="Times New Roman"/>
          <w:szCs w:val="24"/>
          <w:lang w:val="hr-HR"/>
        </w:rPr>
        <w:t>-</w:t>
      </w:r>
      <w:r w:rsidR="00143E8A">
        <w:rPr>
          <w:rFonts w:hAnsi="Times New Roman" w:ascii="Times New Roman"/>
          <w:szCs w:val="24"/>
          <w:lang w:val="hr-HR"/>
        </w:rPr>
        <w:t>1825</w:t>
      </w:r>
      <w:r>
        <w:rPr>
          <w:rFonts w:hAnsi="Times New Roman" w:ascii="Times New Roman"/>
          <w:szCs w:val="24"/>
          <w:lang w:val="hr-HR"/>
        </w:rPr>
        <w:t>/</w:t>
      </w:r>
      <w:r w:rsidR="00143E8A">
        <w:rPr>
          <w:rFonts w:hAnsi="Times New Roman" w:ascii="Times New Roman"/>
          <w:szCs w:val="24"/>
          <w:lang w:val="hr-HR"/>
        </w:rPr>
        <w:t>16</w:t>
      </w:r>
    </w:p>
    <w:p w:rsidRDefault="00AA2B98" w:rsidP="00AA2B98" w:rsidR="00AA2B98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AA2B98" w:rsidP="003E737A" w:rsidR="00AA2B98" w:rsidRPr="00AA2B98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  <w:t>TRGOVAČKI SUD U ZAGREB, po sucu pojedincu Luciji But</w:t>
      </w:r>
      <w:r w:rsidR="00E42BBB">
        <w:rPr>
          <w:rFonts w:hAnsi="Times New Roman" w:ascii="Times New Roman"/>
          <w:szCs w:val="24"/>
          <w:lang w:val="hr-HR"/>
        </w:rPr>
        <w:t xml:space="preserve">igan, postupajući po prijedlogu </w:t>
      </w:r>
      <w:r w:rsidRPr="00AA2B98">
        <w:rPr>
          <w:rFonts w:hAnsi="Times New Roman" w:ascii="Times New Roman"/>
          <w:szCs w:val="24"/>
          <w:lang w:val="hr-HR"/>
        </w:rPr>
        <w:t>dužnika</w:t>
      </w:r>
      <w:r w:rsidR="00537B9B">
        <w:rPr>
          <w:rFonts w:hAnsi="Times New Roman" w:ascii="Times New Roman"/>
          <w:szCs w:val="24"/>
          <w:lang w:val="hr-HR"/>
        </w:rPr>
        <w:t xml:space="preserve"> </w:t>
      </w:r>
      <w:r w:rsidR="00143E8A">
        <w:rPr>
          <w:rFonts w:hAnsi="Times New Roman" w:ascii="Times New Roman"/>
          <w:szCs w:val="24"/>
          <w:lang w:val="hr-HR"/>
        </w:rPr>
        <w:t>GOLDEX d.o.o.</w:t>
      </w:r>
      <w:r w:rsidR="00737933">
        <w:rPr>
          <w:rFonts w:hAnsi="Times New Roman" w:ascii="Times New Roman"/>
          <w:szCs w:val="24"/>
          <w:lang w:val="hr-HR"/>
        </w:rPr>
        <w:t>,</w:t>
      </w:r>
      <w:r w:rsidR="00143E8A">
        <w:rPr>
          <w:rFonts w:hAnsi="Times New Roman" w:ascii="Times New Roman"/>
          <w:szCs w:val="24"/>
          <w:lang w:val="hr-HR"/>
        </w:rPr>
        <w:t xml:space="preserve"> Zagreb, Konjščinska 32, </w:t>
      </w:r>
      <w:r w:rsidR="00537B9B">
        <w:rPr>
          <w:rFonts w:hAnsi="Times New Roman" w:ascii="Times New Roman"/>
          <w:szCs w:val="24"/>
          <w:lang w:val="hr-HR"/>
        </w:rPr>
        <w:t xml:space="preserve"> </w:t>
      </w:r>
      <w:r w:rsidR="00143E8A">
        <w:rPr>
          <w:rFonts w:hAnsi="Times New Roman" w:ascii="Times New Roman"/>
          <w:szCs w:val="24"/>
          <w:lang w:val="hr-HR"/>
        </w:rPr>
        <w:t>OIB:52966343019,</w:t>
      </w:r>
      <w:r w:rsidR="00537B9B">
        <w:rPr>
          <w:rFonts w:hAnsi="Times New Roman" w:ascii="Times New Roman"/>
          <w:szCs w:val="24"/>
          <w:lang w:val="hr-HR"/>
        </w:rPr>
        <w:t xml:space="preserve"> dana 3</w:t>
      </w:r>
      <w:r w:rsidR="00B5229D">
        <w:rPr>
          <w:rFonts w:hAnsi="Times New Roman" w:ascii="Times New Roman"/>
          <w:szCs w:val="24"/>
          <w:lang w:val="hr-HR"/>
        </w:rPr>
        <w:t xml:space="preserve"> </w:t>
      </w:r>
      <w:r w:rsidR="00143E8A">
        <w:rPr>
          <w:rFonts w:hAnsi="Times New Roman" w:ascii="Times New Roman"/>
          <w:szCs w:val="24"/>
          <w:lang w:val="hr-HR"/>
        </w:rPr>
        <w:t>ožujka</w:t>
      </w:r>
      <w:r w:rsidR="00537B9B">
        <w:rPr>
          <w:rFonts w:hAnsi="Times New Roman" w:ascii="Times New Roman"/>
          <w:szCs w:val="24"/>
          <w:lang w:val="hr-HR"/>
        </w:rPr>
        <w:t xml:space="preserve"> 2016</w:t>
      </w:r>
      <w:r w:rsidR="00B5229D">
        <w:rPr>
          <w:rFonts w:hAnsi="Times New Roman" w:ascii="Times New Roman"/>
          <w:szCs w:val="24"/>
          <w:lang w:val="hr-HR"/>
        </w:rPr>
        <w:t>.</w:t>
      </w:r>
    </w:p>
    <w:p w:rsidRDefault="00DB2D7D" w:rsidP="003E737A" w:rsidR="00DB2D7D" w:rsidRPr="00AA2B98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2BBB" w:rsidP="00E42BBB" w:rsidR="00E42BBB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E42BBB" w:rsidP="00143E8A" w:rsidR="00143E8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I.</w:t>
      </w:r>
      <w:r w:rsidRPr="00A771F1">
        <w:rPr>
          <w:rFonts w:hAnsi="Times New Roman" w:ascii="Times New Roman"/>
          <w:szCs w:val="24"/>
          <w:lang w:val="hr-HR"/>
        </w:rPr>
        <w:tab/>
        <w:t>Nalaže se predlagatelju</w:t>
      </w:r>
      <w:r w:rsidR="00811A6C">
        <w:rPr>
          <w:rFonts w:hAnsi="Times New Roman" w:ascii="Times New Roman"/>
          <w:szCs w:val="24"/>
          <w:lang w:val="hr-HR"/>
        </w:rPr>
        <w:t xml:space="preserve"> </w:t>
      </w:r>
      <w:r w:rsidR="00143E8A">
        <w:rPr>
          <w:rFonts w:hAnsi="Times New Roman" w:ascii="Times New Roman"/>
          <w:szCs w:val="24"/>
          <w:lang w:val="hr-HR"/>
        </w:rPr>
        <w:t xml:space="preserve">GOLDEX d.o.o., Zagreb, Konjščinska 32,  OIB:52966343019, </w:t>
      </w:r>
      <w:r w:rsidR="00CB443F">
        <w:rPr>
          <w:rFonts w:hAnsi="Times New Roman" w:ascii="Times New Roman"/>
          <w:szCs w:val="24"/>
          <w:lang w:val="hr-HR"/>
        </w:rPr>
        <w:t>da</w:t>
      </w:r>
      <w:r w:rsidR="00143E8A" w:rsidRPr="00143E8A">
        <w:rPr>
          <w:rFonts w:hAnsi="Times New Roman" w:ascii="Times New Roman"/>
          <w:szCs w:val="24"/>
          <w:lang w:val="hr-HR"/>
        </w:rPr>
        <w:t xml:space="preserve"> </w:t>
      </w:r>
      <w:r w:rsidR="00CB443F">
        <w:rPr>
          <w:rFonts w:hAnsi="Times New Roman" w:ascii="Times New Roman"/>
          <w:szCs w:val="24"/>
          <w:lang w:val="hr-HR"/>
        </w:rPr>
        <w:t xml:space="preserve">u roku od </w:t>
      </w:r>
      <w:r w:rsidR="00143E8A" w:rsidRPr="00A771F1">
        <w:rPr>
          <w:rFonts w:hAnsi="Times New Roman" w:ascii="Times New Roman"/>
          <w:szCs w:val="24"/>
          <w:lang w:val="hr-HR"/>
        </w:rPr>
        <w:t>15 dana od dana primitka ovog rješenja</w:t>
      </w:r>
      <w:r w:rsidR="00CB443F">
        <w:rPr>
          <w:rFonts w:hAnsi="Times New Roman" w:ascii="Times New Roman"/>
          <w:szCs w:val="24"/>
          <w:lang w:val="hr-HR"/>
        </w:rPr>
        <w:t>,</w:t>
      </w:r>
      <w:r w:rsidR="00143E8A" w:rsidRPr="00A771F1">
        <w:rPr>
          <w:rFonts w:hAnsi="Times New Roman" w:ascii="Times New Roman"/>
          <w:szCs w:val="24"/>
          <w:lang w:val="hr-HR"/>
        </w:rPr>
        <w:t xml:space="preserve"> dopuni prijedlog za sklapanje predstečajne nagodbe na način, tako da, prijedlog predstečajne nagodbe sadrži sve elemente nacrta predstečajne nagodbe (visinu, način, oblik i rokove namirenja tražbina svakog pojedinog vjerovnika ili skupine vjerovnika u jednakom pravnom položaju u pogledu namirenja), a koji prijedlog sadržajno mora odgovarati sadržaju plana fin</w:t>
      </w:r>
      <w:r w:rsidR="00CB443F">
        <w:rPr>
          <w:rFonts w:hAnsi="Times New Roman" w:ascii="Times New Roman"/>
          <w:szCs w:val="24"/>
          <w:lang w:val="hr-HR"/>
        </w:rPr>
        <w:t>ancijskog i operativnog restruktur</w:t>
      </w:r>
      <w:r w:rsidR="00143E8A" w:rsidRPr="00A771F1">
        <w:rPr>
          <w:rFonts w:hAnsi="Times New Roman" w:ascii="Times New Roman"/>
          <w:szCs w:val="24"/>
          <w:lang w:val="hr-HR"/>
        </w:rPr>
        <w:t>iranja prihvaćenog pred nagodbenim vijećem.</w:t>
      </w:r>
    </w:p>
    <w:p w:rsidRDefault="00143E8A" w:rsidP="00143E8A" w:rsidR="00143E8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143E8A" w:rsidP="00143E8A" w:rsidR="00143E8A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II.</w:t>
      </w:r>
      <w:r w:rsidRPr="00A771F1">
        <w:rPr>
          <w:rFonts w:hAnsi="Times New Roman" w:ascii="Times New Roman"/>
          <w:szCs w:val="24"/>
          <w:lang w:val="hr-HR"/>
        </w:rPr>
        <w:tab/>
        <w:t xml:space="preserve">Nalaže se predlagatelju da </w:t>
      </w:r>
      <w:r w:rsidR="00CB443F">
        <w:rPr>
          <w:rFonts w:hAnsi="Times New Roman" w:ascii="Times New Roman"/>
          <w:szCs w:val="24"/>
          <w:lang w:val="hr-HR"/>
        </w:rPr>
        <w:t xml:space="preserve">u roku od </w:t>
      </w:r>
      <w:r w:rsidR="00CB443F" w:rsidRPr="00A771F1">
        <w:rPr>
          <w:rFonts w:hAnsi="Times New Roman" w:ascii="Times New Roman"/>
          <w:szCs w:val="24"/>
          <w:lang w:val="hr-HR"/>
        </w:rPr>
        <w:t xml:space="preserve">15 dana od dana primitka ovog rješenja </w:t>
      </w:r>
      <w:r w:rsidRPr="00A771F1">
        <w:rPr>
          <w:rFonts w:hAnsi="Times New Roman" w:ascii="Times New Roman"/>
          <w:szCs w:val="24"/>
          <w:lang w:val="hr-HR"/>
        </w:rPr>
        <w:t xml:space="preserve">u ovosudni </w:t>
      </w:r>
      <w:smartTag w:element="PersonName" w:uri="urn:schemas-microsoft-com:office:smarttags">
        <w:r w:rsidRPr="00A771F1">
          <w:rPr>
            <w:rFonts w:hAnsi="Times New Roman" w:ascii="Times New Roman"/>
            <w:szCs w:val="24"/>
            <w:lang w:val="hr-HR"/>
          </w:rPr>
          <w:t>spis</w:t>
        </w:r>
      </w:smartTag>
      <w:r w:rsidRPr="00A771F1">
        <w:rPr>
          <w:rFonts w:hAnsi="Times New Roman" w:ascii="Times New Roman"/>
          <w:szCs w:val="24"/>
          <w:lang w:val="hr-HR"/>
        </w:rPr>
        <w:t xml:space="preserve"> dostavi:</w:t>
      </w:r>
    </w:p>
    <w:p w:rsidRDefault="00CB443F" w:rsidP="00143E8A" w:rsidR="00CB443F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143E8A" w:rsidP="00143E8A" w:rsidR="00143E8A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- Plan financijskog restrukturiranja kao i eventualno izmijenjeni Plan financijskog restrukturiranja za kojeg su vjerovnici glasovali odnosno da dostavi sadržaj prihvaćenog Plana financijskog restrukturiranja za dužnika</w:t>
      </w:r>
      <w:r>
        <w:rPr>
          <w:rFonts w:hAnsi="Times New Roman" w:ascii="Times New Roman"/>
          <w:szCs w:val="24"/>
          <w:lang w:val="hr-HR"/>
        </w:rPr>
        <w:t>, kao i podatak kada je isti bio objavljen na web stranicama Fine</w:t>
      </w:r>
    </w:p>
    <w:p w:rsidRDefault="00143E8A" w:rsidP="00143E8A" w:rsidR="00143E8A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- Rješenje o utvrđenim tražbinama</w:t>
      </w:r>
    </w:p>
    <w:p w:rsidRDefault="00143E8A" w:rsidP="00143E8A" w:rsidR="00143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- </w:t>
      </w:r>
      <w:r>
        <w:rPr>
          <w:rFonts w:hAnsi="Times New Roman" w:ascii="Times New Roman"/>
          <w:szCs w:val="24"/>
          <w:lang w:val="hr-HR"/>
        </w:rPr>
        <w:t>Zapisnik s ročišta za utvrđivanje tražbina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</w:p>
    <w:p w:rsidRDefault="00143E8A" w:rsidP="00143E8A" w:rsidR="00143E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Pr="00A771F1">
        <w:rPr>
          <w:rFonts w:hAnsi="Times New Roman" w:ascii="Times New Roman"/>
          <w:szCs w:val="24"/>
          <w:lang w:val="hr-HR"/>
        </w:rPr>
        <w:t>Tablicu utvrđenih tražbina za dužnika</w:t>
      </w:r>
    </w:p>
    <w:p w:rsidRDefault="00143E8A" w:rsidP="00143E8A" w:rsidR="00CB44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Pr="00A771F1">
        <w:rPr>
          <w:rFonts w:hAnsi="Times New Roman" w:ascii="Times New Roman"/>
          <w:szCs w:val="24"/>
          <w:lang w:val="hr-HR"/>
        </w:rPr>
        <w:t>Zapisnik s ročišta za glasovanje</w:t>
      </w:r>
    </w:p>
    <w:p w:rsidRDefault="00CB443F" w:rsidP="00143E8A" w:rsidR="00143E8A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Rješenje o prihvaćanju Plana financijskog restrukturiranja dužnika s klauzulom izvršnosti.</w:t>
      </w:r>
      <w:r w:rsidR="00143E8A">
        <w:rPr>
          <w:rFonts w:hAnsi="Times New Roman" w:ascii="Times New Roman"/>
          <w:szCs w:val="24"/>
          <w:lang w:val="hr-HR"/>
        </w:rPr>
        <w:t xml:space="preserve"> </w:t>
      </w:r>
      <w:r w:rsidR="00143E8A" w:rsidRPr="00A771F1">
        <w:rPr>
          <w:rFonts w:hAnsi="Times New Roman" w:ascii="Times New Roman"/>
          <w:szCs w:val="24"/>
          <w:lang w:val="hr-HR"/>
        </w:rPr>
        <w:t xml:space="preserve"> </w:t>
      </w:r>
    </w:p>
    <w:p w:rsidRDefault="00143E8A" w:rsidP="00143E8A" w:rsidR="00143E8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143E8A" w:rsidP="00143E8A" w:rsidR="00143E8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III.</w:t>
      </w:r>
      <w:r w:rsidRPr="00A771F1">
        <w:rPr>
          <w:rFonts w:hAnsi="Times New Roman" w:ascii="Times New Roman"/>
          <w:szCs w:val="24"/>
          <w:lang w:val="hr-HR"/>
        </w:rPr>
        <w:tab/>
        <w:t xml:space="preserve">Ukoliko predlagatelj, u dodijeljenom roku ne postupi po nalogu iz točke I. i II., sud će postupiti sukladno članku 109. stavak 4. Zakona o parničnom postupku.  </w:t>
      </w:r>
    </w:p>
    <w:p w:rsidRDefault="00E42BBB" w:rsidP="00143E8A" w:rsidR="00E42BBB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E42BBB" w:rsidP="00E42BBB" w:rsidR="00E42BBB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E42BBB" w:rsidP="00E42BBB" w:rsidR="00E42BBB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Obrazloženje</w:t>
      </w:r>
    </w:p>
    <w:p w:rsidRDefault="00E42BBB" w:rsidP="00E42BBB" w:rsidR="00E42BBB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E42BBB" w:rsidP="00E42BBB" w:rsidR="00E42BB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771F1">
        <w:rPr>
          <w:rFonts w:hAnsi="Times New Roman" w:ascii="Times New Roman"/>
          <w:bCs/>
          <w:szCs w:val="24"/>
          <w:lang w:val="hr-HR"/>
        </w:rPr>
        <w:t xml:space="preserve">Predlagatelj je, na temelju članka 66. stavak 1. Zakona o financijskom poslovanju i predstečajnoj nagodbi (Narodne novine br. 108/12, 144/12, 81/13, 113/13 - dalje ZFPPN), ovom sudu podnio prijedlog za sklapanje predstečajne nagodbe. </w:t>
      </w:r>
    </w:p>
    <w:p w:rsidRDefault="00811A6C" w:rsidP="00E42BBB" w:rsidR="00811A6C" w:rsidRPr="00A771F1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E42BBB" w:rsidP="00E42BBB" w:rsidR="00E42BBB" w:rsidRPr="00A771F1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771F1">
        <w:rPr>
          <w:rFonts w:hAnsi="Times New Roman" w:ascii="Times New Roman"/>
          <w:bCs/>
          <w:szCs w:val="24"/>
          <w:lang w:val="hr-HR"/>
        </w:rPr>
        <w:lastRenderedPageBreak/>
        <w:t xml:space="preserve">Člankom 66. stavak 3. ZFPPN propisano je da prijedlog predstečajne nagodbe sadrži sve elemente nacrta predstečajne nagodbe a koji je propisan člankom 46.a  stavak 1. točka 2. ZFPPN. </w:t>
      </w:r>
    </w:p>
    <w:p w:rsidRDefault="00E42BBB" w:rsidP="00E42BBB" w:rsidR="00811A6C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771F1">
        <w:rPr>
          <w:rFonts w:hAnsi="Times New Roman" w:ascii="Times New Roman"/>
          <w:bCs/>
          <w:szCs w:val="24"/>
          <w:lang w:val="hr-HR"/>
        </w:rPr>
        <w:t xml:space="preserve">U konkretnom slučaju predlagatelj-dužnik nije postupio po navedenim zakonskim odredbama, pa je iz toga razloga predlagatelj-dužnik pozvan da postupi po traženome. </w:t>
      </w:r>
    </w:p>
    <w:p w:rsidRDefault="00811A6C" w:rsidP="00E42BBB" w:rsidR="00811A6C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E42BBB" w:rsidP="00E42BBB" w:rsidR="00E42B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bCs/>
          <w:szCs w:val="24"/>
          <w:lang w:val="hr-HR"/>
        </w:rPr>
        <w:t xml:space="preserve">Točkom </w:t>
      </w:r>
      <w:r w:rsidR="00811A6C">
        <w:rPr>
          <w:rFonts w:hAnsi="Times New Roman" w:ascii="Times New Roman"/>
          <w:bCs/>
          <w:szCs w:val="24"/>
          <w:lang w:val="hr-HR"/>
        </w:rPr>
        <w:t>II</w:t>
      </w:r>
      <w:r w:rsidRPr="00A771F1">
        <w:rPr>
          <w:rFonts w:hAnsi="Times New Roman" w:ascii="Times New Roman"/>
          <w:bCs/>
          <w:szCs w:val="24"/>
          <w:lang w:val="hr-HR"/>
        </w:rPr>
        <w:t>. ovog rješenja predlagatelj-dužnik je upozoren da, ukoliko ne post</w:t>
      </w:r>
      <w:r w:rsidR="00811A6C">
        <w:rPr>
          <w:rFonts w:hAnsi="Times New Roman" w:ascii="Times New Roman"/>
          <w:bCs/>
          <w:szCs w:val="24"/>
          <w:lang w:val="hr-HR"/>
        </w:rPr>
        <w:t>upi po točki I.</w:t>
      </w:r>
      <w:r w:rsidRPr="00A771F1">
        <w:rPr>
          <w:rFonts w:hAnsi="Times New Roman" w:ascii="Times New Roman"/>
          <w:bCs/>
          <w:szCs w:val="24"/>
          <w:lang w:val="hr-HR"/>
        </w:rPr>
        <w:t xml:space="preserve"> ovog rješenja da će sud postupiti sukladno članku 109. stavak 4. Zakona o parničnom postupku </w:t>
      </w:r>
      <w:r w:rsidRPr="00A771F1">
        <w:rPr>
          <w:rFonts w:hAnsi="Times New Roman" w:ascii="Times New Roman"/>
          <w:szCs w:val="24"/>
          <w:lang w:val="hr-HR"/>
        </w:rPr>
        <w:t>(Narodne novine br. 53/91, 91/92, 112/99, 88/01, 117/03, 88/05, 2/07, 84/08, 96/08, 123/08, 57/11, 148/11, 25/13), odnosno da će prijedlog biti odbačen.</w:t>
      </w:r>
    </w:p>
    <w:p w:rsidRDefault="00E42BBB" w:rsidP="00E42BBB" w:rsidR="00E42BB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2BBB" w:rsidP="00E42BBB" w:rsidR="00E42BBB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11A6C" w:rsidP="003E737A" w:rsidR="00811A6C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U Zagrebu</w:t>
      </w:r>
      <w:r w:rsidR="003C7C7E">
        <w:rPr>
          <w:rFonts w:hAnsi="Times New Roman" w:ascii="Times New Roman"/>
          <w:szCs w:val="24"/>
          <w:lang w:val="hr-HR"/>
        </w:rPr>
        <w:t xml:space="preserve"> 3.</w:t>
      </w:r>
      <w:r w:rsidR="00B5229D">
        <w:rPr>
          <w:rFonts w:hAnsi="Times New Roman" w:ascii="Times New Roman"/>
          <w:szCs w:val="24"/>
          <w:lang w:val="hr-HR"/>
        </w:rPr>
        <w:t xml:space="preserve"> </w:t>
      </w:r>
      <w:r w:rsidR="00CB443F">
        <w:rPr>
          <w:rFonts w:hAnsi="Times New Roman" w:ascii="Times New Roman"/>
          <w:szCs w:val="24"/>
          <w:lang w:val="hr-HR"/>
        </w:rPr>
        <w:t>ožujka</w:t>
      </w:r>
      <w:r w:rsidR="003C7C7E">
        <w:rPr>
          <w:rFonts w:hAnsi="Times New Roman" w:ascii="Times New Roman"/>
          <w:szCs w:val="24"/>
          <w:lang w:val="hr-HR"/>
        </w:rPr>
        <w:t xml:space="preserve"> 2016</w:t>
      </w:r>
      <w:r w:rsidR="00B5229D">
        <w:rPr>
          <w:rFonts w:hAnsi="Times New Roman" w:ascii="Times New Roman"/>
          <w:szCs w:val="24"/>
          <w:lang w:val="hr-HR"/>
        </w:rPr>
        <w:t>.</w:t>
      </w:r>
      <w:r w:rsidRPr="00AA2B98">
        <w:rPr>
          <w:rFonts w:hAnsi="Times New Roman" w:ascii="Times New Roman"/>
          <w:szCs w:val="24"/>
          <w:lang w:val="hr-HR"/>
        </w:rPr>
        <w:t xml:space="preserve"> </w:t>
      </w:r>
    </w:p>
    <w:p w:rsidRDefault="00811A6C" w:rsidP="003E737A" w:rsidR="00811A6C" w:rsidRPr="00AA2B98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     S U D A C: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1631D0">
        <w:rPr>
          <w:rFonts w:hAnsi="Times New Roman" w:ascii="Times New Roman"/>
          <w:szCs w:val="24"/>
          <w:lang w:val="hr-HR"/>
        </w:rPr>
        <w:t>, v.r.</w:t>
      </w: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  <w:r w:rsidRPr="00AA2B98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</w:p>
    <w:p w:rsidRDefault="001631D0" w:rsidP="0009191F" w:rsidR="001631D0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1631D0" w:rsidR="001631D0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1631D0">
      <w:pPr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1631D0">
      <w:pPr>
        <w:rPr>
          <w:rFonts w:hAnsi="Times New Roman" w:ascii="Times New Roman"/>
          <w:color w:val="FFFFFF"/>
          <w:szCs w:val="24"/>
          <w:lang w:val="hr-HR"/>
        </w:rPr>
      </w:pPr>
      <w:r w:rsidRPr="001631D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1631D0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1631D0">
        <w:rPr>
          <w:rFonts w:hAnsi="Times New Roman" w:ascii="Times New Roman"/>
          <w:color w:val="FFFFFF"/>
          <w:szCs w:val="24"/>
          <w:lang w:val="hr-HR"/>
        </w:rPr>
        <w:t>predlagatelj</w:t>
      </w:r>
      <w:r w:rsidR="00CB443F" w:rsidRPr="001631D0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C166BB" w:rsidP="003E737A" w:rsidR="00C166BB" w:rsidRPr="00AA2B98">
      <w:pPr>
        <w:rPr>
          <w:rFonts w:hAnsi="Times New Roman" w:ascii="Times New Roman"/>
          <w:szCs w:val="24"/>
        </w:rPr>
      </w:pPr>
    </w:p>
    <w:sectPr w:rsidSect="00AA2B98" w:rsidR="00C166BB" w:rsidRPr="00AA2B98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B4F" w:rsidR="006C1B4F">
      <w:r>
        <w:separator/>
      </w:r>
    </w:p>
  </w:endnote>
  <w:endnote w:id="0" w:type="continuationSeparator">
    <w:p w:rsidRDefault="006C1B4F" w:rsidR="006C1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B4F" w:rsidR="006C1B4F">
      <w:r>
        <w:separator/>
      </w:r>
    </w:p>
  </w:footnote>
  <w:footnote w:id="0" w:type="continuationSeparator">
    <w:p w:rsidRDefault="006C1B4F" w:rsidR="006C1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FF6" w:rsidP="003A6AEC" w:rsidR="008C4F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4FF6" w:rsidR="008C4F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FF6" w:rsidP="003A6AEC" w:rsidR="008C4F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8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4FF6" w:rsidP="008C4FF6" w:rsidR="008C4FF6" w:rsidRPr="00AA2B98">
    <w:pPr>
      <w:pStyle w:val="Zaglavlje"/>
      <w:jc w:val="right"/>
      <w:rPr>
        <w:rFonts w:hAnsi="Times New Roman" w:ascii="Times New Roman"/>
        <w:szCs w:val="24"/>
        <w:lang w:val="hr-HR"/>
      </w:rPr>
    </w:pPr>
    <w:r w:rsidRPr="00AA2B98">
      <w:rPr>
        <w:rFonts w:hAnsi="Times New Roman" w:ascii="Times New Roman"/>
        <w:szCs w:val="24"/>
        <w:lang w:val="hr-HR"/>
      </w:rPr>
      <w:t xml:space="preserve">20 </w:t>
    </w:r>
    <w:r w:rsidR="003C7C7E">
      <w:rPr>
        <w:rFonts w:hAnsi="Times New Roman" w:ascii="Times New Roman"/>
        <w:szCs w:val="24"/>
        <w:lang w:val="hr-HR"/>
      </w:rPr>
      <w:t>St</w:t>
    </w:r>
    <w:r w:rsidRPr="00AA2B98">
      <w:rPr>
        <w:rFonts w:hAnsi="Times New Roman" w:ascii="Times New Roman"/>
        <w:szCs w:val="24"/>
        <w:lang w:val="hr-HR"/>
      </w:rPr>
      <w:t>-</w:t>
    </w:r>
    <w:r w:rsidR="00143E8A">
      <w:rPr>
        <w:rFonts w:hAnsi="Times New Roman" w:ascii="Times New Roman"/>
        <w:szCs w:val="24"/>
        <w:lang w:val="hr-HR"/>
      </w:rPr>
      <w:t>1825</w:t>
    </w:r>
    <w:r w:rsidR="003C7C7E">
      <w:rPr>
        <w:rFonts w:hAnsi="Times New Roman" w:ascii="Times New Roman"/>
        <w:szCs w:val="24"/>
        <w:lang w:val="hr-HR"/>
      </w:rPr>
      <w:t>/16</w:t>
    </w:r>
  </w:p>
  <w:p w:rsidRDefault="003C0780" w:rsidP="008C4FF6" w:rsidR="003C0780">
    <w:pPr>
      <w:pStyle w:val="Zaglavlje"/>
      <w:jc w:val="right"/>
      <w:rPr>
        <w:sz w:val="22"/>
        <w:szCs w:val="22"/>
        <w:lang w:val="hr-HR"/>
      </w:rPr>
    </w:pPr>
  </w:p>
  <w:p w:rsidRDefault="003C0780" w:rsidP="008C4FF6" w:rsidR="003C0780">
    <w:pPr>
      <w:pStyle w:val="Zaglavlje"/>
      <w:jc w:val="right"/>
      <w:rPr>
        <w:sz w:val="22"/>
        <w:szCs w:val="22"/>
        <w:lang w:val="hr-HR"/>
      </w:rPr>
    </w:pPr>
  </w:p>
  <w:p w:rsidRDefault="001B173B" w:rsidP="008C4FF6" w:rsidR="001B173B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695"/>
    <w:rsid w:val="000B5D7F"/>
    <w:rsid w:val="000D0B46"/>
    <w:rsid w:val="000F14DB"/>
    <w:rsid w:val="000F55D6"/>
    <w:rsid w:val="001055A3"/>
    <w:rsid w:val="00112376"/>
    <w:rsid w:val="00114BBC"/>
    <w:rsid w:val="00143E8A"/>
    <w:rsid w:val="001631D0"/>
    <w:rsid w:val="001677E3"/>
    <w:rsid w:val="00181043"/>
    <w:rsid w:val="001B173B"/>
    <w:rsid w:val="00205B2A"/>
    <w:rsid w:val="00225D25"/>
    <w:rsid w:val="0025567D"/>
    <w:rsid w:val="00262720"/>
    <w:rsid w:val="002758A7"/>
    <w:rsid w:val="002B0889"/>
    <w:rsid w:val="002B2A53"/>
    <w:rsid w:val="00353C0A"/>
    <w:rsid w:val="003A2EED"/>
    <w:rsid w:val="003A6AEC"/>
    <w:rsid w:val="003C0780"/>
    <w:rsid w:val="003C7C7E"/>
    <w:rsid w:val="003E737A"/>
    <w:rsid w:val="00414547"/>
    <w:rsid w:val="00422AA2"/>
    <w:rsid w:val="00455B8A"/>
    <w:rsid w:val="00456395"/>
    <w:rsid w:val="0049624C"/>
    <w:rsid w:val="004A7A4A"/>
    <w:rsid w:val="004C5D49"/>
    <w:rsid w:val="00514831"/>
    <w:rsid w:val="005348AC"/>
    <w:rsid w:val="00537B9B"/>
    <w:rsid w:val="00573F6D"/>
    <w:rsid w:val="005A39F8"/>
    <w:rsid w:val="005B292B"/>
    <w:rsid w:val="005B6A02"/>
    <w:rsid w:val="005C0E1F"/>
    <w:rsid w:val="005F06A1"/>
    <w:rsid w:val="00652755"/>
    <w:rsid w:val="00655A86"/>
    <w:rsid w:val="00684BE1"/>
    <w:rsid w:val="006C1B4F"/>
    <w:rsid w:val="006E5637"/>
    <w:rsid w:val="006E6E8A"/>
    <w:rsid w:val="006F28BE"/>
    <w:rsid w:val="006F2BDA"/>
    <w:rsid w:val="00706D94"/>
    <w:rsid w:val="00737933"/>
    <w:rsid w:val="00771776"/>
    <w:rsid w:val="00797A79"/>
    <w:rsid w:val="007A3CE4"/>
    <w:rsid w:val="007E20EE"/>
    <w:rsid w:val="00811A6C"/>
    <w:rsid w:val="00851CF8"/>
    <w:rsid w:val="00866850"/>
    <w:rsid w:val="008816EF"/>
    <w:rsid w:val="00882AAC"/>
    <w:rsid w:val="008C346E"/>
    <w:rsid w:val="008C4FF6"/>
    <w:rsid w:val="0094790C"/>
    <w:rsid w:val="009A0787"/>
    <w:rsid w:val="009D098F"/>
    <w:rsid w:val="009D6AA6"/>
    <w:rsid w:val="00A0185C"/>
    <w:rsid w:val="00A4142B"/>
    <w:rsid w:val="00A546B9"/>
    <w:rsid w:val="00A92116"/>
    <w:rsid w:val="00AA2B98"/>
    <w:rsid w:val="00AD1FA5"/>
    <w:rsid w:val="00B2323F"/>
    <w:rsid w:val="00B456F9"/>
    <w:rsid w:val="00B5229D"/>
    <w:rsid w:val="00BC2943"/>
    <w:rsid w:val="00BC699E"/>
    <w:rsid w:val="00C166BB"/>
    <w:rsid w:val="00C207C8"/>
    <w:rsid w:val="00C355CD"/>
    <w:rsid w:val="00C5118F"/>
    <w:rsid w:val="00C552A2"/>
    <w:rsid w:val="00C63F6B"/>
    <w:rsid w:val="00C77246"/>
    <w:rsid w:val="00CB443F"/>
    <w:rsid w:val="00CF266C"/>
    <w:rsid w:val="00D814D4"/>
    <w:rsid w:val="00DB2D7D"/>
    <w:rsid w:val="00DD560E"/>
    <w:rsid w:val="00E05F5E"/>
    <w:rsid w:val="00E13E44"/>
    <w:rsid w:val="00E23ED3"/>
    <w:rsid w:val="00E34475"/>
    <w:rsid w:val="00E36F8D"/>
    <w:rsid w:val="00E42BBB"/>
    <w:rsid w:val="00EA5810"/>
    <w:rsid w:val="00EA5F96"/>
    <w:rsid w:val="00EC1079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3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1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1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1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1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3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1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1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1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1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GOLDEX d.o.o.</izvorni_sadrzaj>
    <derivirana_varijabla naziv="DomainObject.Predmet.ProtustrankaFormated_1">  GOLDEX d.o.o.</derivirana_varijabla>
  </DomainObject.Predmet.ProtustrankaFormated>
  <DomainObject.Predmet.ProtustrankaFormatedOIB>
    <izvorni_sadrzaj>  GOLDEX d.o.o., OIB 52966343019</izvorni_sadrzaj>
    <derivirana_varijabla naziv="DomainObject.Predmet.ProtustrankaFormatedOIB_1">  GOLDEX d.o.o., OIB 52966343019</derivirana_varijabla>
  </DomainObject.Predmet.ProtustrankaFormatedOIB>
  <DomainObject.Predmet.ProtustrankaFormatedWithAdress>
    <izvorni_sadrzaj> GOLDEX d.o.o., Konjščinska 22, 10000 Zagreb</izvorni_sadrzaj>
    <derivirana_varijabla naziv="DomainObject.Predmet.ProtustrankaFormatedWithAdress_1"> GOLDEX d.o.o., Konjščinska 22, 10000 Zagreb</derivirana_varijabla>
  </DomainObject.Predmet.ProtustrankaFormatedWithAdress>
  <DomainObject.Predmet.ProtustrankaFormatedWithAdressOIB>
    <izvorni_sadrzaj> GOLDEX d.o.o., OIB 52966343019, Konjščinska 22, 10000 Zagreb</izvorni_sadrzaj>
    <derivirana_varijabla naziv="DomainObject.Predmet.ProtustrankaFormatedWithAdressOIB_1"> GOLDEX d.o.o., OIB 52966343019, Konjščinska 22, 10000 Zagreb</derivirana_varijabla>
  </DomainObject.Predmet.ProtustrankaFormatedWithAdressOIB>
  <DomainObject.Predmet.ProtustrankaWithAdress>
    <izvorni_sadrzaj>GOLDEX d.o.o. Konjščinska 22, 10000 Zagreb</izvorni_sadrzaj>
    <derivirana_varijabla naziv="DomainObject.Predmet.ProtustrankaWithAdress_1">GOLDEX d.o.o. Konjščinska 22, 10000 Zagreb</derivirana_varijabla>
  </DomainObject.Predmet.ProtustrankaWithAdress>
  <DomainObject.Predmet.ProtustrankaWithAdressOIB>
    <izvorni_sadrzaj>GOLDEX d.o.o., OIB 52966343019, Konjščinska 22, 10000 Zagreb</izvorni_sadrzaj>
    <derivirana_varijabla naziv="DomainObject.Predmet.ProtustrankaWithAdressOIB_1">GOLDEX d.o.o., OIB 52966343019, Konjščinska 22, 10000 Zagreb</derivirana_varijabla>
  </DomainObject.Predmet.ProtustrankaWithAdressOIB>
  <DomainObject.Predmet.ProtustrankaNazivFormated>
    <izvorni_sadrzaj>GOLDEX d.o.o.</izvorni_sadrzaj>
    <derivirana_varijabla naziv="DomainObject.Predmet.ProtustrankaNazivFormated_1">GOLDEX d.o.o.</derivirana_varijabla>
  </DomainObject.Predmet.ProtustrankaNazivFormated>
  <DomainObject.Predmet.ProtustrankaNazivFormatedOIB>
    <izvorni_sadrzaj>GOLDEX d.o.o., OIB 52966343019</izvorni_sadrzaj>
    <derivirana_varijabla naziv="DomainObject.Predmet.ProtustrankaNazivFormatedOIB_1">GOLDEX d.o.o., OIB 52966343019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GOLDEX d.o.o.</izvorni_sadrzaj>
    <derivirana_varijabla naziv="DomainObject.Predmet.StrankaFormated_1">  GOLDEX d.o.o.</derivirana_varijabla>
  </DomainObject.Predmet.StrankaFormated>
  <DomainObject.Predmet.StrankaFormatedOIB>
    <izvorni_sadrzaj>  GOLDEX d.o.o., OIB 52966343019</izvorni_sadrzaj>
    <derivirana_varijabla naziv="DomainObject.Predmet.StrankaFormatedOIB_1">  GOLDEX d.o.o., OIB 52966343019</derivirana_varijabla>
  </DomainObject.Predmet.StrankaFormatedOIB>
  <DomainObject.Predmet.StrankaFormatedWithAdress>
    <izvorni_sadrzaj> GOLDEX d.o.o., Konjščinska 22, 10000 Zagreb</izvorni_sadrzaj>
    <derivirana_varijabla naziv="DomainObject.Predmet.StrankaFormatedWithAdress_1"> GOLDEX d.o.o., Konjščinska 22, 10000 Zagreb</derivirana_varijabla>
  </DomainObject.Predmet.StrankaFormatedWithAdress>
  <DomainObject.Predmet.StrankaFormatedWithAdressOIB>
    <izvorni_sadrzaj> GOLDEX d.o.o., OIB 52966343019, Konjščinska 22, 10000 Zagreb</izvorni_sadrzaj>
    <derivirana_varijabla naziv="DomainObject.Predmet.StrankaFormatedWithAdressOIB_1"> GOLDEX d.o.o., OIB 52966343019, Konjščinska 22, 10000 Zagreb</derivirana_varijabla>
  </DomainObject.Predmet.StrankaFormatedWithAdressOIB>
  <DomainObject.Predmet.StrankaWithAdress>
    <izvorni_sadrzaj>GOLDEX d.o.o. Konjščinska 22,10000 Zagreb</izvorni_sadrzaj>
    <derivirana_varijabla naziv="DomainObject.Predmet.StrankaWithAdress_1">GOLDEX d.o.o. Konjščinska 22,10000 Zagreb</derivirana_varijabla>
  </DomainObject.Predmet.StrankaWithAdress>
  <DomainObject.Predmet.StrankaWithAdressOIB>
    <izvorni_sadrzaj>GOLDEX d.o.o., OIB 52966343019, Konjščinska 22,10000 Zagreb</izvorni_sadrzaj>
    <derivirana_varijabla naziv="DomainObject.Predmet.StrankaWithAdressOIB_1">GOLDEX d.o.o., OIB 52966343019, Konjščinska 22,10000 Zagreb</derivirana_varijabla>
  </DomainObject.Predmet.StrankaWithAdressOIB>
  <DomainObject.Predmet.StrankaNazivFormated>
    <izvorni_sadrzaj>GOLDEX d.o.o.</izvorni_sadrzaj>
    <derivirana_varijabla naziv="DomainObject.Predmet.StrankaNazivFormated_1">GOLDEX d.o.o.</derivirana_varijabla>
  </DomainObject.Predmet.StrankaNazivFormated>
  <DomainObject.Predmet.StrankaNazivFormatedOIB>
    <izvorni_sadrzaj>GOLDEX d.o.o., OIB 52966343019</izvorni_sadrzaj>
    <derivirana_varijabla naziv="DomainObject.Predmet.StrankaNazivFormatedOIB_1">GOLDEX d.o.o., OIB 52966343019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GOLDEX d.o.o.</item>
    </izvorni_sadrzaj>
    <derivirana_varijabla naziv="DomainObject.Predmet.StrankaListFormated_1">
      <item>GOLDEX d.o.o.</item>
    </derivirana_varijabla>
  </DomainObject.Predmet.StrankaListFormated>
  <DomainObject.Predmet.StrankaListFormatedOIB>
    <izvorni_sadrzaj>
      <item>GOLDEX d.o.o., OIB 52966343019</item>
    </izvorni_sadrzaj>
    <derivirana_varijabla naziv="DomainObject.Predmet.StrankaListFormatedOIB_1">
      <item>GOLDEX d.o.o., OIB 52966343019</item>
    </derivirana_varijabla>
  </DomainObject.Predmet.StrankaListFormatedOIB>
  <DomainObject.Predmet.StrankaListFormatedWithAdress>
    <izvorni_sadrzaj>
      <item>GOLDEX d.o.o., Konjščinska 22, 10000 Zagreb</item>
    </izvorni_sadrzaj>
    <derivirana_varijabla naziv="DomainObject.Predmet.StrankaListFormatedWithAdress_1">
      <item>GOLDEX d.o.o., Konjščinska 22, 10000 Zagreb</item>
    </derivirana_varijabla>
  </DomainObject.Predmet.StrankaListFormatedWithAdress>
  <DomainObject.Predmet.StrankaListFormatedWithAdressOIB>
    <izvorni_sadrzaj>
      <item>GOLDEX d.o.o., OIB 52966343019, Konjščinska 22, 10000 Zagreb</item>
    </izvorni_sadrzaj>
    <derivirana_varijabla naziv="DomainObject.Predmet.StrankaListFormatedWithAdressOIB_1">
      <item>GOLDEX d.o.o., OIB 52966343019, Konjščinska 22, 10000 Zagreb</item>
    </derivirana_varijabla>
  </DomainObject.Predmet.StrankaListFormatedWithAdressOIB>
  <DomainObject.Predmet.StrankaListNazivFormated>
    <izvorni_sadrzaj>
      <item>GOLDEX d.o.o.</item>
    </izvorni_sadrzaj>
    <derivirana_varijabla naziv="DomainObject.Predmet.StrankaListNazivFormated_1">
      <item>GOLDEX d.o.o.</item>
    </derivirana_varijabla>
  </DomainObject.Predmet.StrankaListNazivFormated>
  <DomainObject.Predmet.StrankaListNazivFormatedOIB>
    <izvorni_sadrzaj>
      <item>GOLDEX d.o.o., OIB 52966343019</item>
    </izvorni_sadrzaj>
    <derivirana_varijabla naziv="DomainObject.Predmet.StrankaListNazivFormatedOIB_1">
      <item>GOLDEX d.o.o., OIB 52966343019</item>
    </derivirana_varijabla>
  </DomainObject.Predmet.StrankaListNazivFormatedOIB>
  <DomainObject.Predmet.ProtuStrankaListFormated>
    <izvorni_sadrzaj>
      <item>GOLDEX d.o.o.</item>
    </izvorni_sadrzaj>
    <derivirana_varijabla naziv="DomainObject.Predmet.ProtuStrankaListFormated_1">
      <item>GOLDEX d.o.o.</item>
    </derivirana_varijabla>
  </DomainObject.Predmet.ProtuStrankaListFormated>
  <DomainObject.Predmet.ProtuStrankaListFormatedOIB>
    <izvorni_sadrzaj>
      <item>GOLDEX d.o.o., OIB 52966343019</item>
    </izvorni_sadrzaj>
    <derivirana_varijabla naziv="DomainObject.Predmet.ProtuStrankaListFormatedOIB_1">
      <item>GOLDEX d.o.o., OIB 52966343019</item>
    </derivirana_varijabla>
  </DomainObject.Predmet.ProtuStrankaListFormatedOIB>
  <DomainObject.Predmet.ProtuStrankaListFormatedWithAdress>
    <izvorni_sadrzaj>
      <item>GOLDEX d.o.o., Konjščinska 22, 10000 Zagreb</item>
    </izvorni_sadrzaj>
    <derivirana_varijabla naziv="DomainObject.Predmet.ProtuStrankaListFormatedWithAdress_1">
      <item>GOLDEX d.o.o., Konjščinska 22, 10000 Zagreb</item>
    </derivirana_varijabla>
  </DomainObject.Predmet.ProtuStrankaListFormatedWithAdress>
  <DomainObject.Predmet.ProtuStrankaListFormatedWithAdressOIB>
    <izvorni_sadrzaj>
      <item>GOLDEX d.o.o., OIB 52966343019, Konjščinska 22, 10000 Zagreb</item>
    </izvorni_sadrzaj>
    <derivirana_varijabla naziv="DomainObject.Predmet.ProtuStrankaListFormatedWithAdressOIB_1">
      <item>GOLDEX d.o.o., OIB 52966343019, Konjščinska 22, 10000 Zagreb</item>
    </derivirana_varijabla>
  </DomainObject.Predmet.ProtuStrankaListFormatedWithAdressOIB>
  <DomainObject.Predmet.ProtuStrankaListNazivFormated>
    <izvorni_sadrzaj>
      <item>GOLDEX d.o.o.</item>
    </izvorni_sadrzaj>
    <derivirana_varijabla naziv="DomainObject.Predmet.ProtuStrankaListNazivFormated_1">
      <item>GOLDEX d.o.o.</item>
    </derivirana_varijabla>
  </DomainObject.Predmet.ProtuStrankaListNazivFormated>
  <DomainObject.Predmet.ProtuStrankaListNazivFormatedOIB>
    <izvorni_sadrzaj>
      <item>GOLDEX d.o.o., OIB 52966343019</item>
    </izvorni_sadrzaj>
    <derivirana_varijabla naziv="DomainObject.Predmet.ProtuStrankaListNazivFormatedOIB_1">
      <item>GOLDEX d.o.o., OIB 52966343019</item>
    </derivirana_varijabla>
  </DomainObject.Predmet.ProtuStrankaListNazivFormatedOIB>
  <DomainObject.Predmet.OstaliListFormated>
    <izvorni_sadrzaj>
      <item>Robert Berišić</item>
    </izvorni_sadrzaj>
    <derivirana_varijabla naziv="DomainObject.Predmet.OstaliListFormated_1">
      <item>Robert Berišić</item>
    </derivirana_varijabla>
  </DomainObject.Predmet.OstaliListFormated>
  <DomainObject.Predmet.OstaliListFormatedOIB>
    <izvorni_sadrzaj>
      <item>Robert Berišić, OIB 01124833854</item>
    </izvorni_sadrzaj>
    <derivirana_varijabla naziv="DomainObject.Predmet.OstaliListFormatedOIB_1">
      <item>Robert Berišić, OIB 01124833854</item>
    </derivirana_varijabla>
  </DomainObject.Predmet.OstaliListFormatedOIB>
  <DomainObject.Predmet.OstaliListFormatedWithAdress>
    <izvorni_sadrzaj>
      <item>Robert Berišić, Remete 65, 10000 Zagreb</item>
    </izvorni_sadrzaj>
    <derivirana_varijabla naziv="DomainObject.Predmet.OstaliListFormatedWithAdress_1">
      <item>Robert Berišić, Remete 65, 10000 Zagreb</item>
    </derivirana_varijabla>
  </DomainObject.Predmet.OstaliListFormatedWithAdress>
  <DomainObject.Predmet.OstaliListFormatedWithAdressOIB>
    <izvorni_sadrzaj>
      <item>Robert Berišić, OIB 01124833854, Remete 65, 10000 Zagreb</item>
    </izvorni_sadrzaj>
    <derivirana_varijabla naziv="DomainObject.Predmet.OstaliListFormatedWithAdressOIB_1">
      <item>Robert Berišić, OIB 01124833854, Remete 65, 10000 Zagreb</item>
    </derivirana_varijabla>
  </DomainObject.Predmet.OstaliListFormatedWithAdressOIB>
  <DomainObject.Predmet.OstaliListNazivFormated>
    <izvorni_sadrzaj>
      <item>Robert Berišić</item>
    </izvorni_sadrzaj>
    <derivirana_varijabla naziv="DomainObject.Predmet.OstaliListNazivFormated_1">
      <item>Robert Berišić</item>
    </derivirana_varijabla>
  </DomainObject.Predmet.OstaliListNazivFormated>
  <DomainObject.Predmet.OstaliListNazivFormatedOIB>
    <izvorni_sadrzaj>
      <item>Robert Berišić, OIB 01124833854</item>
    </izvorni_sadrzaj>
    <derivirana_varijabla naziv="DomainObject.Predmet.OstaliListNazivFormatedOIB_1">
      <item>Robert Berišić, OIB 01124833854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GOLDEX d.o.o.</izvorni_sadrzaj>
    <derivirana_varijabla naziv="DomainObject.Predmet.StrankaIDrugi_1">GOLDEX d.o.o.</derivirana_varijabla>
  </DomainObject.Predmet.StrankaIDrugi>
  <DomainObject.Predmet.ProtustrankaIDrugi>
    <izvorni_sadrzaj>GOLDEX d.o.o.</izvorni_sadrzaj>
    <derivirana_varijabla naziv="DomainObject.Predmet.ProtustrankaIDrugi_1">GOLDEX d.o.o.</derivirana_varijabla>
  </DomainObject.Predmet.ProtustrankaIDrugi>
  <DomainObject.Predmet.StrankaIDrugiAdressOIB>
    <izvorni_sadrzaj>GOLDEX d.o.o., OIB 52966343019, Konjščinska 22, 10000 Zagreb</izvorni_sadrzaj>
    <derivirana_varijabla naziv="DomainObject.Predmet.StrankaIDrugiAdressOIB_1">GOLDEX d.o.o., OIB 52966343019, Konjščinska 22, 10000 Zagreb</derivirana_varijabla>
  </DomainObject.Predmet.StrankaIDrugiAdressOIB>
  <DomainObject.Predmet.ProtustrankaIDrugiAdressOIB>
    <izvorni_sadrzaj>GOLDEX d.o.o., OIB 52966343019, Konjščinska 22, 10000 Zagreb</izvorni_sadrzaj>
    <derivirana_varijabla naziv="DomainObject.Predmet.ProtustrankaIDrugiAdressOIB_1">GOLDEX d.o.o., OIB 52966343019, Konjščinska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GOLDEX d.o.o.</item>
      <item>GOLDEX d.o.o.</item>
      <item>Robert Berišić</item>
    </izvorni_sadrzaj>
    <derivirana_varijabla naziv="DomainObject.Predmet.SudioniciListNaziv_1">
      <item>GOLDEX d.o.o.</item>
      <item>GOLDEX d.o.o.</item>
      <item>Robert Berišić</item>
    </derivirana_varijabla>
  </DomainObject.Predmet.SudioniciListNaziv>
  <DomainObject.Predmet.SudioniciListAdressOIB>
    <izvorni_sadrzaj>
      <item>GOLDEX d.o.o., OIB 52966343019, Konjščinska 22,10000 Zagreb</item>
      <item>GOLDEX d.o.o., OIB 52966343019, Konjščinska 22,10000 Zagreb</item>
      <item>Robert Berišić, OIB 01124833854, Remete 65,10000 Zagreb</item>
    </izvorni_sadrzaj>
    <derivirana_varijabla naziv="DomainObject.Predmet.SudioniciListAdressOIB_1">
      <item>GOLDEX d.o.o., OIB 52966343019, Konjščinska 22,10000 Zagreb</item>
      <item>GOLDEX d.o.o., OIB 52966343019, Konjščinska 22,10000 Zagreb</item>
      <item>Robert Berišić, OIB 01124833854, Remete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52966343019</item>
      <item>, OIB 52966343019</item>
      <item>, OIB 01124833854</item>
    </izvorni_sadrzaj>
    <derivirana_varijabla naziv="DomainObject.Predmet.SudioniciListNazivOIB_1">
      <item>, OIB 52966343019</item>
      <item>, OIB 52966343019</item>
      <item>, OIB 01124833854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445</properties:Words>
  <properties:Characters>2483</properties:Characters>
  <properties:Lines>79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2016-03-03T14:06:00Z</dcterms:created>
  <dc:creator>Sudsko vijeće</dc:creator>
  <cp:lastModifiedBy>Valentina Kranjčić</cp:lastModifiedBy>
  <cp:lastPrinted>2016-03-03T14:22:00Z</cp:lastPrinted>
  <dcterms:modified xmlns:xsi="http://www.w3.org/2001/XMLSchema-instance" xsi:type="dcterms:W3CDTF">2016-03-03T14:23:00Z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