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93f0" w14:paraId="a9493f0" w:rsidRDefault="00A56CB5" w:rsidP="00B800D2" w:rsidR="00E423D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St-512</w:t>
      </w:r>
      <w:r w:rsidR="00B800D2">
        <w:rPr>
          <w:rFonts w:cs="Times New Roman" w:hAnsi="Times New Roman" w:ascii="Times New Roman"/>
          <w:sz w:val="24"/>
          <w:szCs w:val="24"/>
        </w:rPr>
        <w:t>/15</w:t>
      </w: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right"/>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800D2" w:rsidP="00B800D2" w:rsidR="00B800D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800D2" w:rsidP="00B800D2" w:rsidR="00B800D2">
      <w:pPr>
        <w:pStyle w:val="Bezproreda"/>
        <w:jc w:val="center"/>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stečajnom sucu Terezija Goreta, odlučujući o prijedlogu FINE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za pokretanje stečajnog postupka nad dužnikom </w:t>
      </w:r>
      <w:r w:rsidR="00A56CB5">
        <w:rPr>
          <w:rFonts w:cs="Times New Roman" w:hAnsi="Times New Roman" w:ascii="Times New Roman"/>
          <w:sz w:val="24"/>
          <w:szCs w:val="24"/>
        </w:rPr>
        <w:t>TLM TVORNICA LAKIH METALA d.d., Šibenik, Ulica Narodnog preporoda 12, OIB: 71112635487</w:t>
      </w:r>
      <w:r w:rsidR="00750AC9">
        <w:rPr>
          <w:rFonts w:cs="Times New Roman" w:hAnsi="Times New Roman" w:ascii="Times New Roman"/>
          <w:sz w:val="24"/>
          <w:szCs w:val="24"/>
        </w:rPr>
        <w:t>, izvan ročišta, dana 05</w:t>
      </w:r>
      <w:r>
        <w:rPr>
          <w:rFonts w:cs="Times New Roman" w:hAnsi="Times New Roman" w:ascii="Times New Roman"/>
          <w:sz w:val="24"/>
          <w:szCs w:val="24"/>
        </w:rPr>
        <w:t xml:space="preserve">. </w:t>
      </w:r>
      <w:r w:rsidR="00A15500">
        <w:rPr>
          <w:rFonts w:cs="Times New Roman" w:hAnsi="Times New Roman" w:ascii="Times New Roman"/>
          <w:sz w:val="24"/>
          <w:szCs w:val="24"/>
        </w:rPr>
        <w:t>studenog</w:t>
      </w:r>
      <w:r>
        <w:rPr>
          <w:rFonts w:cs="Times New Roman" w:hAnsi="Times New Roman" w:ascii="Times New Roman"/>
          <w:sz w:val="24"/>
          <w:szCs w:val="24"/>
        </w:rPr>
        <w:t xml:space="preserve"> 2015. godine,</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Odbacuje se prijedlog za otvaranje stečajnog postupka nad dužnikom </w:t>
      </w:r>
      <w:r w:rsidR="00A56CB5">
        <w:rPr>
          <w:rFonts w:cs="Times New Roman" w:hAnsi="Times New Roman" w:ascii="Times New Roman"/>
          <w:sz w:val="24"/>
          <w:szCs w:val="24"/>
        </w:rPr>
        <w:t>TLM TVORNICA LAKIH METALA d.d., Šibenik, Ulica Narodnog preporoda 12, OIB: 71112635487</w:t>
      </w:r>
      <w:r>
        <w:rPr>
          <w:rFonts w:cs="Times New Roman" w:hAnsi="Times New Roman" w:ascii="Times New Roman"/>
          <w:sz w:val="24"/>
          <w:szCs w:val="24"/>
        </w:rPr>
        <w:t>.</w:t>
      </w:r>
    </w:p>
    <w:p w:rsidRDefault="00B800D2" w:rsidP="00B800D2" w:rsidR="00B800D2">
      <w:pPr>
        <w:pStyle w:val="Bezproreda"/>
        <w:jc w:val="both"/>
        <w:rPr>
          <w:rFonts w:cs="Times New Roman" w:hAnsi="Times New Roman" w:ascii="Times New Roman"/>
          <w:sz w:val="24"/>
          <w:szCs w:val="24"/>
        </w:rPr>
      </w:pPr>
    </w:p>
    <w:p w:rsidRDefault="00B800D2" w:rsidP="00B800D2" w:rsidR="00B800D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800D2" w:rsidP="00B800D2" w:rsidR="00B800D2">
      <w:pPr>
        <w:pStyle w:val="Bezproreda"/>
        <w:jc w:val="center"/>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FINA – Regionalni centar Split</w:t>
      </w:r>
      <w:r w:rsidR="00305492">
        <w:rPr>
          <w:rFonts w:cs="Times New Roman" w:hAnsi="Times New Roman" w:ascii="Times New Roman"/>
          <w:sz w:val="24"/>
          <w:szCs w:val="24"/>
        </w:rPr>
        <w:t>, Podružnica Šibenik,</w:t>
      </w:r>
      <w:r>
        <w:rPr>
          <w:rFonts w:cs="Times New Roman" w:hAnsi="Times New Roman" w:ascii="Times New Roman"/>
          <w:sz w:val="24"/>
          <w:szCs w:val="24"/>
        </w:rPr>
        <w:t xml:space="preserve"> podnijela je ovom sudu preko pošte preporučeno </w:t>
      </w:r>
      <w:r w:rsidR="00750AC9">
        <w:rPr>
          <w:rFonts w:cs="Times New Roman" w:hAnsi="Times New Roman" w:ascii="Times New Roman"/>
          <w:sz w:val="24"/>
          <w:szCs w:val="24"/>
        </w:rPr>
        <w:t>03</w:t>
      </w:r>
      <w:r w:rsidR="00747DC6">
        <w:rPr>
          <w:rFonts w:cs="Times New Roman" w:hAnsi="Times New Roman" w:ascii="Times New Roman"/>
          <w:sz w:val="24"/>
          <w:szCs w:val="24"/>
        </w:rPr>
        <w:t xml:space="preserve">. </w:t>
      </w:r>
      <w:r w:rsidR="00750AC9">
        <w:rPr>
          <w:rFonts w:cs="Times New Roman" w:hAnsi="Times New Roman" w:ascii="Times New Roman"/>
          <w:sz w:val="24"/>
          <w:szCs w:val="24"/>
        </w:rPr>
        <w:t>studenog</w:t>
      </w:r>
      <w:r w:rsidR="00747DC6">
        <w:rPr>
          <w:rFonts w:cs="Times New Roman" w:hAnsi="Times New Roman" w:ascii="Times New Roman"/>
          <w:sz w:val="24"/>
          <w:szCs w:val="24"/>
        </w:rPr>
        <w:t xml:space="preserve"> 2015. godine </w:t>
      </w:r>
      <w:r>
        <w:rPr>
          <w:rFonts w:cs="Times New Roman" w:hAnsi="Times New Roman" w:ascii="Times New Roman"/>
          <w:sz w:val="24"/>
          <w:szCs w:val="24"/>
        </w:rPr>
        <w:t xml:space="preserve">prijedlog za otvaranje stečajnog postupka nad dužnikom. U prijedlogu se u bitnome navodi da dužnik na dan </w:t>
      </w:r>
      <w:r w:rsidR="00A56CB5">
        <w:rPr>
          <w:rFonts w:cs="Times New Roman" w:hAnsi="Times New Roman" w:ascii="Times New Roman"/>
          <w:sz w:val="24"/>
          <w:szCs w:val="24"/>
        </w:rPr>
        <w:t>23</w:t>
      </w:r>
      <w:r w:rsidR="00747DC6">
        <w:rPr>
          <w:rFonts w:cs="Times New Roman" w:hAnsi="Times New Roman" w:ascii="Times New Roman"/>
          <w:sz w:val="24"/>
          <w:szCs w:val="24"/>
        </w:rPr>
        <w:t xml:space="preserve">. </w:t>
      </w:r>
      <w:r w:rsidR="00A56CB5">
        <w:rPr>
          <w:rFonts w:cs="Times New Roman" w:hAnsi="Times New Roman" w:ascii="Times New Roman"/>
          <w:sz w:val="24"/>
          <w:szCs w:val="24"/>
        </w:rPr>
        <w:t>listopad</w:t>
      </w:r>
      <w:r w:rsidR="00747DC6">
        <w:rPr>
          <w:rFonts w:cs="Times New Roman" w:hAnsi="Times New Roman" w:ascii="Times New Roman"/>
          <w:sz w:val="24"/>
          <w:szCs w:val="24"/>
        </w:rPr>
        <w:t>a 2015. godine</w:t>
      </w:r>
      <w:r>
        <w:rPr>
          <w:rFonts w:cs="Times New Roman" w:hAnsi="Times New Roman" w:ascii="Times New Roman"/>
          <w:sz w:val="24"/>
          <w:szCs w:val="24"/>
        </w:rPr>
        <w:t xml:space="preserve"> u Očevidniku redoslijeda osnova za plaćanje ima evidentirane neizvršene osnove za plaćanje u ukupnom iznosu od </w:t>
      </w:r>
      <w:r w:rsidR="00A56CB5">
        <w:rPr>
          <w:rFonts w:cs="Times New Roman" w:hAnsi="Times New Roman" w:ascii="Times New Roman"/>
          <w:sz w:val="24"/>
          <w:szCs w:val="24"/>
        </w:rPr>
        <w:t>2.461.988,13</w:t>
      </w:r>
      <w:r>
        <w:rPr>
          <w:rFonts w:cs="Times New Roman" w:hAnsi="Times New Roman" w:ascii="Times New Roman"/>
          <w:sz w:val="24"/>
          <w:szCs w:val="24"/>
        </w:rPr>
        <w:t xml:space="preserve"> kuna, u koji iznos je uračunata kamata i naknada Financijske agencije za provedbu ovrhe na novčanim sredstvima, te da dužnik ima </w:t>
      </w:r>
      <w:r w:rsidR="00A56CB5">
        <w:rPr>
          <w:rFonts w:cs="Times New Roman" w:hAnsi="Times New Roman" w:ascii="Times New Roman"/>
          <w:sz w:val="24"/>
          <w:szCs w:val="24"/>
        </w:rPr>
        <w:t>2</w:t>
      </w:r>
      <w:r>
        <w:rPr>
          <w:rFonts w:cs="Times New Roman" w:hAnsi="Times New Roman" w:ascii="Times New Roman"/>
          <w:sz w:val="24"/>
          <w:szCs w:val="24"/>
        </w:rPr>
        <w:t xml:space="preserve"> zaposlenih, </w:t>
      </w:r>
      <w:r w:rsidR="00A56CB5">
        <w:rPr>
          <w:rFonts w:cs="Times New Roman" w:hAnsi="Times New Roman" w:ascii="Times New Roman"/>
          <w:sz w:val="24"/>
          <w:szCs w:val="24"/>
        </w:rPr>
        <w:t>da ima račun kod Hypo Alpe-Adria-Bank d.d., OTP banka Hrvatska d.d., Zagrebačka banka</w:t>
      </w:r>
      <w:r w:rsidR="00582746">
        <w:rPr>
          <w:rFonts w:cs="Times New Roman" w:hAnsi="Times New Roman" w:ascii="Times New Roman"/>
          <w:sz w:val="24"/>
          <w:szCs w:val="24"/>
        </w:rPr>
        <w:t xml:space="preserve"> i</w:t>
      </w:r>
      <w:r w:rsidR="00A56CB5">
        <w:rPr>
          <w:rFonts w:cs="Times New Roman" w:hAnsi="Times New Roman" w:ascii="Times New Roman"/>
          <w:sz w:val="24"/>
          <w:szCs w:val="24"/>
        </w:rPr>
        <w:t xml:space="preserve"> Jadranska banka d.d., </w:t>
      </w:r>
      <w:r>
        <w:rPr>
          <w:rFonts w:cs="Times New Roman" w:hAnsi="Times New Roman" w:ascii="Times New Roman"/>
          <w:sz w:val="24"/>
          <w:szCs w:val="24"/>
        </w:rPr>
        <w:t>te da nema zaplijenjenih sredstava za namirenje troškova stečajnog postupka, pa da se sukladno čl. 110. st. 1. Stečajnog zakona podnosi prijedlog za otvaranje stečajnog postupka nad dužnikom.</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Iako predlagatelj uz prijedlog ne dostavlja dokaz iz kojeg se može provjeriti da dužnik ima zaposlenih, iz navoda samog predlagatelja proizlazi da dužnik ima jednog zaposlenog, pa proizlazi da nisu ispunjeni uvjeti za pokretanje skraćenog stečajnog postupka.</w:t>
      </w:r>
    </w:p>
    <w:p w:rsidRDefault="00B800D2" w:rsidP="00B800D2" w:rsidR="00B800D2">
      <w:pPr>
        <w:pStyle w:val="Bezproreda"/>
        <w:jc w:val="both"/>
        <w:rPr>
          <w:rFonts w:cs="Times New Roman" w:hAnsi="Times New Roman" w:ascii="Times New Roman"/>
          <w:sz w:val="24"/>
          <w:szCs w:val="24"/>
        </w:rPr>
      </w:pPr>
    </w:p>
    <w:p w:rsidRDefault="00B800D2" w:rsidP="007C1F8D" w:rsidR="00B800D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Međutim, sukladno čl. 444. st. 2. SZ-a iznimno od čl. 110. SZ-a, Financijska agencija dužna je za pravne osobe koje na dan stupanja na snagu Stečajnog zakona imaju u Očevidniku </w:t>
      </w:r>
      <w:r>
        <w:rPr>
          <w:rFonts w:cs="Times New Roman" w:hAnsi="Times New Roman" w:ascii="Times New Roman"/>
          <w:sz w:val="24"/>
          <w:szCs w:val="24"/>
        </w:rPr>
        <w:lastRenderedPageBreak/>
        <w:t xml:space="preserve">redoslijeda osnova za plaćanje evidentirane neizvršene osnove za plaćanje u neprekinutom razdoblju od 120 dana podnijeti prijedlog za otvaranje stečajnog postupka najkasnije </w:t>
      </w:r>
      <w:r w:rsidR="00A15500">
        <w:rPr>
          <w:rFonts w:cs="Times New Roman" w:hAnsi="Times New Roman" w:ascii="Times New Roman"/>
          <w:sz w:val="24"/>
          <w:szCs w:val="24"/>
        </w:rPr>
        <w:t>deset</w:t>
      </w:r>
      <w:r>
        <w:rPr>
          <w:rFonts w:cs="Times New Roman" w:hAnsi="Times New Roman" w:ascii="Times New Roman"/>
          <w:sz w:val="24"/>
          <w:szCs w:val="24"/>
        </w:rPr>
        <w:t xml:space="preserve"> mjeseci, ali ne ranije od </w:t>
      </w:r>
      <w:r w:rsidR="00A15500">
        <w:rPr>
          <w:rFonts w:cs="Times New Roman" w:hAnsi="Times New Roman" w:ascii="Times New Roman"/>
          <w:sz w:val="24"/>
          <w:szCs w:val="24"/>
        </w:rPr>
        <w:t>osam</w:t>
      </w:r>
      <w:r>
        <w:rPr>
          <w:rFonts w:cs="Times New Roman" w:hAnsi="Times New Roman" w:ascii="Times New Roman"/>
          <w:sz w:val="24"/>
          <w:szCs w:val="24"/>
        </w:rPr>
        <w:t xml:space="preserve"> mjeseci od dana stupanja na snagu</w:t>
      </w:r>
      <w:r w:rsidR="00747DC6">
        <w:rPr>
          <w:rFonts w:cs="Times New Roman" w:hAnsi="Times New Roman" w:ascii="Times New Roman"/>
          <w:sz w:val="24"/>
          <w:szCs w:val="24"/>
        </w:rPr>
        <w:t xml:space="preserve"> Stečajnog zakona za pravnu osobu koja u Očevidniku redoslijeda osnova za plaćanje ima evidentirane neizvršene osnove za plaćanje u neprekinutom razdoblju od 120 dana i </w:t>
      </w:r>
      <w:r w:rsidR="00A15500">
        <w:rPr>
          <w:rFonts w:cs="Times New Roman" w:hAnsi="Times New Roman" w:ascii="Times New Roman"/>
          <w:sz w:val="24"/>
          <w:szCs w:val="24"/>
        </w:rPr>
        <w:t>dva ili više zaposlenih.</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U konkretnom slučaju proizlazi da dužnik ima </w:t>
      </w:r>
      <w:r w:rsidR="00A56CB5">
        <w:rPr>
          <w:rFonts w:cs="Times New Roman" w:hAnsi="Times New Roman" w:ascii="Times New Roman"/>
          <w:sz w:val="24"/>
          <w:szCs w:val="24"/>
        </w:rPr>
        <w:t>dvoje</w:t>
      </w:r>
      <w:r w:rsidR="00A15500">
        <w:rPr>
          <w:rFonts w:cs="Times New Roman" w:hAnsi="Times New Roman" w:ascii="Times New Roman"/>
          <w:sz w:val="24"/>
          <w:szCs w:val="24"/>
        </w:rPr>
        <w:t xml:space="preserve"> zaposlenih</w:t>
      </w:r>
      <w:r>
        <w:rPr>
          <w:rFonts w:cs="Times New Roman" w:hAnsi="Times New Roman" w:ascii="Times New Roman"/>
          <w:sz w:val="24"/>
          <w:szCs w:val="24"/>
        </w:rPr>
        <w:t xml:space="preserve"> i prijedlog za otvaranje stečajnog postupka ne može se pokrenuti prije isteka šest mjeseci od 1. </w:t>
      </w:r>
      <w:r w:rsidR="007C1F8D">
        <w:rPr>
          <w:rFonts w:cs="Times New Roman" w:hAnsi="Times New Roman" w:ascii="Times New Roman"/>
          <w:sz w:val="24"/>
          <w:szCs w:val="24"/>
        </w:rPr>
        <w:t>r</w:t>
      </w:r>
      <w:r>
        <w:rPr>
          <w:rFonts w:cs="Times New Roman" w:hAnsi="Times New Roman" w:ascii="Times New Roman"/>
          <w:sz w:val="24"/>
          <w:szCs w:val="24"/>
        </w:rPr>
        <w:t xml:space="preserve">ujna 2015. </w:t>
      </w:r>
      <w:r w:rsidR="007C1F8D">
        <w:rPr>
          <w:rFonts w:cs="Times New Roman" w:hAnsi="Times New Roman" w:ascii="Times New Roman"/>
          <w:sz w:val="24"/>
          <w:szCs w:val="24"/>
        </w:rPr>
        <w:t>g</w:t>
      </w:r>
      <w:r>
        <w:rPr>
          <w:rFonts w:cs="Times New Roman" w:hAnsi="Times New Roman" w:ascii="Times New Roman"/>
          <w:sz w:val="24"/>
          <w:szCs w:val="24"/>
        </w:rPr>
        <w:t>odine kao dana stupanja na snagu Stečajnog zakona.</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Dakle, prijedlog za otvaranje stečajnog postupka je preuranjen.</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1. </w:t>
      </w:r>
      <w:r w:rsidR="00305492">
        <w:rPr>
          <w:rFonts w:cs="Times New Roman" w:hAnsi="Times New Roman" w:ascii="Times New Roman"/>
          <w:sz w:val="24"/>
          <w:szCs w:val="24"/>
        </w:rPr>
        <w:t>o</w:t>
      </w:r>
      <w:r>
        <w:rPr>
          <w:rFonts w:cs="Times New Roman" w:hAnsi="Times New Roman" w:ascii="Times New Roman"/>
          <w:sz w:val="24"/>
          <w:szCs w:val="24"/>
        </w:rPr>
        <w:t xml:space="preserve">žujka 2016. </w:t>
      </w:r>
      <w:r w:rsidR="00305492">
        <w:rPr>
          <w:rFonts w:cs="Times New Roman" w:hAnsi="Times New Roman" w:ascii="Times New Roman"/>
          <w:sz w:val="24"/>
          <w:szCs w:val="24"/>
        </w:rPr>
        <w:t>g</w:t>
      </w:r>
      <w:r>
        <w:rPr>
          <w:rFonts w:cs="Times New Roman" w:hAnsi="Times New Roman" w:ascii="Times New Roman"/>
          <w:sz w:val="24"/>
          <w:szCs w:val="24"/>
        </w:rPr>
        <w:t>odine. Zbog navedenog, sukladno čl. 282. st. 1. ZPP, zbog toga što je čl. 444. st. 2. SZ propisan rok za podnošenje prijedloga, prijedlog je kao nepravodoban trebalo odbaciti.</w:t>
      </w:r>
    </w:p>
    <w:p w:rsidRDefault="00747DC6" w:rsidP="00B800D2" w:rsidR="00747DC6">
      <w:pPr>
        <w:pStyle w:val="Bezproreda"/>
        <w:jc w:val="both"/>
        <w:rPr>
          <w:rFonts w:cs="Times New Roman" w:hAnsi="Times New Roman" w:ascii="Times New Roman"/>
          <w:sz w:val="24"/>
          <w:szCs w:val="24"/>
        </w:rPr>
      </w:pPr>
    </w:p>
    <w:p w:rsidRDefault="00747DC6" w:rsidP="007C1F8D" w:rsidR="00747DC6">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Zbog navedenog, na temelju navedenih propisa, odlučeno je kao u izreci.</w:t>
      </w:r>
    </w:p>
    <w:p w:rsidRDefault="00747DC6" w:rsidP="00B800D2" w:rsidR="00747DC6">
      <w:pPr>
        <w:pStyle w:val="Bezproreda"/>
        <w:jc w:val="both"/>
        <w:rPr>
          <w:rFonts w:cs="Times New Roman" w:hAnsi="Times New Roman" w:ascii="Times New Roman"/>
          <w:sz w:val="24"/>
          <w:szCs w:val="24"/>
        </w:rPr>
      </w:pPr>
    </w:p>
    <w:p w:rsidRDefault="00747DC6" w:rsidP="00B800D2" w:rsidR="00747DC6">
      <w:pPr>
        <w:pStyle w:val="Bezproreda"/>
        <w:jc w:val="both"/>
        <w:rPr>
          <w:rFonts w:cs="Times New Roman" w:hAnsi="Times New Roman" w:ascii="Times New Roman"/>
          <w:sz w:val="24"/>
          <w:szCs w:val="24"/>
        </w:rPr>
      </w:pPr>
    </w:p>
    <w:p w:rsidRDefault="00750AC9" w:rsidP="00747DC6" w:rsidR="00747DC6">
      <w:pPr>
        <w:pStyle w:val="Bezproreda"/>
        <w:jc w:val="center"/>
        <w:rPr>
          <w:rFonts w:cs="Times New Roman" w:hAnsi="Times New Roman" w:ascii="Times New Roman"/>
          <w:sz w:val="24"/>
          <w:szCs w:val="24"/>
        </w:rPr>
      </w:pPr>
      <w:r>
        <w:rPr>
          <w:rFonts w:cs="Times New Roman" w:hAnsi="Times New Roman" w:ascii="Times New Roman"/>
          <w:sz w:val="24"/>
          <w:szCs w:val="24"/>
        </w:rPr>
        <w:t>U Šibeniku, 05</w:t>
      </w:r>
      <w:r w:rsidR="00747DC6">
        <w:rPr>
          <w:rFonts w:cs="Times New Roman" w:hAnsi="Times New Roman" w:ascii="Times New Roman"/>
          <w:sz w:val="24"/>
          <w:szCs w:val="24"/>
        </w:rPr>
        <w:t xml:space="preserve">. </w:t>
      </w:r>
      <w:r w:rsidR="00A15500">
        <w:rPr>
          <w:rFonts w:cs="Times New Roman" w:hAnsi="Times New Roman" w:ascii="Times New Roman"/>
          <w:sz w:val="24"/>
          <w:szCs w:val="24"/>
        </w:rPr>
        <w:t>studenog</w:t>
      </w:r>
      <w:r w:rsidR="00747DC6">
        <w:rPr>
          <w:rFonts w:cs="Times New Roman" w:hAnsi="Times New Roman" w:ascii="Times New Roman"/>
          <w:sz w:val="24"/>
          <w:szCs w:val="24"/>
        </w:rPr>
        <w:t xml:space="preserve"> 2015. godine</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Protiv ovog rješenja dopuštena je žalba. Žalba se izjavljuje Visokom trgovačkom sudu Republike Hrvatske u roku od 8 dana od dana dostave rješenja, ovom sudu pozivom na gornji poslovni broj i žalba ne zadržava provedbu rješenja.</w:t>
      </w:r>
    </w:p>
    <w:p w:rsidRDefault="00747DC6" w:rsidP="00747DC6" w:rsidR="00747DC6">
      <w:pPr>
        <w:pStyle w:val="Bezproreda"/>
        <w:rPr>
          <w:rFonts w:cs="Times New Roman" w:hAnsi="Times New Roman" w:ascii="Times New Roman"/>
          <w:sz w:val="24"/>
          <w:szCs w:val="24"/>
        </w:rPr>
      </w:pPr>
    </w:p>
    <w:p w:rsidRDefault="00747DC6" w:rsidP="00747DC6" w:rsidR="00747DC6">
      <w:pPr>
        <w:pStyle w:val="Bezproreda"/>
        <w:rPr>
          <w:rFonts w:cs="Times New Roman" w:hAnsi="Times New Roman" w:ascii="Times New Roman"/>
          <w:sz w:val="24"/>
          <w:szCs w:val="24"/>
        </w:rPr>
      </w:pPr>
      <w:r>
        <w:rPr>
          <w:rFonts w:cs="Times New Roman" w:hAnsi="Times New Roman" w:ascii="Times New Roman"/>
          <w:sz w:val="24"/>
          <w:szCs w:val="24"/>
        </w:rPr>
        <w:t>DN-a:</w:t>
      </w:r>
    </w:p>
    <w:p w:rsidRDefault="00A15500" w:rsidP="00747DC6" w:rsidR="00747DC6">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predlagatelju FINI, Podružnica Šibenik</w:t>
      </w:r>
    </w:p>
    <w:p w:rsidRDefault="00747DC6" w:rsidP="00747DC6" w:rsidR="00747DC6" w:rsidRPr="00B800D2">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 suda</w:t>
      </w:r>
    </w:p>
    <w:sectPr w:rsidSect="00305492" w:rsidR="00747DC6" w:rsidRPr="00B800D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7D31" w:rsidP="00305492" w:rsidR="003A7D31">
      <w:pPr>
        <w:spacing w:lineRule="auto" w:line="240" w:after="0"/>
      </w:pPr>
      <w:r>
        <w:separator/>
      </w:r>
    </w:p>
  </w:endnote>
  <w:endnote w:id="0" w:type="continuationSeparator">
    <w:p w:rsidRDefault="003A7D31" w:rsidP="00305492" w:rsidR="003A7D3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7D31" w:rsidP="00305492" w:rsidR="003A7D31">
      <w:pPr>
        <w:spacing w:lineRule="auto" w:line="240" w:after="0"/>
      </w:pPr>
      <w:r>
        <w:separator/>
      </w:r>
    </w:p>
  </w:footnote>
  <w:footnote w:id="0" w:type="continuationSeparator">
    <w:p w:rsidRDefault="003A7D31" w:rsidP="00305492" w:rsidR="003A7D3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5508523"/>
      <w:docPartObj>
        <w:docPartGallery w:val="Page Numbers (Top of Page)"/>
        <w:docPartUnique/>
      </w:docPartObj>
    </w:sdtPr>
    <w:sdtEndPr/>
    <w:sdtContent>
      <w:p w:rsidRDefault="00305492" w:rsidR="00305492">
        <w:pPr>
          <w:pStyle w:val="Zaglavlje"/>
        </w:pPr>
        <w:r>
          <w:t xml:space="preserve">                                                                                          </w:t>
        </w:r>
        <w:r>
          <w:fldChar w:fldCharType="begin"/>
        </w:r>
        <w:r>
          <w:instrText>PAGE   \* MERGEFORMAT</w:instrText>
        </w:r>
        <w:r>
          <w:fldChar w:fldCharType="separate"/>
        </w:r>
        <w:r w:rsidR="00572D7B">
          <w:rPr>
            <w:noProof/>
          </w:rPr>
          <w:t>2</w:t>
        </w:r>
        <w:r>
          <w:fldChar w:fldCharType="end"/>
        </w:r>
        <w:r>
          <w:t xml:space="preserve">                                       </w:t>
        </w:r>
        <w:r w:rsidR="00A56CB5">
          <w:t xml:space="preserve">                        9 St-512</w:t>
        </w:r>
        <w:r>
          <w:t>/15</w:t>
        </w:r>
      </w:p>
    </w:sdtContent>
  </w:sdt>
  <w:p w:rsidRDefault="00305492" w:rsidR="003054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20008D"/>
    <w:multiLevelType w:val="hybridMultilevel"/>
    <w:tmpl w:val="4C388E3C"/>
    <w:lvl w:tplc="B6DE1140"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00D2"/>
    <w:rsid w:val="00057F19"/>
    <w:rsid w:val="00093CBE"/>
    <w:rsid w:val="000B516F"/>
    <w:rsid w:val="00130CCC"/>
    <w:rsid w:val="00273495"/>
    <w:rsid w:val="00305492"/>
    <w:rsid w:val="00337590"/>
    <w:rsid w:val="003A7D31"/>
    <w:rsid w:val="0047360A"/>
    <w:rsid w:val="00572D7B"/>
    <w:rsid w:val="00582746"/>
    <w:rsid w:val="00747DC6"/>
    <w:rsid w:val="00750AC9"/>
    <w:rsid w:val="007C1F8D"/>
    <w:rsid w:val="008556CA"/>
    <w:rsid w:val="00A15500"/>
    <w:rsid w:val="00A56CB5"/>
    <w:rsid w:val="00B800D2"/>
    <w:rsid w:val="00BA3135"/>
    <w:rsid w:val="00CC65BE"/>
    <w:rsid w:val="00DA5732"/>
    <w:rsid w:val="00E42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00D2"/>
    <w:pPr>
      <w:spacing w:lineRule="auto" w:line="240" w:after="0"/>
    </w:pPr>
  </w:style>
  <w:style w:styleId="Zaglavlje" w:type="paragraph">
    <w:name w:val="header"/>
    <w:basedOn w:val="Normal"/>
    <w:link w:val="ZaglavljeChar"/>
    <w:uiPriority w:val="99"/>
    <w:unhideWhenUsed/>
    <w:rsid w:val="0030549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582746"/>
    <w:rPr>
      <w:color w:val="808080"/>
      <w:bdr w:space="0" w:sz="0" w:color="auto" w:val="none"/>
      <w:shd w:fill="auto" w:color="auto" w:val="clear"/>
    </w:rPr>
  </w:style>
  <w:style w:customStyle="true" w:styleId="eSPISCCParagraphDefaultFont" w:type="character">
    <w:name w:val="eSPIS_CC_Paragraph Default Font"/>
    <w:basedOn w:val="Zadanifontodlomka"/>
    <w:rsid w:val="005827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8274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27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27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00D2"/>
    <w:pPr>
      <w:spacing w:after="0" w:line="240" w:lineRule="auto"/>
    </w:pPr>
  </w:style>
  <w:style w:styleId="Zaglavlje" w:type="paragraph">
    <w:name w:val="header"/>
    <w:basedOn w:val="Normal"/>
    <w:link w:val="ZaglavljeChar"/>
    <w:uiPriority w:val="99"/>
    <w:unhideWhenUsed/>
    <w:rsid w:val="0030549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05492"/>
  </w:style>
  <w:style w:styleId="Podnoje" w:type="paragraph">
    <w:name w:val="footer"/>
    <w:basedOn w:val="Normal"/>
    <w:link w:val="PodnojeChar"/>
    <w:uiPriority w:val="99"/>
    <w:unhideWhenUsed/>
    <w:rsid w:val="0030549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05492"/>
  </w:style>
  <w:style w:styleId="Tekstrezerviranogmjesta" w:type="character">
    <w:name w:val="Placeholder Text"/>
    <w:basedOn w:val="Zadanifontodlomka"/>
    <w:uiPriority w:val="99"/>
    <w:semiHidden/>
    <w:rsid w:val="00582746"/>
    <w:rPr>
      <w:color w:val="808080"/>
      <w:bdr w:color="auto" w:space="0" w:sz="0" w:val="none"/>
      <w:shd w:color="auto" w:fill="auto" w:val="clear"/>
    </w:rPr>
  </w:style>
  <w:style w:customStyle="1" w:styleId="eSPISCCParagraphDefaultFont" w:type="character">
    <w:name w:val="eSPIS_CC_Paragraph Default Font"/>
    <w:basedOn w:val="Zadanifontodlomka"/>
    <w:rsid w:val="005827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8274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27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27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St-512/2015</izvorni_sadrzaj>
    <derivirana_varijabla naziv="DomainObject.Predmet.OznakaBroj_1">St-512/2015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TLM TVORNICA LAKIH METALA d.d.</izvorni_sadrzaj>
    <derivirana_varijabla naziv="DomainObject.Predmet.ProtustrankaFormated_1">  TLM TVORNICA LAKIH METALA d.d.</derivirana_varijabla>
  </DomainObject.Predmet.ProtustrankaFormated>
  <DomainObject.Predmet.ProtustrankaFormatedOIB>
    <izvorni_sadrzaj>  TLM TVORNICA LAKIH METALA d.d., OIB 71112635487</izvorni_sadrzaj>
    <derivirana_varijabla naziv="DomainObject.Predmet.ProtustrankaFormatedOIB_1">  TLM TVORNICA LAKIH METALA d.d., OIB 71112635487</derivirana_varijabla>
  </DomainObject.Predmet.ProtustrankaFormatedOIB>
  <DomainObject.Predmet.ProtustrankaFormatedWithAdress>
    <izvorni_sadrzaj> TLM TVORNICA LAKIH METALA d.d., Ulica Narodnog Preporoda 12, 22000 Šibenik</izvorni_sadrzaj>
    <derivirana_varijabla naziv="DomainObject.Predmet.ProtustrankaFormatedWithAdress_1"> TLM TVORNICA LAKIH METALA d.d., Ulica Narodnog Preporoda 12, 22000 Šibenik</derivirana_varijabla>
  </DomainObject.Predmet.ProtustrankaFormatedWithAdress>
  <DomainObject.Predmet.ProtustrankaFormatedWithAdressOIB>
    <izvorni_sadrzaj> TLM TVORNICA LAKIH METALA d.d., OIB 71112635487, Ulica Narodnog Preporoda 12, 22000 Šibenik</izvorni_sadrzaj>
    <derivirana_varijabla naziv="DomainObject.Predmet.ProtustrankaFormatedWithAdressOIB_1"> TLM TVORNICA LAKIH METALA d.d., OIB 71112635487, Ulica Narodnog Preporoda 12, 22000 Šibenik</derivirana_varijabla>
  </DomainObject.Predmet.ProtustrankaFormatedWithAdressOIB>
  <DomainObject.Predmet.ProtustrankaWithAdress>
    <izvorni_sadrzaj>TLM TVORNICA LAKIH METALA d.d. Ulica Narodnog Preporoda 12, 22000 Šibenik</izvorni_sadrzaj>
    <derivirana_varijabla naziv="DomainObject.Predmet.ProtustrankaWithAdress_1">TLM TVORNICA LAKIH METALA d.d. Ulica Narodnog Preporoda 12, 22000 Šibenik</derivirana_varijabla>
  </DomainObject.Predmet.ProtustrankaWithAdress>
  <DomainObject.Predmet.ProtustrankaWithAdressOIB>
    <izvorni_sadrzaj>TLM TVORNICA LAKIH METALA d.d., OIB 71112635487, Ulica Narodnog Preporoda 12, 22000 Šibenik</izvorni_sadrzaj>
    <derivirana_varijabla naziv="DomainObject.Predmet.ProtustrankaWithAdressOIB_1">TLM TVORNICA LAKIH METALA d.d., OIB 71112635487, Ulica Narodnog Preporoda 12, 22000 Šibenik</derivirana_varijabla>
  </DomainObject.Predmet.ProtustrankaWithAdressOIB>
  <DomainObject.Predmet.ProtustrankaNazivFormated>
    <izvorni_sadrzaj>TLM TVORNICA LAKIH METALA d.d.</izvorni_sadrzaj>
    <derivirana_varijabla naziv="DomainObject.Predmet.ProtustrankaNazivFormated_1">TLM TVORNICA LAKIH METALA d.d.</derivirana_varijabla>
  </DomainObject.Predmet.ProtustrankaNazivFormated>
  <DomainObject.Predmet.ProtustrankaNazivFormatedOIB>
    <izvorni_sadrzaj>TLM TVORNICA LAKIH METALA d.d., OIB 71112635487</izvorni_sadrzaj>
    <derivirana_varijabla naziv="DomainObject.Predmet.ProtustrankaNazivFormatedOIB_1">TLM TVORNICA LAKIH METALA d.d., OIB 71112635487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TLM TVORNICA LAKIH METALA d.d.</item>
    </izvorni_sadrzaj>
    <derivirana_varijabla naziv="DomainObject.Predmet.ProtuStrankaListFormated_1">
      <item>TLM TVORNICA LAKIH METALA d.d.</item>
    </derivirana_varijabla>
  </DomainObject.Predmet.ProtuStrankaListFormated>
  <DomainObject.Predmet.ProtuStrankaListFormatedOIB>
    <izvorni_sadrzaj>
      <item>TLM TVORNICA LAKIH METALA d.d., OIB 71112635487</item>
    </izvorni_sadrzaj>
    <derivirana_varijabla naziv="DomainObject.Predmet.ProtuStrankaListFormatedOIB_1">
      <item>TLM TVORNICA LAKIH METALA d.d., OIB 71112635487</item>
    </derivirana_varijabla>
  </DomainObject.Predmet.ProtuStrankaListFormatedOIB>
  <DomainObject.Predmet.ProtuStrankaListFormatedWithAdress>
    <izvorni_sadrzaj>
      <item>TLM TVORNICA LAKIH METALA d.d., Ulica Narodnog Preporoda 12, 22000 Šibenik</item>
    </izvorni_sadrzaj>
    <derivirana_varijabla naziv="DomainObject.Predmet.ProtuStrankaListFormatedWithAdress_1">
      <item>TLM TVORNICA LAKIH METALA d.d., Ulica Narodnog Preporoda 12, 22000 Šibenik</item>
    </derivirana_varijabla>
  </DomainObject.Predmet.ProtuStrankaListFormatedWithAdress>
  <DomainObject.Predmet.ProtuStrankaListFormatedWithAdressOIB>
    <izvorni_sadrzaj>
      <item>TLM TVORNICA LAKIH METALA d.d., OIB 71112635487, Ulica Narodnog Preporoda 12, 22000 Šibenik</item>
    </izvorni_sadrzaj>
    <derivirana_varijabla naziv="DomainObject.Predmet.ProtuStrankaListFormatedWithAdressOIB_1">
      <item>TLM TVORNICA LAKIH METALA d.d., OIB 71112635487, Ulica Narodnog Preporoda 12, 22000 Šibenik</item>
    </derivirana_varijabla>
  </DomainObject.Predmet.ProtuStrankaListFormatedWithAdressOIB>
  <DomainObject.Predmet.ProtuStrankaListNazivFormated>
    <izvorni_sadrzaj>
      <item>TLM TVORNICA LAKIH METALA d.d.</item>
    </izvorni_sadrzaj>
    <derivirana_varijabla naziv="DomainObject.Predmet.ProtuStrankaListNazivFormated_1">
      <item>TLM TVORNICA LAKIH METALA d.d.</item>
    </derivirana_varijabla>
  </DomainObject.Predmet.ProtuStrankaListNazivFormated>
  <DomainObject.Predmet.ProtuStrankaListNazivFormatedOIB>
    <izvorni_sadrzaj>
      <item>TLM TVORNICA LAKIH METALA d.d., OIB 71112635487</item>
    </izvorni_sadrzaj>
    <derivirana_varijabla naziv="DomainObject.Predmet.ProtuStrankaListNazivFormatedOIB_1">
      <item>TLM TVORNICA LAKIH METALA d.d., OIB 71112635487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TLM TVORNICA LAKIH METALA d.d.</izvorni_sadrzaj>
    <derivirana_varijabla naziv="DomainObject.Predmet.ProtustrankaIDrugi_1">TLM TVORNICA LAKIH METALA d.d.</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TLM TVORNICA LAKIH METALA d.d., OIB 71112635487, Ulica Narodnog Preporoda 12, 22000 Šibenik</izvorni_sadrzaj>
    <derivirana_varijabla naziv="DomainObject.Predmet.ProtustrankaIDrugiAdressOIB_1">TLM TVORNICA LAKIH METALA d.d., OIB 71112635487, Ulica Narodnog Preporoda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TLM TVORNICA LAKIH METALA d.d.</item>
    </izvorni_sadrzaj>
    <derivirana_varijabla naziv="DomainObject.Predmet.SudioniciListNaziv_1">
      <item>FINA - Podružnica Šibenik</item>
      <item>TLM TVORNICA LAKIH METALA d.d.</item>
    </derivirana_varijabla>
  </DomainObject.Predmet.SudioniciListNaziv>
  <DomainObject.Predmet.SudioniciListAdressOIB>
    <izvorni_sadrzaj>
      <item>FINA - Podružnica Šibenik, OIB 85821130368, Perivoj L. Marune 1,22000 Šibenik</item>
      <item>TLM TVORNICA LAKIH METALA d.d., OIB 71112635487, Ulica Narodnog Preporoda 12,22000 Šibenik</item>
    </izvorni_sadrzaj>
    <derivirana_varijabla naziv="DomainObject.Predmet.SudioniciListAdressOIB_1">
      <item>FINA - Podružnica Šibenik, OIB 85821130368, Perivoj L. Marune 1,22000 Šibenik</item>
      <item>TLM TVORNICA LAKIH METALA d.d., OIB 71112635487, Ulica Narodnog Preporoda 12,22000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71112635487</item>
    </izvorni_sadrzaj>
    <derivirana_varijabla naziv="DomainObject.Predmet.SudioniciListNazivOIB_1">
      <item>, OIB 85821130368</item>
      <item>, OIB 71112635487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3433</properties:Characters>
  <properties:Lines>89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2015-11-03T09:21:00Z</dcterms:created>
  <dc:creator>Katarina Benić</dc:creator>
  <cp:lastModifiedBy>Katarina Benić</cp:lastModifiedBy>
  <cp:lastPrinted>2015-11-05T12:02:00Z</cp:lastPrinted>
  <dcterms:modified xmlns:xsi="http://www.w3.org/2001/XMLSchema-instance" xsi:type="dcterms:W3CDTF">2015-11-05T12:02:00Z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