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512"/>
        <w:gridCol w:w="6058"/>
      </w:tblGrid>
      <w:tr w:rsidTr="00D17C78" w:rsidR="00F76478" w:rsidRPr="00B17BD5">
        <w:trPr>
          <w:trHeight w:val="2353"/>
        </w:trPr>
        <w:tc>
          <w:tcPr>
            <w:tcW w:type="dxa" w:w="3512"/>
            <w:vAlign w:val="center"/>
          </w:tcPr>
          <w:p w:rsidRDefault="00F76478" w:rsidP="00A66C00" w:rsidR="00F76478" w:rsidRPr="00B17BD5">
            <w:pPr>
              <w:spacing w:before="100"/>
              <w:jc w:val="center"/>
              <w:rPr>
                <w:lang w:val="hr-HR"/>
              </w:rPr>
            </w:pPr>
            <w:bookmarkStart w:name="_GoBack" w:id="0"/>
            <w:bookmarkEnd w:id="0"/>
            <w:r w:rsidRPr="00B17BD5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76478" w:rsidP="00A66C00" w:rsidR="00F76478" w:rsidRPr="00B17BD5">
            <w:pPr>
              <w:spacing w:before="100"/>
              <w:rPr>
                <w:sz w:val="24"/>
                <w:szCs w:val="24"/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REPUBLIKA HRVATSKA</w:t>
            </w:r>
          </w:p>
          <w:p w:rsidRDefault="00F76478" w:rsidP="00A66C00" w:rsidR="00F76478" w:rsidRPr="00B17BD5">
            <w:pPr>
              <w:rPr>
                <w:sz w:val="24"/>
                <w:szCs w:val="24"/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TRGOVAČKI SUD U SPLITU</w:t>
            </w:r>
          </w:p>
          <w:p w:rsidRDefault="00F76478" w:rsidP="00DA5B9D" w:rsidR="00F76478" w:rsidRPr="00B17BD5">
            <w:pPr>
              <w:rPr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Split, Sukoišanska 6</w:t>
            </w:r>
          </w:p>
        </w:tc>
        <w:tc>
          <w:tcPr>
            <w:tcW w:type="dxa" w:w="6058"/>
          </w:tcPr>
          <w:p w:rsidRDefault="00F76478" w:rsidP="00DA5B9D" w:rsidR="00F76478" w:rsidRPr="00B17BD5">
            <w:pPr>
              <w:jc w:val="both"/>
              <w:rPr>
                <w:lang w:val="hr-HR"/>
              </w:rPr>
            </w:pPr>
          </w:p>
          <w:p w:rsidRDefault="00F76478" w:rsidP="00DA5B9D" w:rsidR="00F76478" w:rsidRPr="00B17BD5">
            <w:pPr>
              <w:jc w:val="both"/>
              <w:rPr>
                <w:lang w:val="hr-HR"/>
              </w:rPr>
            </w:pPr>
          </w:p>
          <w:p w:rsidRDefault="00F76478" w:rsidP="00DA5B9D" w:rsidR="00F76478" w:rsidRPr="00B17BD5">
            <w:pPr>
              <w:jc w:val="both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sz w:val="24"/>
                <w:lang w:val="hr-HR"/>
              </w:rPr>
            </w:pPr>
          </w:p>
          <w:p w:rsidRDefault="00F76478" w:rsidP="00E44C56" w:rsidR="00F76478" w:rsidRPr="00B17BD5">
            <w:pPr>
              <w:jc w:val="right"/>
              <w:rPr>
                <w:sz w:val="24"/>
                <w:szCs w:val="24"/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Poslovni broj: 11.St-</w:t>
            </w:r>
            <w:r w:rsidR="00E44C56">
              <w:rPr>
                <w:sz w:val="24"/>
                <w:szCs w:val="24"/>
                <w:lang w:val="hr-HR"/>
              </w:rPr>
              <w:t>895/2017</w:t>
            </w:r>
          </w:p>
        </w:tc>
      </w:tr>
    </w:tbl>
    <w:p w14:textId="565cf88" w14:paraId="565cf88" w:rsidRDefault="00A63EE6" w:rsidP="00A63EE6" w:rsidR="00A63EE6" w:rsidRPr="00B17BD5">
      <w:pPr>
        <w:spacing w:after="200" w:before="200"/>
        <w:jc w:val="center"/>
        <w15:collapsed w:val="false"/>
        <w:rPr>
          <w:spacing w:val="60"/>
          <w:sz w:val="24"/>
          <w:szCs w:val="24"/>
          <w:lang w:val="hr-HR"/>
        </w:rPr>
      </w:pPr>
      <w:r w:rsidRPr="00B17BD5">
        <w:rPr>
          <w:spacing w:val="60"/>
          <w:sz w:val="24"/>
          <w:szCs w:val="24"/>
          <w:lang w:val="hr-HR"/>
        </w:rPr>
        <w:t>REPUBLIKA HRVATSKA</w:t>
      </w:r>
    </w:p>
    <w:p w:rsidRDefault="00A63EE6" w:rsidP="00A63EE6" w:rsidR="00A63EE6" w:rsidRPr="00B17BD5">
      <w:pPr>
        <w:jc w:val="center"/>
        <w:rPr>
          <w:rFonts w:eastAsia="Calibri"/>
          <w:sz w:val="24"/>
          <w:szCs w:val="24"/>
          <w:lang w:val="hr-HR"/>
        </w:rPr>
      </w:pPr>
      <w:r w:rsidRPr="00B17BD5">
        <w:rPr>
          <w:rFonts w:eastAsia="Calibri"/>
          <w:sz w:val="24"/>
          <w:szCs w:val="24"/>
          <w:lang w:val="hr-HR"/>
        </w:rPr>
        <w:t xml:space="preserve">R J E Š E N J E </w:t>
      </w:r>
    </w:p>
    <w:p w:rsidRDefault="00A63EE6" w:rsidP="00A63EE6" w:rsidR="00A63EE6" w:rsidRPr="00B17BD5">
      <w:pPr>
        <w:jc w:val="both"/>
        <w:rPr>
          <w:b/>
          <w:sz w:val="24"/>
          <w:szCs w:val="24"/>
          <w:lang w:val="hr-HR"/>
        </w:rPr>
      </w:pPr>
    </w:p>
    <w:p w:rsidRDefault="00A63EE6" w:rsidP="004966CE" w:rsidR="007C087A" w:rsidRPr="00B17BD5">
      <w:pPr>
        <w:ind w:firstLine="708"/>
        <w:jc w:val="both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 xml:space="preserve">Trgovački sud u Splitu, po sutkinji Ani Golub Gruić, </w:t>
      </w:r>
      <w:r w:rsidR="00E44C56" w:rsidRPr="00E44C56">
        <w:rPr>
          <w:sz w:val="24"/>
          <w:szCs w:val="24"/>
          <w:lang w:val="hr-HR"/>
        </w:rPr>
        <w:t>u postupku po prijedlogu za nastavljanje postupka radi naknade diobe stečajne mase iza GOLD ŠTEDIONICA d.o.o. u stečaju, OIB: 25749181068, Split, Mihovila Pavlinovića 2</w:t>
      </w:r>
      <w:r w:rsidR="00F76478" w:rsidRPr="00B17BD5">
        <w:rPr>
          <w:sz w:val="24"/>
          <w:szCs w:val="24"/>
          <w:lang w:val="hr-HR"/>
        </w:rPr>
        <w:t xml:space="preserve">, </w:t>
      </w:r>
      <w:r w:rsidR="00FD4EE6">
        <w:rPr>
          <w:sz w:val="24"/>
          <w:szCs w:val="24"/>
          <w:lang w:val="hr-HR"/>
        </w:rPr>
        <w:t>8</w:t>
      </w:r>
      <w:r w:rsidR="00BF4C1A">
        <w:rPr>
          <w:sz w:val="24"/>
          <w:szCs w:val="24"/>
          <w:lang w:val="hr-HR"/>
        </w:rPr>
        <w:t xml:space="preserve">. </w:t>
      </w:r>
      <w:r w:rsidR="00933576">
        <w:rPr>
          <w:sz w:val="24"/>
          <w:szCs w:val="24"/>
          <w:lang w:val="hr-HR"/>
        </w:rPr>
        <w:t>lipnja</w:t>
      </w:r>
      <w:r w:rsidR="00790D28">
        <w:rPr>
          <w:sz w:val="24"/>
          <w:szCs w:val="24"/>
          <w:lang w:val="hr-HR"/>
        </w:rPr>
        <w:t xml:space="preserve"> 2018</w:t>
      </w:r>
      <w:r w:rsidR="00F76478" w:rsidRPr="00B17BD5">
        <w:rPr>
          <w:sz w:val="24"/>
          <w:szCs w:val="24"/>
          <w:lang w:val="hr-HR"/>
        </w:rPr>
        <w:t xml:space="preserve">. </w:t>
      </w:r>
    </w:p>
    <w:p w:rsidRDefault="00D65A07" w:rsidP="00211511" w:rsidR="00945DD1" w:rsidRPr="00B17BD5">
      <w:pPr>
        <w:spacing w:after="240" w:before="240"/>
        <w:jc w:val="center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>r i j e š i o   j e</w:t>
      </w:r>
    </w:p>
    <w:p w:rsidRDefault="002F578D" w:rsidP="00211511" w:rsidR="00211511" w:rsidRPr="000C4D3F">
      <w:pPr>
        <w:ind w:firstLine="720"/>
        <w:jc w:val="both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 xml:space="preserve">  </w:t>
      </w:r>
      <w:r w:rsidR="00211511" w:rsidRPr="00B17BD5">
        <w:rPr>
          <w:sz w:val="24"/>
          <w:szCs w:val="24"/>
          <w:lang w:val="hr-HR"/>
        </w:rPr>
        <w:t xml:space="preserve">  </w:t>
      </w:r>
      <w:r w:rsidR="00211511" w:rsidRPr="000C4D3F">
        <w:rPr>
          <w:sz w:val="24"/>
          <w:szCs w:val="24"/>
          <w:lang w:val="hr-HR"/>
        </w:rPr>
        <w:t xml:space="preserve">I. Daje se suglasnost stečajnom upravitelju na završnu diobu prema završnom diobnom popisu zaprimljenom kod ovoga suda </w:t>
      </w:r>
      <w:r w:rsidR="00933576">
        <w:rPr>
          <w:sz w:val="24"/>
          <w:szCs w:val="24"/>
          <w:lang w:val="hr-HR"/>
        </w:rPr>
        <w:t>30. svibnja</w:t>
      </w:r>
      <w:r w:rsidR="00211511">
        <w:rPr>
          <w:sz w:val="24"/>
          <w:szCs w:val="24"/>
          <w:lang w:val="hr-HR"/>
        </w:rPr>
        <w:t xml:space="preserve"> 2018.</w:t>
      </w:r>
      <w:r w:rsidR="00211511" w:rsidRPr="000C4D3F">
        <w:rPr>
          <w:sz w:val="24"/>
          <w:szCs w:val="24"/>
          <w:lang w:val="hr-HR"/>
        </w:rPr>
        <w:t xml:space="preserve">, koji je objavljen na mrežnoj stranici e-Oglasna ploča sudova </w:t>
      </w:r>
      <w:r w:rsidR="00211511">
        <w:rPr>
          <w:sz w:val="24"/>
          <w:szCs w:val="24"/>
          <w:lang w:val="hr-HR"/>
        </w:rPr>
        <w:t>6</w:t>
      </w:r>
      <w:r w:rsidR="00933576">
        <w:rPr>
          <w:sz w:val="24"/>
          <w:szCs w:val="24"/>
          <w:lang w:val="hr-HR"/>
        </w:rPr>
        <w:t>. lipnja</w:t>
      </w:r>
      <w:r w:rsidR="00211511">
        <w:rPr>
          <w:sz w:val="24"/>
          <w:szCs w:val="24"/>
          <w:lang w:val="hr-HR"/>
        </w:rPr>
        <w:t xml:space="preserve"> 2018</w:t>
      </w:r>
      <w:r w:rsidR="00211511" w:rsidRPr="000C4D3F">
        <w:rPr>
          <w:sz w:val="24"/>
          <w:szCs w:val="24"/>
          <w:lang w:val="hr-HR"/>
        </w:rPr>
        <w:t>.</w:t>
      </w:r>
      <w:r w:rsidR="00E44C56">
        <w:rPr>
          <w:sz w:val="24"/>
          <w:szCs w:val="24"/>
          <w:lang w:val="hr-HR"/>
        </w:rPr>
        <w:t>, a prema kojoj će se vjerovnici</w:t>
      </w:r>
      <w:r w:rsidR="00211511">
        <w:rPr>
          <w:sz w:val="24"/>
          <w:szCs w:val="24"/>
          <w:lang w:val="hr-HR"/>
        </w:rPr>
        <w:t xml:space="preserve"> I.</w:t>
      </w:r>
      <w:r w:rsidR="00E44C56">
        <w:rPr>
          <w:sz w:val="24"/>
          <w:szCs w:val="24"/>
          <w:lang w:val="hr-HR"/>
        </w:rPr>
        <w:t xml:space="preserve"> i II.</w:t>
      </w:r>
      <w:r w:rsidR="00211511">
        <w:rPr>
          <w:sz w:val="24"/>
          <w:szCs w:val="24"/>
          <w:lang w:val="hr-HR"/>
        </w:rPr>
        <w:t xml:space="preserve"> višeg isplatnog reda namiriti za</w:t>
      </w:r>
      <w:r w:rsidR="00E44C56">
        <w:rPr>
          <w:sz w:val="24"/>
          <w:szCs w:val="24"/>
          <w:lang w:val="hr-HR"/>
        </w:rPr>
        <w:t xml:space="preserve"> ukupan</w:t>
      </w:r>
      <w:r w:rsidR="00211511">
        <w:rPr>
          <w:sz w:val="24"/>
          <w:szCs w:val="24"/>
          <w:lang w:val="hr-HR"/>
        </w:rPr>
        <w:t xml:space="preserve"> iznos od </w:t>
      </w:r>
      <w:r w:rsidR="00E44C56">
        <w:rPr>
          <w:sz w:val="24"/>
          <w:szCs w:val="24"/>
          <w:lang w:val="hr-HR"/>
        </w:rPr>
        <w:t>169.806,99</w:t>
      </w:r>
      <w:r w:rsidR="00211511">
        <w:rPr>
          <w:sz w:val="24"/>
          <w:szCs w:val="24"/>
          <w:lang w:val="hr-HR"/>
        </w:rPr>
        <w:t xml:space="preserve"> kn, odnosno za </w:t>
      </w:r>
      <w:r w:rsidR="00E44C56">
        <w:rPr>
          <w:sz w:val="24"/>
          <w:szCs w:val="24"/>
          <w:lang w:val="hr-HR"/>
        </w:rPr>
        <w:t>100% od utvrđene tražbine te vjerovnici III. isplatnog reda za iznos od 150.036,30 kn, odnosno za 1,20% od utvrđene tražbine.</w:t>
      </w:r>
    </w:p>
    <w:p w:rsidRDefault="00211511" w:rsidP="00211511" w:rsidR="00211511" w:rsidRPr="000C4D3F">
      <w:pPr>
        <w:spacing w:before="240"/>
        <w:ind w:firstLine="720"/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 xml:space="preserve">II. Određuje se završno ročište </w:t>
      </w:r>
      <w:r w:rsidRPr="009E2577">
        <w:rPr>
          <w:sz w:val="24"/>
          <w:szCs w:val="24"/>
          <w:lang w:val="hr-HR"/>
        </w:rPr>
        <w:t xml:space="preserve">za </w:t>
      </w:r>
      <w:r w:rsidR="009E2577">
        <w:rPr>
          <w:sz w:val="24"/>
          <w:szCs w:val="24"/>
          <w:lang w:val="hr-HR"/>
        </w:rPr>
        <w:t>5. srpnja</w:t>
      </w:r>
      <w:r w:rsidRPr="009E2577">
        <w:rPr>
          <w:sz w:val="24"/>
          <w:szCs w:val="24"/>
          <w:lang w:val="hr-HR"/>
        </w:rPr>
        <w:t xml:space="preserve"> 2018. sa početkom u 1</w:t>
      </w:r>
      <w:r w:rsidR="009E2577">
        <w:rPr>
          <w:sz w:val="24"/>
          <w:szCs w:val="24"/>
          <w:lang w:val="hr-HR"/>
        </w:rPr>
        <w:t>2</w:t>
      </w:r>
      <w:r w:rsidRPr="009E2577">
        <w:rPr>
          <w:sz w:val="24"/>
          <w:szCs w:val="24"/>
          <w:lang w:val="hr-HR"/>
        </w:rPr>
        <w:t>:</w:t>
      </w:r>
      <w:r w:rsidR="009E2577">
        <w:rPr>
          <w:sz w:val="24"/>
          <w:szCs w:val="24"/>
          <w:lang w:val="hr-HR"/>
        </w:rPr>
        <w:t>15</w:t>
      </w:r>
      <w:r w:rsidRPr="009E2577">
        <w:rPr>
          <w:sz w:val="24"/>
          <w:szCs w:val="24"/>
          <w:lang w:val="hr-HR"/>
        </w:rPr>
        <w:t xml:space="preserve"> sati</w:t>
      </w:r>
      <w:r w:rsidRPr="00790D28">
        <w:rPr>
          <w:sz w:val="24"/>
          <w:szCs w:val="24"/>
          <w:lang w:val="hr-HR"/>
        </w:rPr>
        <w:t xml:space="preserve"> </w:t>
      </w:r>
      <w:r w:rsidRPr="000C4D3F">
        <w:rPr>
          <w:sz w:val="24"/>
          <w:szCs w:val="24"/>
          <w:lang w:val="hr-HR"/>
        </w:rPr>
        <w:t>kod ovog suda, soba 111/I, sa Dnevnim redom:</w:t>
      </w:r>
    </w:p>
    <w:p w:rsidRDefault="00211511" w:rsidP="00211511" w:rsidR="00211511" w:rsidRPr="000C4D3F">
      <w:pPr>
        <w:pStyle w:val="Odlomakpopisa"/>
        <w:numPr>
          <w:ilvl w:val="0"/>
          <w:numId w:val="9"/>
        </w:numPr>
        <w:spacing w:before="60"/>
        <w:ind w:hanging="357" w:left="1077"/>
        <w:contextualSpacing w:val="false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Raspravljanje o završnom izvješću i završnom računu stečajnog upravitelja</w:t>
      </w:r>
    </w:p>
    <w:p w:rsidRDefault="00211511" w:rsidP="00211511" w:rsidR="00211511" w:rsidRPr="000C4D3F">
      <w:pPr>
        <w:pStyle w:val="Odlomakpopisa"/>
        <w:numPr>
          <w:ilvl w:val="0"/>
          <w:numId w:val="9"/>
        </w:numPr>
        <w:spacing w:before="60"/>
        <w:ind w:hanging="357" w:left="1077"/>
        <w:contextualSpacing w:val="false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Podnošenje prigovora na završni diobni popis.</w:t>
      </w:r>
    </w:p>
    <w:p w:rsidRDefault="00211511" w:rsidP="00211511" w:rsidR="00211511" w:rsidRPr="000C4D3F">
      <w:pPr>
        <w:spacing w:before="160"/>
        <w:ind w:firstLine="720"/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Vjerovnici mogu podnijeti prigovor na završni diobeni popis najkasnije na završnom ročištu.</w:t>
      </w:r>
    </w:p>
    <w:p w:rsidRDefault="00211511" w:rsidP="00211511" w:rsidR="002F578D" w:rsidRPr="00B17BD5">
      <w:pPr>
        <w:spacing w:before="160"/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</w:t>
      </w:r>
      <w:r w:rsidRPr="000C4D3F">
        <w:rPr>
          <w:sz w:val="24"/>
          <w:szCs w:val="24"/>
          <w:lang w:val="hr-HR"/>
        </w:rPr>
        <w:t xml:space="preserve">. </w:t>
      </w:r>
      <w:r w:rsidR="002F578D" w:rsidRPr="00B17BD5">
        <w:rPr>
          <w:sz w:val="24"/>
          <w:szCs w:val="24"/>
          <w:lang w:val="hr-HR"/>
        </w:rPr>
        <w:t xml:space="preserve">Na mrežnoj stranici e-Oglasna ploča </w:t>
      </w:r>
      <w:r w:rsidR="002F578D" w:rsidRPr="00211511">
        <w:rPr>
          <w:sz w:val="24"/>
          <w:szCs w:val="24"/>
          <w:lang w:val="hr-HR"/>
        </w:rPr>
        <w:t xml:space="preserve">sudova </w:t>
      </w:r>
      <w:r w:rsidRPr="00211511">
        <w:rPr>
          <w:sz w:val="24"/>
          <w:szCs w:val="24"/>
          <w:lang w:val="hr-HR"/>
        </w:rPr>
        <w:t>6</w:t>
      </w:r>
      <w:r w:rsidR="002F578D" w:rsidRPr="00211511">
        <w:rPr>
          <w:sz w:val="24"/>
          <w:szCs w:val="24"/>
          <w:lang w:val="hr-HR"/>
        </w:rPr>
        <w:t xml:space="preserve">. </w:t>
      </w:r>
      <w:r w:rsidR="00933576">
        <w:rPr>
          <w:sz w:val="24"/>
          <w:szCs w:val="24"/>
          <w:lang w:val="hr-HR"/>
        </w:rPr>
        <w:t>lipnja</w:t>
      </w:r>
      <w:r w:rsidR="002F578D" w:rsidRPr="00211511">
        <w:rPr>
          <w:sz w:val="24"/>
          <w:szCs w:val="24"/>
          <w:lang w:val="hr-HR"/>
        </w:rPr>
        <w:t xml:space="preserve"> 2018</w:t>
      </w:r>
      <w:r w:rsidR="002F578D" w:rsidRPr="00B17BD5">
        <w:rPr>
          <w:sz w:val="24"/>
          <w:szCs w:val="24"/>
          <w:lang w:val="hr-HR"/>
        </w:rPr>
        <w:t xml:space="preserve">. objavljen </w:t>
      </w:r>
      <w:r w:rsidR="002F578D" w:rsidRPr="00933576">
        <w:rPr>
          <w:sz w:val="24"/>
          <w:szCs w:val="24"/>
          <w:lang w:val="hr-HR"/>
        </w:rPr>
        <w:t>je</w:t>
      </w:r>
      <w:r w:rsidRPr="00933576">
        <w:rPr>
          <w:sz w:val="24"/>
          <w:szCs w:val="24"/>
          <w:lang w:val="hr-HR"/>
        </w:rPr>
        <w:t xml:space="preserve"> ispitani završni račun</w:t>
      </w:r>
      <w:r w:rsidR="00E44C56" w:rsidRPr="00933576">
        <w:rPr>
          <w:sz w:val="24"/>
          <w:szCs w:val="24"/>
          <w:lang w:val="hr-HR"/>
        </w:rPr>
        <w:t xml:space="preserve"> </w:t>
      </w:r>
      <w:r w:rsidRPr="00933576">
        <w:rPr>
          <w:sz w:val="24"/>
          <w:szCs w:val="24"/>
          <w:lang w:val="hr-HR"/>
        </w:rPr>
        <w:t>stečajnog</w:t>
      </w:r>
      <w:r w:rsidR="002F578D" w:rsidRPr="00933576">
        <w:rPr>
          <w:sz w:val="24"/>
          <w:szCs w:val="24"/>
          <w:lang w:val="hr-HR"/>
        </w:rPr>
        <w:t xml:space="preserve"> upravitelj</w:t>
      </w:r>
      <w:r w:rsidRPr="00933576">
        <w:rPr>
          <w:sz w:val="24"/>
          <w:szCs w:val="24"/>
          <w:lang w:val="hr-HR"/>
        </w:rPr>
        <w:t>a</w:t>
      </w:r>
      <w:r w:rsidR="002F578D" w:rsidRPr="00933576">
        <w:rPr>
          <w:sz w:val="24"/>
          <w:szCs w:val="24"/>
          <w:lang w:val="hr-HR"/>
        </w:rPr>
        <w:t xml:space="preserve"> sa prilozima</w:t>
      </w:r>
      <w:r w:rsidRPr="00933576">
        <w:rPr>
          <w:sz w:val="24"/>
          <w:szCs w:val="24"/>
          <w:lang w:val="hr-HR"/>
        </w:rPr>
        <w:t>, završni izvještaj i završni diobni popis</w:t>
      </w:r>
      <w:r w:rsidR="002F578D" w:rsidRPr="00B17BD5">
        <w:rPr>
          <w:sz w:val="24"/>
          <w:szCs w:val="24"/>
          <w:lang w:val="hr-HR"/>
        </w:rPr>
        <w:t>, a iste isprave izložit će se u stečajnoj pisarnici do održavanja završnog ročišta.</w:t>
      </w:r>
    </w:p>
    <w:p w:rsidRDefault="00790D28" w:rsidP="002F578D" w:rsidR="00790D28" w:rsidRPr="000C4D3F">
      <w:pPr>
        <w:spacing w:after="100" w:before="200"/>
        <w:jc w:val="center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Obrazloženje</w:t>
      </w:r>
    </w:p>
    <w:p w:rsidRDefault="00E44C56" w:rsidP="00E44C56" w:rsidR="00E44C56" w:rsidRPr="00E44C56">
      <w:pPr>
        <w:spacing w:before="200"/>
        <w:ind w:firstLine="708"/>
        <w:jc w:val="both"/>
        <w:rPr>
          <w:rFonts w:eastAsia="Calibri"/>
          <w:sz w:val="24"/>
          <w:szCs w:val="24"/>
          <w:u w:val="single"/>
          <w:lang w:eastAsia="en-US" w:val="hr-HR"/>
        </w:rPr>
      </w:pPr>
      <w:r w:rsidRPr="00E44C56">
        <w:rPr>
          <w:rFonts w:eastAsiaTheme="minorHAnsi"/>
          <w:sz w:val="24"/>
          <w:szCs w:val="24"/>
          <w:lang w:eastAsia="en-US" w:val="hr-HR"/>
        </w:rPr>
        <w:t xml:space="preserve">Rješenjem ovog suda poslovni broj X.St-70/2001 od 5. listopada 2001. otvoren je stečajni postupak nad dužnikom GOLD ŠTEDIONICA d.o.o. u stečaju, Split, Poljička cesta 39, a za stečajnu upraviteljicu imenovana je Srđana Morpurgo </w:t>
      </w:r>
      <w:r w:rsidRPr="00E44C56">
        <w:rPr>
          <w:rFonts w:eastAsia="Calibri"/>
          <w:sz w:val="24"/>
          <w:szCs w:val="24"/>
          <w:lang w:eastAsia="en-US" w:val="hr-HR"/>
        </w:rPr>
        <w:t xml:space="preserve">iz Splita, Trg Mihovila Pavlinovića 2, OIB: 53284085908. </w:t>
      </w:r>
    </w:p>
    <w:p w:rsidRDefault="00E44C56" w:rsidP="00E44C56" w:rsidR="00E44C56" w:rsidRPr="00E44C56">
      <w:pPr>
        <w:spacing w:before="200"/>
        <w:ind w:firstLine="708"/>
        <w:jc w:val="both"/>
        <w:rPr>
          <w:rFonts w:eastAsia="Calibri"/>
          <w:sz w:val="24"/>
          <w:szCs w:val="24"/>
          <w:lang w:eastAsia="en-US" w:val="hr-HR"/>
        </w:rPr>
      </w:pPr>
      <w:r w:rsidRPr="00E44C56">
        <w:rPr>
          <w:rFonts w:eastAsia="Calibri"/>
          <w:sz w:val="24"/>
          <w:szCs w:val="24"/>
          <w:lang w:eastAsia="en-US" w:val="hr-HR"/>
        </w:rPr>
        <w:t xml:space="preserve">Rješenjem X.St-70/2001 od 13. svibnja 2004. zaključen je stečajni postupak nad navedenim stečajnim dužnikom i određeno je brisanje subjekta iz sudskog registra. </w:t>
      </w:r>
    </w:p>
    <w:p w:rsidRDefault="00E44C56" w:rsidP="00E44C56" w:rsidR="00E44C56" w:rsidRPr="00E44C56">
      <w:pPr>
        <w:spacing w:before="200"/>
        <w:jc w:val="both"/>
        <w:rPr>
          <w:rFonts w:eastAsia="Calibri"/>
          <w:sz w:val="24"/>
          <w:szCs w:val="24"/>
          <w:lang w:eastAsia="en-US" w:val="hr-HR"/>
        </w:rPr>
      </w:pPr>
      <w:r w:rsidRPr="00E44C56">
        <w:rPr>
          <w:rFonts w:eastAsia="Calibri"/>
          <w:sz w:val="24"/>
          <w:szCs w:val="24"/>
          <w:lang w:eastAsia="en-US" w:val="hr-HR"/>
        </w:rPr>
        <w:lastRenderedPageBreak/>
        <w:tab/>
        <w:t xml:space="preserve">Nakon pravomoćnosti rješenja o zaključenju stečajnog postupka, a temeljem rješenja ovog suda poslovni broj Tt-04/2134 od 20. listopada 2004., dužnik Gold štedionica d.o.o. u stečaju Split brisan je iz sudskog registra. </w:t>
      </w:r>
    </w:p>
    <w:p w:rsidRDefault="00E44C56" w:rsidP="00E44C56" w:rsidR="00E44C56" w:rsidRPr="00E44C56">
      <w:pPr>
        <w:spacing w:before="200"/>
        <w:ind w:firstLine="708"/>
        <w:jc w:val="both"/>
        <w:rPr>
          <w:rFonts w:eastAsia="Calibri"/>
          <w:sz w:val="24"/>
          <w:szCs w:val="24"/>
          <w:lang w:eastAsia="en-US" w:val="hr-HR"/>
        </w:rPr>
      </w:pPr>
      <w:r w:rsidRPr="00E44C56">
        <w:rPr>
          <w:rFonts w:eastAsia="Calibri"/>
          <w:sz w:val="24"/>
          <w:szCs w:val="24"/>
          <w:lang w:eastAsia="en-US" w:val="hr-HR"/>
        </w:rPr>
        <w:t xml:space="preserve">Na prijedlog stečajne upraviteljice Srđane Morpurgo rješenjem ovog suda poslovni broj 11.St-70/2001 od 28. studenog 2016. određen je upis stečajne mase iza dužnika Gold štedionica d.o.o. u stečaju, Split, Poljička cesta 39, u sudski registar Trgovačkog suda u Splitu te je u sudski registar, pored stečajne mase, određen i upis stečajne upraviteljice Srđane Morpurgo. </w:t>
      </w:r>
    </w:p>
    <w:p w:rsidRDefault="00E44C56" w:rsidP="00E44C56" w:rsidR="00E44C56" w:rsidRPr="00E44C56">
      <w:pPr>
        <w:spacing w:before="200"/>
        <w:jc w:val="both"/>
        <w:rPr>
          <w:rFonts w:eastAsia="Calibri"/>
          <w:sz w:val="24"/>
          <w:szCs w:val="24"/>
          <w:lang w:eastAsia="en-US" w:val="hr-HR"/>
        </w:rPr>
      </w:pPr>
      <w:r w:rsidRPr="00E44C56">
        <w:rPr>
          <w:rFonts w:eastAsia="Calibri"/>
          <w:sz w:val="24"/>
          <w:szCs w:val="24"/>
          <w:lang w:eastAsia="en-US" w:val="hr-HR"/>
        </w:rPr>
        <w:tab/>
        <w:t xml:space="preserve">Podneskom od 4. kolovoza 2017. (list 1056 spisa) stečajna upraviteljica Srđana Morpurgo je izvijestila sud da je stanje računa stečajne mase iza GOLD ŠTEDIONICA d.o.o. u stečaju 393.403,98 kn (a nakon izvršene uplate stečajne mase Intermarket d.o.o. u stečaju u iznosu od 266.434,86 kn), kao i to da je rješenjem Ministarstva pravosuđa od 20. prosinca 2016. brisana na osobni zahtjev sa liste A stečajnih upravitelja, radi čega je predložila da je sud razriješi dužnosti stečajnog upravitelja u ovom stečajnom postupku. </w:t>
      </w:r>
    </w:p>
    <w:p w:rsidRDefault="00E44C56" w:rsidP="00E44C56" w:rsidR="00E44C56" w:rsidRPr="00E44C56">
      <w:pPr>
        <w:spacing w:before="200"/>
        <w:jc w:val="both"/>
        <w:rPr>
          <w:rFonts w:eastAsia="Calibri"/>
          <w:sz w:val="24"/>
          <w:szCs w:val="24"/>
          <w:lang w:eastAsia="en-US" w:val="hr-HR"/>
        </w:rPr>
      </w:pPr>
      <w:r w:rsidRPr="00E44C56">
        <w:rPr>
          <w:rFonts w:eastAsia="Calibri"/>
          <w:sz w:val="24"/>
          <w:szCs w:val="24"/>
          <w:lang w:eastAsia="en-US" w:val="hr-HR"/>
        </w:rPr>
        <w:tab/>
        <w:t>Slijedom navedenog, ovaj sud je rješenjem poslovni broj 11.St-895/2017 od 21. rujna 2017. odredio nastavak postupka radi naknadne diobe stečajne mase iza GOLD ŠTEDIONICA d.o.o. u stečaju, OIB: 25749181068, Split, Mihovila Pavlinovića 2 (točka I. izreke rješenja), razriješio Srđanu Morpurgo dužnosti stečajnog upravitelja (točka II. izreke rješenja) i za novog stečajnog upravitelja imenovao Berislava Bušelića iz Mravinaca, A. Starčevića 21, OIB: 93274685765 (točka III. izreke rješenja).</w:t>
      </w:r>
    </w:p>
    <w:p w:rsidRDefault="00FD4EE6" w:rsidP="00E44C56" w:rsidR="00E44C56" w:rsidRPr="00E44C56">
      <w:pPr>
        <w:spacing w:before="200"/>
        <w:ind w:firstLine="703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</w:t>
      </w:r>
      <w:r w:rsidR="00E44C56" w:rsidRPr="00E44C56">
        <w:rPr>
          <w:sz w:val="24"/>
          <w:szCs w:val="24"/>
          <w:lang w:val="hr-HR"/>
        </w:rPr>
        <w:t xml:space="preserve">ješenjem ovog suda poslovni broj 11.St-895/2017 od 2. veljače 2018. Berislav Bušelić razriješen </w:t>
      </w:r>
      <w:r>
        <w:rPr>
          <w:sz w:val="24"/>
          <w:szCs w:val="24"/>
          <w:lang w:val="hr-HR"/>
        </w:rPr>
        <w:t xml:space="preserve">je </w:t>
      </w:r>
      <w:r w:rsidR="00E44C56" w:rsidRPr="00E44C56">
        <w:rPr>
          <w:sz w:val="24"/>
          <w:szCs w:val="24"/>
          <w:lang w:val="hr-HR"/>
        </w:rPr>
        <w:t>dužnosti stečajnog upravitelja, a za novog stečajnog upravitelja imenovan je Ivan Sunara iz Splita, A.B. Šimića 20, OIB: 17000771045.</w:t>
      </w:r>
    </w:p>
    <w:p w:rsidRDefault="00E44C56" w:rsidP="00211511" w:rsidR="00E44C56">
      <w:pPr>
        <w:tabs>
          <w:tab w:pos="709" w:val="left"/>
          <w:tab w:pos="6810" w:val="left"/>
        </w:tabs>
        <w:spacing w:before="200"/>
        <w:jc w:val="both"/>
        <w:rPr>
          <w:rFonts w:eastAsiaTheme="minorHAnsi"/>
          <w:sz w:val="24"/>
          <w:szCs w:val="24"/>
          <w:lang w:eastAsia="en-US" w:val="hr-HR"/>
        </w:rPr>
      </w:pPr>
      <w:r>
        <w:rPr>
          <w:rFonts w:eastAsiaTheme="minorHAnsi"/>
          <w:sz w:val="24"/>
          <w:szCs w:val="24"/>
          <w:lang w:eastAsia="en-US" w:val="hr-HR"/>
        </w:rPr>
        <w:tab/>
        <w:t>Dana 5. ožujka 2018. kod ovog suda zaprimljeno je izvješće steča</w:t>
      </w:r>
      <w:r w:rsidR="00FD4EE6">
        <w:rPr>
          <w:rFonts w:eastAsiaTheme="minorHAnsi"/>
          <w:sz w:val="24"/>
          <w:szCs w:val="24"/>
          <w:lang w:eastAsia="en-US" w:val="hr-HR"/>
        </w:rPr>
        <w:t>jnog upravitelja Ivana Sunare (list 1095-1116 spisa) iz kojeg u bitnom proizlazi da su ostvarene pretpostavke za nastavak postupka radi naknade diobe i isplate stečajnih vjerovnika, a uzimajući u obzir raspoloživa sredstva od 393.275,11 kn.</w:t>
      </w:r>
    </w:p>
    <w:p w:rsidRDefault="00FD4EE6" w:rsidP="00211511" w:rsidR="00211511">
      <w:pPr>
        <w:tabs>
          <w:tab w:pos="709" w:val="left"/>
          <w:tab w:pos="6810" w:val="left"/>
        </w:tabs>
        <w:spacing w:before="200"/>
        <w:jc w:val="both"/>
        <w:rPr>
          <w:sz w:val="24"/>
          <w:szCs w:val="24"/>
          <w:lang w:val="hr-HR"/>
        </w:rPr>
      </w:pPr>
      <w:r>
        <w:rPr>
          <w:rFonts w:eastAsiaTheme="minorHAnsi"/>
          <w:sz w:val="24"/>
          <w:szCs w:val="24"/>
          <w:lang w:eastAsia="en-US" w:val="hr-HR"/>
        </w:rPr>
        <w:tab/>
      </w:r>
      <w:r w:rsidR="00211511" w:rsidRPr="00933576">
        <w:rPr>
          <w:bCs/>
          <w:sz w:val="24"/>
          <w:szCs w:val="24"/>
          <w:lang w:val="hr-HR"/>
        </w:rPr>
        <w:t xml:space="preserve">Podneskom od </w:t>
      </w:r>
      <w:r w:rsidR="00933576">
        <w:rPr>
          <w:bCs/>
          <w:sz w:val="24"/>
          <w:szCs w:val="24"/>
          <w:lang w:val="hr-HR"/>
        </w:rPr>
        <w:t>30. svibnja</w:t>
      </w:r>
      <w:r w:rsidR="00211511" w:rsidRPr="00933576">
        <w:rPr>
          <w:bCs/>
          <w:sz w:val="24"/>
          <w:szCs w:val="24"/>
          <w:lang w:val="hr-HR"/>
        </w:rPr>
        <w:t xml:space="preserve"> 2018. </w:t>
      </w:r>
      <w:r>
        <w:rPr>
          <w:sz w:val="24"/>
          <w:szCs w:val="24"/>
          <w:lang w:val="hr-HR"/>
        </w:rPr>
        <w:t>(list 1148-1154 spisa)</w:t>
      </w:r>
      <w:r w:rsidR="00211511" w:rsidRPr="00933576">
        <w:rPr>
          <w:sz w:val="24"/>
          <w:szCs w:val="24"/>
          <w:lang w:val="hr-HR"/>
        </w:rPr>
        <w:t xml:space="preserve"> stečajni upravitelj </w:t>
      </w:r>
      <w:r w:rsidR="00933576">
        <w:rPr>
          <w:sz w:val="24"/>
          <w:szCs w:val="24"/>
          <w:lang w:val="hr-HR"/>
        </w:rPr>
        <w:t>Ivan Sunara</w:t>
      </w:r>
      <w:r w:rsidR="00211511" w:rsidRPr="00933576">
        <w:rPr>
          <w:sz w:val="24"/>
          <w:szCs w:val="24"/>
          <w:lang w:val="hr-HR"/>
        </w:rPr>
        <w:t xml:space="preserve"> dostavio je  ovom sudu završni diobni popis, završni račun i završno izvješće, a koje isprave su i javno objavljene 6. </w:t>
      </w:r>
      <w:r w:rsidR="00933576">
        <w:rPr>
          <w:sz w:val="24"/>
          <w:szCs w:val="24"/>
          <w:lang w:val="hr-HR"/>
        </w:rPr>
        <w:t>lipnja</w:t>
      </w:r>
      <w:r w:rsidR="00211511" w:rsidRPr="00933576">
        <w:rPr>
          <w:sz w:val="24"/>
          <w:szCs w:val="24"/>
          <w:lang w:val="hr-HR"/>
        </w:rPr>
        <w:t xml:space="preserve"> 2018. na mrežnoj stranici e-Oglasna ploča sudova (čl. 89. st. 3. Stečajnog zakona - „Narodne novine“ broj 71/15 i 104/17; dalje: SZ</w:t>
      </w:r>
      <w:r>
        <w:rPr>
          <w:sz w:val="24"/>
          <w:szCs w:val="24"/>
          <w:lang w:val="hr-HR"/>
        </w:rPr>
        <w:t>/15 u vezi sa čl. 441. st. 2. SZ/15</w:t>
      </w:r>
      <w:r w:rsidR="00211511" w:rsidRPr="00933576">
        <w:rPr>
          <w:sz w:val="24"/>
          <w:szCs w:val="24"/>
          <w:lang w:val="hr-HR"/>
        </w:rPr>
        <w:t xml:space="preserve">). </w:t>
      </w:r>
    </w:p>
    <w:p w:rsidRDefault="00FD4EE6" w:rsidP="00211511" w:rsidR="00FD4EE6" w:rsidRPr="00933576">
      <w:pPr>
        <w:tabs>
          <w:tab w:pos="709" w:val="left"/>
          <w:tab w:pos="6810" w:val="left"/>
        </w:tabs>
        <w:spacing w:before="20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Predloženom naknadnom diobom stečajni upravitelj predvidio je namirenje vjerovnika I., II. višeg isplatnog reda (i to u cijelosti – 100% utvrđenih tražbina) te III. višeg isplatnog reda (1,2% od ukupno utvrđenih tražbina), sveukupnom iznosu od 319.843,29 kn. Pritom, stečajni upravitelj predvidio je rezervaciju iznosa od 73.412,59 kn za troškove postupka i ostale obveze stečajne mase (pri čemu je posebno specificirao predmetne troškove). </w:t>
      </w:r>
    </w:p>
    <w:p w:rsidRDefault="00FD4EE6" w:rsidP="00FD4EE6" w:rsidR="00FD4EE6" w:rsidRPr="00FD4EE6">
      <w:pPr>
        <w:spacing w:before="200"/>
        <w:ind w:firstLine="720"/>
        <w:jc w:val="both"/>
        <w:rPr>
          <w:sz w:val="24"/>
          <w:szCs w:val="24"/>
          <w:lang w:val="hr-HR"/>
        </w:rPr>
      </w:pPr>
      <w:r w:rsidRPr="00FD4EE6">
        <w:rPr>
          <w:sz w:val="24"/>
          <w:szCs w:val="24"/>
          <w:lang w:val="hr-HR"/>
        </w:rPr>
        <w:t>Odredbom čl. 192. st. 2. Stečajnog zakona („Narodne novine“ broj 44/96, 29/99, 129/00, 123/03, 82/06, 116/10, 25/12, 133/12 i 45/13 dalje SZ/96) u vezi sa čl. 441. st. 1. SZ/15, završna dioba se može poduzeti samo uz suglasnost stečajnog suca. Kako iz stanja u spisu i navoda stečajnog upravitelja proizlazi da je unovčena sva stečajna masa ne postoje pravne ni stvarne zapreke za poduzimanje završne diobe, radi čega je odlučeno riješeno kao u izreci ovog rješenja pod točkom I.</w:t>
      </w:r>
    </w:p>
    <w:p w:rsidRDefault="00FD4EE6" w:rsidP="00FD4EE6" w:rsidR="00FD4EE6" w:rsidRPr="00FD4EE6">
      <w:pPr>
        <w:spacing w:before="200"/>
        <w:ind w:firstLine="720"/>
        <w:jc w:val="both"/>
        <w:rPr>
          <w:sz w:val="24"/>
          <w:szCs w:val="24"/>
          <w:lang w:val="hr-HR"/>
        </w:rPr>
      </w:pPr>
      <w:r w:rsidRPr="00FD4EE6">
        <w:rPr>
          <w:sz w:val="24"/>
          <w:szCs w:val="24"/>
          <w:lang w:val="hr-HR"/>
        </w:rPr>
        <w:t xml:space="preserve">Odredbom čl. 193. st. </w:t>
      </w:r>
      <w:r>
        <w:rPr>
          <w:sz w:val="24"/>
          <w:szCs w:val="24"/>
          <w:lang w:val="hr-HR"/>
        </w:rPr>
        <w:t>1</w:t>
      </w:r>
      <w:r w:rsidRPr="00FD4EE6">
        <w:rPr>
          <w:sz w:val="24"/>
          <w:szCs w:val="24"/>
          <w:lang w:val="hr-HR"/>
        </w:rPr>
        <w:t>. SZ/96 u vezi sa čl. 441. st. 1. SZ/15</w:t>
      </w:r>
      <w:r>
        <w:rPr>
          <w:sz w:val="24"/>
          <w:szCs w:val="24"/>
          <w:lang w:val="hr-HR"/>
        </w:rPr>
        <w:t xml:space="preserve">, </w:t>
      </w:r>
      <w:r w:rsidRPr="00FD4EE6">
        <w:rPr>
          <w:sz w:val="24"/>
          <w:szCs w:val="24"/>
          <w:lang w:val="hr-HR"/>
        </w:rPr>
        <w:t>propisano je da prigodom davanja suglasnosti na završnu diobu stečajni sudac određuje završno ročište vjerovnika. Kako je u ovom postupku dana suglasnost za završnu diobu to je temeljem citirane odredbe određeno završno ročište vjerovnika radi čega je odlučeno kao u izreci ovog rješenja pod točkom II.</w:t>
      </w:r>
    </w:p>
    <w:p w:rsidRDefault="00FD4EE6" w:rsidP="00FD4EE6" w:rsidR="00FD4EE6" w:rsidRPr="00FD4EE6">
      <w:pPr>
        <w:spacing w:before="200"/>
        <w:ind w:firstLine="720"/>
        <w:jc w:val="both"/>
        <w:rPr>
          <w:sz w:val="24"/>
          <w:szCs w:val="24"/>
          <w:lang w:val="hr-HR"/>
        </w:rPr>
      </w:pPr>
      <w:r w:rsidRPr="00FD4EE6">
        <w:rPr>
          <w:sz w:val="24"/>
          <w:szCs w:val="24"/>
          <w:lang w:val="hr-HR"/>
        </w:rPr>
        <w:t>Temeljem odredbe čl. 184. st. 2. SZ/96 u vezi sa čl. 441. st. 1. SZ/15</w:t>
      </w:r>
      <w:r>
        <w:rPr>
          <w:sz w:val="24"/>
          <w:szCs w:val="24"/>
          <w:lang w:val="hr-HR"/>
        </w:rPr>
        <w:t>,</w:t>
      </w:r>
      <w:r w:rsidRPr="00FD4EE6">
        <w:rPr>
          <w:sz w:val="24"/>
          <w:szCs w:val="24"/>
          <w:lang w:val="hr-HR"/>
        </w:rPr>
        <w:t xml:space="preserve"> odlučeno je kao u izreci ovog rješenja pod točkom III.</w:t>
      </w:r>
    </w:p>
    <w:p w:rsidRDefault="00FD4EE6" w:rsidP="00FD4EE6" w:rsidR="00FD4EE6">
      <w:pPr>
        <w:spacing w:before="200"/>
        <w:ind w:firstLine="720"/>
        <w:jc w:val="both"/>
        <w:rPr>
          <w:sz w:val="24"/>
          <w:szCs w:val="24"/>
          <w:lang w:val="hr-HR"/>
        </w:rPr>
      </w:pPr>
      <w:r w:rsidRPr="00FD4EE6">
        <w:rPr>
          <w:sz w:val="24"/>
          <w:szCs w:val="24"/>
          <w:lang w:val="hr-HR"/>
        </w:rPr>
        <w:t>Temeljem odredbe čl. 31. st. 2. i 3. SZ/96 u vezi sa čl. 441. st. 1. SZ/15</w:t>
      </w:r>
      <w:r>
        <w:rPr>
          <w:sz w:val="24"/>
          <w:szCs w:val="24"/>
          <w:lang w:val="hr-HR"/>
        </w:rPr>
        <w:t>,</w:t>
      </w:r>
      <w:r w:rsidRPr="00FD4EE6">
        <w:rPr>
          <w:sz w:val="24"/>
          <w:szCs w:val="24"/>
          <w:lang w:val="hr-HR"/>
        </w:rPr>
        <w:t xml:space="preserve"> odlučeno je kao u izreci ovog rješenja pod točkom IV.</w:t>
      </w:r>
    </w:p>
    <w:p w:rsidRDefault="00211511" w:rsidP="00211511" w:rsidR="00211511" w:rsidRPr="000C4D3F">
      <w:pPr>
        <w:spacing w:before="20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Splitu </w:t>
      </w:r>
      <w:r w:rsidR="00FD4EE6">
        <w:rPr>
          <w:sz w:val="24"/>
          <w:szCs w:val="24"/>
          <w:lang w:val="hr-HR"/>
        </w:rPr>
        <w:t>8</w:t>
      </w:r>
      <w:r w:rsidR="00933576">
        <w:rPr>
          <w:sz w:val="24"/>
          <w:szCs w:val="24"/>
          <w:lang w:val="hr-HR"/>
        </w:rPr>
        <w:t>. lipnja</w:t>
      </w:r>
      <w:r>
        <w:rPr>
          <w:sz w:val="24"/>
          <w:szCs w:val="24"/>
          <w:lang w:val="hr-HR"/>
        </w:rPr>
        <w:t xml:space="preserve"> 2018.</w:t>
      </w:r>
    </w:p>
    <w:p w:rsidRDefault="00211511" w:rsidP="00211511" w:rsidR="00211511" w:rsidRPr="000C4D3F">
      <w:pPr>
        <w:spacing w:before="200"/>
        <w:ind w:left="6480"/>
        <w:jc w:val="center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Sutkinja</w:t>
      </w:r>
    </w:p>
    <w:p w:rsidRDefault="00211511" w:rsidP="00211511" w:rsidR="00211511" w:rsidRPr="000C4D3F">
      <w:pPr>
        <w:ind w:left="6480"/>
        <w:jc w:val="center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Ana Golub Gruić</w:t>
      </w:r>
    </w:p>
    <w:p w:rsidRDefault="00211511" w:rsidP="00211511" w:rsidR="00211511" w:rsidRPr="000C4D3F">
      <w:pPr>
        <w:jc w:val="center"/>
        <w:rPr>
          <w:sz w:val="24"/>
          <w:szCs w:val="24"/>
          <w:lang w:val="hr-HR"/>
        </w:rPr>
      </w:pPr>
    </w:p>
    <w:p w:rsidRDefault="00211511" w:rsidP="00211511" w:rsidR="00211511" w:rsidRPr="000C4D3F">
      <w:pPr>
        <w:spacing w:before="160"/>
        <w:jc w:val="both"/>
        <w:rPr>
          <w:sz w:val="24"/>
          <w:szCs w:val="24"/>
          <w:lang w:eastAsia="en-US" w:val="hr-HR"/>
        </w:rPr>
      </w:pPr>
      <w:r w:rsidRPr="000C4D3F">
        <w:rPr>
          <w:sz w:val="24"/>
          <w:szCs w:val="24"/>
          <w:lang w:val="hr-HR"/>
        </w:rPr>
        <w:t>Uputa o pravnom lijeku</w:t>
      </w:r>
      <w:r w:rsidRPr="000C4D3F">
        <w:rPr>
          <w:sz w:val="24"/>
          <w:szCs w:val="24"/>
          <w:lang w:eastAsia="en-US"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211511" w:rsidP="00211511" w:rsidR="00211511" w:rsidRPr="000C4D3F">
      <w:pPr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ab/>
      </w:r>
    </w:p>
    <w:p w:rsidRDefault="00211511" w:rsidP="00211511" w:rsidR="00211511" w:rsidRPr="000C4D3F">
      <w:pPr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D</w:t>
      </w:r>
      <w:r>
        <w:rPr>
          <w:sz w:val="24"/>
          <w:szCs w:val="24"/>
          <w:lang w:val="hr-HR"/>
        </w:rPr>
        <w:t>na</w:t>
      </w:r>
      <w:r w:rsidRPr="000C4D3F">
        <w:rPr>
          <w:sz w:val="24"/>
          <w:szCs w:val="24"/>
          <w:lang w:val="hr-HR"/>
        </w:rPr>
        <w:t>:</w:t>
      </w:r>
    </w:p>
    <w:p w:rsidRDefault="00211511" w:rsidP="00211511" w:rsidR="00211511" w:rsidRPr="000C4D3F">
      <w:pPr>
        <w:pStyle w:val="Odlomakpopis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stečajnom upravitelju</w:t>
      </w:r>
    </w:p>
    <w:p w:rsidRDefault="00211511" w:rsidP="00211511" w:rsidR="00211511" w:rsidRPr="000C4D3F">
      <w:pPr>
        <w:pStyle w:val="Odlomakpopis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 xml:space="preserve">mrežna stranica e-Oglasna ploča sudova </w:t>
      </w:r>
    </w:p>
    <w:p w:rsidRDefault="00211511" w:rsidP="00211511" w:rsidR="00211511" w:rsidRPr="000C4D3F">
      <w:pPr>
        <w:pStyle w:val="Odlomakpopis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u spis</w:t>
      </w:r>
    </w:p>
    <w:p w:rsidRDefault="00790D28" w:rsidP="00211511" w:rsidR="00790D28" w:rsidRPr="000C4D3F">
      <w:pPr>
        <w:tabs>
          <w:tab w:pos="709" w:val="left"/>
          <w:tab w:pos="6810" w:val="left"/>
        </w:tabs>
        <w:spacing w:before="200"/>
        <w:jc w:val="both"/>
        <w:rPr>
          <w:sz w:val="24"/>
          <w:szCs w:val="24"/>
          <w:lang w:val="hr-HR"/>
        </w:rPr>
      </w:pPr>
    </w:p>
    <w:sectPr w:rsidSect="00C70D1C" w:rsidR="00790D28" w:rsidRPr="000C4D3F">
      <w:headerReference w:type="default" r:id="rId11"/>
      <w:headerReference w:type="first" r:id="rId12"/>
      <w:pgSz w:h="15840" w:w="12240"/>
      <w:pgMar w:gutter="0" w:footer="720" w:header="720" w:left="1418" w:bottom="1418" w:right="1418" w:top="1418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7C4D" w:rsidR="003A7C4D">
      <w:r>
        <w:separator/>
      </w:r>
    </w:p>
  </w:endnote>
  <w:endnote w:id="0" w:type="continuationSeparator">
    <w:p w:rsidRDefault="003A7C4D" w:rsidR="003A7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7C4D" w:rsidR="003A7C4D">
      <w:r>
        <w:separator/>
      </w:r>
    </w:p>
  </w:footnote>
  <w:footnote w:id="0" w:type="continuationSeparator">
    <w:p w:rsidRDefault="003A7C4D" w:rsidR="003A7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478" w:rsidP="00F76478" w:rsidR="004E16EE" w:rsidRPr="00F76478">
    <w:pPr>
      <w:pStyle w:val="Zaglavlje"/>
      <w:ind w:firstLine="720"/>
      <w:jc w:val="right"/>
    </w:pPr>
    <w:r>
      <w:t xml:space="preserve">   </w:t>
    </w:r>
    <w:sdt>
      <w:sdtPr>
        <w:id w:val="742994551"/>
        <w:docPartObj>
          <w:docPartGallery w:val="Page Numbers (Top of Page)"/>
          <w:docPartUnique/>
        </w:docPartObj>
      </w:sdtPr>
      <w:sdtEndPr/>
      <w:sdtContent>
        <w:r w:rsidR="00566412">
          <w:rPr>
            <w:sz w:val="24"/>
            <w:szCs w:val="24"/>
          </w:rPr>
          <w:fldChar w:fldCharType="begin"/>
        </w:r>
        <w:r w:rsidR="00C70D1C">
          <w:rPr>
            <w:sz w:val="24"/>
            <w:szCs w:val="24"/>
          </w:rPr>
          <w:instrText xml:space="preserve"> PAGE  \* ArabicDash  \* MERGEFORMAT </w:instrText>
        </w:r>
        <w:r w:rsidR="00566412">
          <w:rPr>
            <w:sz w:val="24"/>
            <w:szCs w:val="24"/>
          </w:rPr>
          <w:fldChar w:fldCharType="separate"/>
        </w:r>
        <w:r w:rsidR="00024DE9">
          <w:rPr>
            <w:noProof/>
            <w:sz w:val="24"/>
            <w:szCs w:val="24"/>
          </w:rPr>
          <w:t>- 3 -</w:t>
        </w:r>
        <w:r w:rsidR="00566412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ab/>
        </w:r>
      </w:sdtContent>
    </w:sdt>
    <w:r>
      <w:rPr>
        <w:sz w:val="24"/>
        <w:szCs w:val="24"/>
        <w:lang w:val="hr-HR"/>
      </w:rPr>
      <w:t xml:space="preserve">Poslovni broj: </w:t>
    </w:r>
    <w:r w:rsidR="00A63EE6">
      <w:rPr>
        <w:sz w:val="24"/>
        <w:szCs w:val="24"/>
        <w:lang w:val="hr-HR"/>
      </w:rPr>
      <w:t>11</w:t>
    </w:r>
    <w:r w:rsidR="00A63EE6" w:rsidRPr="007D1041">
      <w:rPr>
        <w:sz w:val="24"/>
        <w:szCs w:val="24"/>
        <w:lang w:val="hr-HR"/>
      </w:rPr>
      <w:t>.St</w:t>
    </w:r>
    <w:r>
      <w:rPr>
        <w:sz w:val="24"/>
        <w:szCs w:val="24"/>
        <w:lang w:val="hr-HR"/>
      </w:rPr>
      <w:t>-</w:t>
    </w:r>
    <w:r w:rsidR="00E44C56">
      <w:rPr>
        <w:sz w:val="24"/>
        <w:szCs w:val="24"/>
        <w:lang w:val="hr-HR"/>
      </w:rPr>
      <w:t>895/2017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7D1041" w:rsidP="00035ACA" w:rsidR="007D1041" w:rsidRPr="00035ACA">
    <w:pPr>
      <w:pStyle w:val="Zaglavlje"/>
      <w:tabs>
        <w:tab w:pos="4536" w:val="clear"/>
        <w:tab w:pos="9072" w:val="clear"/>
      </w:tabs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2DB6"/>
    <w:multiLevelType w:val="hybridMultilevel"/>
    <w:tmpl w:val="A57E4D1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35B40"/>
    <w:multiLevelType w:val="hybridMultilevel"/>
    <w:tmpl w:val="2CC6FB6A"/>
    <w:lvl w:tplc="DEAAC3B2" w:ilvl="0">
      <w:start w:val="2"/>
      <w:numFmt w:val="upperRoman"/>
      <w:lvlText w:val="%1."/>
      <w:lvlJc w:val="left"/>
      <w:pPr>
        <w:tabs>
          <w:tab w:pos="1770" w:val="num"/>
        </w:tabs>
        <w:ind w:hanging="105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FF74A3"/>
    <w:multiLevelType w:val="hybridMultilevel"/>
    <w:tmpl w:val="F89C22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75B1A"/>
    <w:multiLevelType w:val="hybridMultilevel"/>
    <w:tmpl w:val="CE869AA0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5A0432"/>
    <w:multiLevelType w:val="hybridMultilevel"/>
    <w:tmpl w:val="0ED66B9E"/>
    <w:lvl w:tplc="91329BAE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6">
    <w:nsid w:val="46FD28E2"/>
    <w:multiLevelType w:val="hybridMultilevel"/>
    <w:tmpl w:val="C7AA3AF6"/>
    <w:lvl w:tplc="6BA05650" w:ilvl="0">
      <w:start w:val="1"/>
      <w:numFmt w:val="upperRoman"/>
      <w:lvlText w:val="%1."/>
      <w:lvlJc w:val="left"/>
      <w:pPr>
        <w:ind w:hanging="1035" w:left="17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4C7603C2"/>
    <w:multiLevelType w:val="hybridMultilevel"/>
    <w:tmpl w:val="721865EA"/>
    <w:lvl w:tplc="A77A7874" w:ilvl="0">
      <w:start w:val="1"/>
      <w:numFmt w:val="bullet"/>
      <w:lvlText w:val="–"/>
      <w:lvlJc w:val="left"/>
      <w:pPr>
        <w:tabs>
          <w:tab w:pos="1140" w:val="num"/>
        </w:tabs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4F400C6B"/>
    <w:multiLevelType w:val="hybridMultilevel"/>
    <w:tmpl w:val="CF08E3A0"/>
    <w:lvl w:tplc="992251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ABC3472"/>
    <w:multiLevelType w:val="hybridMultilevel"/>
    <w:tmpl w:val="BB1A46B0"/>
    <w:lvl w:tplc="3F4228B6" w:ilvl="0">
      <w:start w:val="1"/>
      <w:numFmt w:val="decimal"/>
      <w:lvlText w:val="%1."/>
      <w:lvlJc w:val="left"/>
      <w:pPr>
        <w:ind w:hanging="360" w:left="8441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9161"/>
      </w:pPr>
    </w:lvl>
    <w:lvl w:tentative="true" w:tplc="041A001B" w:ilvl="2">
      <w:start w:val="1"/>
      <w:numFmt w:val="lowerRoman"/>
      <w:lvlText w:val="%3."/>
      <w:lvlJc w:val="right"/>
      <w:pPr>
        <w:ind w:hanging="180" w:left="9881"/>
      </w:pPr>
    </w:lvl>
    <w:lvl w:tentative="true" w:tplc="041A000F" w:ilvl="3">
      <w:start w:val="1"/>
      <w:numFmt w:val="decimal"/>
      <w:lvlText w:val="%4."/>
      <w:lvlJc w:val="left"/>
      <w:pPr>
        <w:ind w:hanging="360" w:left="10601"/>
      </w:pPr>
    </w:lvl>
    <w:lvl w:tentative="true" w:tplc="041A0019" w:ilvl="4">
      <w:start w:val="1"/>
      <w:numFmt w:val="lowerLetter"/>
      <w:lvlText w:val="%5."/>
      <w:lvlJc w:val="left"/>
      <w:pPr>
        <w:ind w:hanging="360" w:left="11321"/>
      </w:pPr>
    </w:lvl>
    <w:lvl w:tentative="true" w:tplc="041A001B" w:ilvl="5">
      <w:start w:val="1"/>
      <w:numFmt w:val="lowerRoman"/>
      <w:lvlText w:val="%6."/>
      <w:lvlJc w:val="right"/>
      <w:pPr>
        <w:ind w:hanging="180" w:left="12041"/>
      </w:pPr>
    </w:lvl>
    <w:lvl w:tentative="true" w:tplc="041A000F" w:ilvl="6">
      <w:start w:val="1"/>
      <w:numFmt w:val="decimal"/>
      <w:lvlText w:val="%7."/>
      <w:lvlJc w:val="left"/>
      <w:pPr>
        <w:ind w:hanging="360" w:left="12761"/>
      </w:pPr>
    </w:lvl>
    <w:lvl w:tentative="true" w:tplc="041A0019" w:ilvl="7">
      <w:start w:val="1"/>
      <w:numFmt w:val="lowerLetter"/>
      <w:lvlText w:val="%8."/>
      <w:lvlJc w:val="left"/>
      <w:pPr>
        <w:ind w:hanging="360" w:left="13481"/>
      </w:pPr>
    </w:lvl>
    <w:lvl w:tentative="true" w:tplc="041A001B" w:ilvl="8">
      <w:start w:val="1"/>
      <w:numFmt w:val="lowerRoman"/>
      <w:lvlText w:val="%9."/>
      <w:lvlJc w:val="right"/>
      <w:pPr>
        <w:ind w:hanging="180" w:left="14201"/>
      </w:pPr>
    </w:lvl>
  </w:abstractNum>
  <w:abstractNum w:abstractNumId="10">
    <w:nsid w:val="5AED74A9"/>
    <w:multiLevelType w:val="hybridMultilevel"/>
    <w:tmpl w:val="C9C062A4"/>
    <w:lvl w:tplc="55AC28A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FF22DC"/>
    <w:multiLevelType w:val="hybridMultilevel"/>
    <w:tmpl w:val="D9B8FD5A"/>
    <w:lvl w:tplc="12D616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D30639C"/>
    <w:multiLevelType w:val="hybridMultilevel"/>
    <w:tmpl w:val="A58EB9BA"/>
    <w:lvl w:tplc="BE265E1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12"/>
  </w:num>
  <w:num w:numId="7">
    <w:abstractNumId w:val="0"/>
  </w:num>
  <w:num w:numId="8">
    <w:abstractNumId w:val="8"/>
  </w:num>
  <w:num w:numId="9">
    <w:abstractNumId w:val="9"/>
  </w:num>
  <w:num w:numId="10">
    <w:abstractNumId w:val="10"/>
  </w:num>
  <w:num w:numId="11">
    <w:abstractNumId w:val="4"/>
  </w:num>
  <w:num w:numId="12">
    <w:abstractNumId w:val="6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6FB"/>
    <w:rsid w:val="00000417"/>
    <w:rsid w:val="00024DE9"/>
    <w:rsid w:val="00035ACA"/>
    <w:rsid w:val="00040496"/>
    <w:rsid w:val="0006365D"/>
    <w:rsid w:val="00080FBD"/>
    <w:rsid w:val="00091788"/>
    <w:rsid w:val="0009644E"/>
    <w:rsid w:val="000B6864"/>
    <w:rsid w:val="000C4D3F"/>
    <w:rsid w:val="000E1670"/>
    <w:rsid w:val="000F39A4"/>
    <w:rsid w:val="00107A28"/>
    <w:rsid w:val="001106B4"/>
    <w:rsid w:val="001248DD"/>
    <w:rsid w:val="00126695"/>
    <w:rsid w:val="00126EC9"/>
    <w:rsid w:val="001F5AE0"/>
    <w:rsid w:val="00202CAA"/>
    <w:rsid w:val="00210318"/>
    <w:rsid w:val="00211511"/>
    <w:rsid w:val="00213049"/>
    <w:rsid w:val="00221A38"/>
    <w:rsid w:val="00222E4D"/>
    <w:rsid w:val="00227AA2"/>
    <w:rsid w:val="002446A5"/>
    <w:rsid w:val="00261CED"/>
    <w:rsid w:val="002B6FD8"/>
    <w:rsid w:val="002E6085"/>
    <w:rsid w:val="002F578D"/>
    <w:rsid w:val="003139B1"/>
    <w:rsid w:val="00317742"/>
    <w:rsid w:val="00391F8F"/>
    <w:rsid w:val="00394879"/>
    <w:rsid w:val="003A7C4D"/>
    <w:rsid w:val="003E0E21"/>
    <w:rsid w:val="003F3BB8"/>
    <w:rsid w:val="00457222"/>
    <w:rsid w:val="004621C7"/>
    <w:rsid w:val="004966CE"/>
    <w:rsid w:val="004A2251"/>
    <w:rsid w:val="004B4AD4"/>
    <w:rsid w:val="004D1D5D"/>
    <w:rsid w:val="004E16EE"/>
    <w:rsid w:val="004E21B1"/>
    <w:rsid w:val="00500573"/>
    <w:rsid w:val="005065FB"/>
    <w:rsid w:val="00512899"/>
    <w:rsid w:val="005138CB"/>
    <w:rsid w:val="00514BC3"/>
    <w:rsid w:val="0052053E"/>
    <w:rsid w:val="00537AF7"/>
    <w:rsid w:val="0054582E"/>
    <w:rsid w:val="00566412"/>
    <w:rsid w:val="00593912"/>
    <w:rsid w:val="005C0A1E"/>
    <w:rsid w:val="005D51BE"/>
    <w:rsid w:val="005F64D3"/>
    <w:rsid w:val="0062271E"/>
    <w:rsid w:val="00623AEE"/>
    <w:rsid w:val="00631F27"/>
    <w:rsid w:val="006636A7"/>
    <w:rsid w:val="0067695A"/>
    <w:rsid w:val="006A1963"/>
    <w:rsid w:val="006E4299"/>
    <w:rsid w:val="00723D01"/>
    <w:rsid w:val="00732137"/>
    <w:rsid w:val="007336FB"/>
    <w:rsid w:val="00761637"/>
    <w:rsid w:val="00764CBF"/>
    <w:rsid w:val="007743FC"/>
    <w:rsid w:val="00790D28"/>
    <w:rsid w:val="007945D7"/>
    <w:rsid w:val="007C087A"/>
    <w:rsid w:val="007D1041"/>
    <w:rsid w:val="007F11A1"/>
    <w:rsid w:val="007F2450"/>
    <w:rsid w:val="00802D3B"/>
    <w:rsid w:val="0084322B"/>
    <w:rsid w:val="00855985"/>
    <w:rsid w:val="008808CF"/>
    <w:rsid w:val="008922E6"/>
    <w:rsid w:val="008C44CC"/>
    <w:rsid w:val="008F7932"/>
    <w:rsid w:val="00906FBC"/>
    <w:rsid w:val="009159AC"/>
    <w:rsid w:val="00931CA8"/>
    <w:rsid w:val="009334C2"/>
    <w:rsid w:val="00933576"/>
    <w:rsid w:val="00933904"/>
    <w:rsid w:val="00936E1B"/>
    <w:rsid w:val="00945DD1"/>
    <w:rsid w:val="00952DA0"/>
    <w:rsid w:val="0096606C"/>
    <w:rsid w:val="00980244"/>
    <w:rsid w:val="009B4568"/>
    <w:rsid w:val="009C0399"/>
    <w:rsid w:val="009C2169"/>
    <w:rsid w:val="009C6D36"/>
    <w:rsid w:val="009D6694"/>
    <w:rsid w:val="009E2577"/>
    <w:rsid w:val="009F01AD"/>
    <w:rsid w:val="00A05823"/>
    <w:rsid w:val="00A13AC8"/>
    <w:rsid w:val="00A154FF"/>
    <w:rsid w:val="00A273DD"/>
    <w:rsid w:val="00A63EE6"/>
    <w:rsid w:val="00A811F3"/>
    <w:rsid w:val="00A93D1F"/>
    <w:rsid w:val="00A941AD"/>
    <w:rsid w:val="00AA2E10"/>
    <w:rsid w:val="00AC6F74"/>
    <w:rsid w:val="00AD72E9"/>
    <w:rsid w:val="00AF0E33"/>
    <w:rsid w:val="00B1490F"/>
    <w:rsid w:val="00B17BD5"/>
    <w:rsid w:val="00B30E61"/>
    <w:rsid w:val="00B467C7"/>
    <w:rsid w:val="00B8576D"/>
    <w:rsid w:val="00BA06F5"/>
    <w:rsid w:val="00BA2038"/>
    <w:rsid w:val="00BC3B98"/>
    <w:rsid w:val="00BF4C1A"/>
    <w:rsid w:val="00C12B6F"/>
    <w:rsid w:val="00C510D9"/>
    <w:rsid w:val="00C519C4"/>
    <w:rsid w:val="00C70D1C"/>
    <w:rsid w:val="00C80B6F"/>
    <w:rsid w:val="00C85FC5"/>
    <w:rsid w:val="00C9347E"/>
    <w:rsid w:val="00C97E2C"/>
    <w:rsid w:val="00CD012D"/>
    <w:rsid w:val="00CD757F"/>
    <w:rsid w:val="00CE4AC9"/>
    <w:rsid w:val="00D0551B"/>
    <w:rsid w:val="00D164CE"/>
    <w:rsid w:val="00D17C78"/>
    <w:rsid w:val="00D3356A"/>
    <w:rsid w:val="00D47ED2"/>
    <w:rsid w:val="00D52134"/>
    <w:rsid w:val="00D522CD"/>
    <w:rsid w:val="00D54231"/>
    <w:rsid w:val="00D65A07"/>
    <w:rsid w:val="00D9722C"/>
    <w:rsid w:val="00DB218C"/>
    <w:rsid w:val="00DB5D7A"/>
    <w:rsid w:val="00DC05C7"/>
    <w:rsid w:val="00DE133E"/>
    <w:rsid w:val="00DE231B"/>
    <w:rsid w:val="00DE450D"/>
    <w:rsid w:val="00DE6272"/>
    <w:rsid w:val="00DF1182"/>
    <w:rsid w:val="00E050CB"/>
    <w:rsid w:val="00E07CB0"/>
    <w:rsid w:val="00E12CA0"/>
    <w:rsid w:val="00E21319"/>
    <w:rsid w:val="00E41090"/>
    <w:rsid w:val="00E44C56"/>
    <w:rsid w:val="00E7503F"/>
    <w:rsid w:val="00E84AC8"/>
    <w:rsid w:val="00E864F5"/>
    <w:rsid w:val="00E952E6"/>
    <w:rsid w:val="00EE3A88"/>
    <w:rsid w:val="00EE689D"/>
    <w:rsid w:val="00EF3E26"/>
    <w:rsid w:val="00F00D7A"/>
    <w:rsid w:val="00F013BA"/>
    <w:rsid w:val="00F36A88"/>
    <w:rsid w:val="00F44C60"/>
    <w:rsid w:val="00F54774"/>
    <w:rsid w:val="00F643A7"/>
    <w:rsid w:val="00F76478"/>
    <w:rsid w:val="00F84DD6"/>
    <w:rsid w:val="00F952EC"/>
    <w:rsid w:val="00FA696C"/>
    <w:rsid w:val="00FB17EF"/>
    <w:rsid w:val="00FD4EE6"/>
    <w:rsid w:val="00FD5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left="720"/>
      <w:jc w:val="both"/>
    </w:pPr>
    <w:rPr>
      <w:rFonts w:hAnsi="Arial" w:asci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61CED"/>
    <w:rPr>
      <w:rFonts w:cs="Tahoma" w:hAnsi="Tahoma" w:ascii="Tahoma"/>
      <w:sz w:val="16"/>
      <w:szCs w:val="16"/>
      <w:lang w:val="en-US"/>
    </w:rPr>
  </w:style>
  <w:style w:customStyle="true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A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AC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A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A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uiPriority w:val="22"/>
    <w:qFormat/>
    <w:rsid w:val="00AC6F74"/>
    <w:rPr>
      <w:b/>
      <w:bCs/>
    </w:rPr>
  </w:style>
  <w:style w:styleId="Tijeloteksta-uvlaka3" w:type="paragraph">
    <w:name w:val="Body Text Indent 3"/>
    <w:basedOn w:val="Normal"/>
    <w:link w:val="Tijeloteksta-uvlaka3Char"/>
    <w:rsid w:val="005065FB"/>
    <w:pPr>
      <w:spacing w:after="120"/>
      <w:ind w:left="283"/>
    </w:pPr>
    <w:rPr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rsid w:val="005065FB"/>
    <w:rPr>
      <w:sz w:val="16"/>
      <w:szCs w:val="16"/>
    </w:rPr>
  </w:style>
  <w:style w:styleId="Reetkatablice" w:type="table">
    <w:name w:val="Table Grid"/>
    <w:basedOn w:val="Obinatablica"/>
    <w:rsid w:val="00F7647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left="720"/>
      <w:jc w:val="both"/>
    </w:pPr>
    <w:rPr>
      <w:rFonts w:ascii="Arial" w:hAns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61CED"/>
    <w:rPr>
      <w:rFonts w:ascii="Tahoma" w:cs="Tahoma" w:hAnsi="Tahoma"/>
      <w:sz w:val="16"/>
      <w:szCs w:val="16"/>
      <w:lang w:val="en-US"/>
    </w:rPr>
  </w:style>
  <w:style w:customStyle="1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AC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uiPriority w:val="22"/>
    <w:qFormat/>
    <w:rsid w:val="00AC6F74"/>
    <w:rPr>
      <w:b/>
      <w:bCs/>
    </w:rPr>
  </w:style>
  <w:style w:styleId="Tijeloteksta-uvlaka3" w:type="paragraph">
    <w:name w:val="Body Text Indent 3"/>
    <w:basedOn w:val="Normal"/>
    <w:link w:val="Tijeloteksta-uvlaka3Char"/>
    <w:rsid w:val="005065FB"/>
    <w:pPr>
      <w:spacing w:after="120"/>
      <w:ind w:left="283"/>
    </w:pPr>
    <w:rPr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rsid w:val="005065FB"/>
    <w:rPr>
      <w:sz w:val="16"/>
      <w:szCs w:val="16"/>
    </w:rPr>
  </w:style>
  <w:style w:styleId="Reetkatablice" w:type="table">
    <w:name w:val="Table Grid"/>
    <w:basedOn w:val="Obinatablica"/>
    <w:rsid w:val="00F7647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</izvorni_sadrzaj>
    <derivirana_varijabla naziv="DomainObject.Predmet.Broj_1">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St-895/2017</izvorni_sadrzaj>
    <derivirana_varijabla naziv="DomainObject.Predmet.OznakaBroj_1">St-895/2017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GOLD štedionica d.o.o., u stečaju</izvorni_sadrzaj>
    <derivirana_varijabla naziv="DomainObject.Predmet.ProtustrankaFormated_1">  Stečajna masa iza GOLD štedionica d.o.o., u stečaju</derivirana_varijabla>
  </DomainObject.Predmet.ProtustrankaFormated>
  <DomainObject.Predmet.ProtustrankaFormatedOIB>
    <izvorni_sadrzaj>  Stečajna masa iza GOLD štedionica d.o.o., u stečaju, OIB 25749181068</izvorni_sadrzaj>
    <derivirana_varijabla naziv="DomainObject.Predmet.ProtustrankaFormatedOIB_1">  Stečajna masa iza GOLD štedionica d.o.o., u stečaju, OIB 25749181068</derivirana_varijabla>
  </DomainObject.Predmet.ProtustrankaFormatedOIB>
  <DomainObject.Predmet.ProtustrankaFormatedWithAdress>
    <izvorni_sadrzaj> Stečajna masa iza GOLD štedionica d.o.o., u stečaju, Trg Mihovila Pavlinovića 2, 21000 Split</izvorni_sadrzaj>
    <derivirana_varijabla naziv="DomainObject.Predmet.ProtustrankaFormatedWithAdress_1"> Stečajna masa iza GOLD štedionica d.o.o., u stečaju, Trg Mihovila Pavlinovića 2, 21000 Split</derivirana_varijabla>
  </DomainObject.Predmet.ProtustrankaFormatedWithAdress>
  <DomainObject.Predmet.ProtustrankaFormatedWithAdressOIB>
    <izvorni_sadrzaj> Stečajna masa iza GOLD štedionica d.o.o., u stečaju, OIB 25749181068, Trg Mihovila Pavlinovića 2, 21000 Split</izvorni_sadrzaj>
    <derivirana_varijabla naziv="DomainObject.Predmet.ProtustrankaFormatedWithAdressOIB_1"> Stečajna masa iza GOLD štedionica d.o.o., u stečaju, OIB 25749181068, Trg Mihovila Pavlinovića 2, 21000 Split</derivirana_varijabla>
  </DomainObject.Predmet.ProtustrankaFormatedWithAdressOIB>
  <DomainObject.Predmet.ProtustrankaWithAdress>
    <izvorni_sadrzaj>Stečajna masa iza GOLD štedionica d.o.o., u stečaju Trg Mihovila Pavlinovića 2, 21000 Split</izvorni_sadrzaj>
    <derivirana_varijabla naziv="DomainObject.Predmet.ProtustrankaWithAdress_1">Stečajna masa iza GOLD štedionica d.o.o., u stečaju Trg Mihovila Pavlinovića 2, 21000 Split</derivirana_varijabla>
  </DomainObject.Predmet.ProtustrankaWithAdress>
  <DomainObject.Predmet.ProtustrankaWithAdressOIB>
    <izvorni_sadrzaj>Stečajna masa iza GOLD štedionica d.o.o., u stečaju, OIB 25749181068, Trg Mihovila Pavlinovića 2, 21000 Split</izvorni_sadrzaj>
    <derivirana_varijabla naziv="DomainObject.Predmet.ProtustrankaWithAdressOIB_1">Stečajna masa iza GOLD štedionica d.o.o., u stečaju, OIB 25749181068, Trg Mihovila Pavlinovića 2, 21000 Split</derivirana_varijabla>
  </DomainObject.Predmet.ProtustrankaWithAdressOIB>
  <DomainObject.Predmet.ProtustrankaNazivFormated>
    <izvorni_sadrzaj>Stečajna masa iza GOLD štedionica d.o.o., u stečaju</izvorni_sadrzaj>
    <derivirana_varijabla naziv="DomainObject.Predmet.ProtustrankaNazivFormated_1">Stečajna masa iza GOLD štedionica d.o.o., u stečaju</derivirana_varijabla>
  </DomainObject.Predmet.ProtustrankaNazivFormated>
  <DomainObject.Predmet.ProtustrankaNazivFormatedOIB>
    <izvorni_sadrzaj>Stečajna masa iza GOLD štedionica d.o.o., u stečaju, OIB 25749181068</izvorni_sadrzaj>
    <derivirana_varijabla naziv="DomainObject.Predmet.ProtustrankaNazivFormatedOIB_1">Stečajna masa iza GOLD štedionica d.o.o., u stečaju, OIB 25749181068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GOLD štedionica d.o.o., u stečaju</item>
    </izvorni_sadrzaj>
    <derivirana_varijabla naziv="DomainObject.Predmet.ProtuStrankaListFormated_1">
      <item>Stečajna masa iza GOLD štedionica d.o.o., u stečaju</item>
    </derivirana_varijabla>
  </DomainObject.Predmet.ProtuStrankaListFormated>
  <DomainObject.Predmet.ProtuStrankaListFormatedOIB>
    <izvorni_sadrzaj>
      <item>Stečajna masa iza GOLD štedionica d.o.o., u stečaju, OIB 25749181068</item>
    </izvorni_sadrzaj>
    <derivirana_varijabla naziv="DomainObject.Predmet.ProtuStrankaListFormatedOIB_1">
      <item>Stečajna masa iza GOLD štedionica d.o.o., u stečaju, OIB 25749181068</item>
    </derivirana_varijabla>
  </DomainObject.Predmet.ProtuStrankaListFormatedOIB>
  <DomainObject.Predmet.ProtuStrankaListFormatedWithAdress>
    <izvorni_sadrzaj>
      <item>Stečajna masa iza GOLD štedionica d.o.o., u stečaju, Trg Mihovila Pavlinovića 2, 21000 Split</item>
    </izvorni_sadrzaj>
    <derivirana_varijabla naziv="DomainObject.Predmet.ProtuStrankaListFormatedWithAdress_1">
      <item>Stečajna masa iza GOLD štedionica d.o.o., u stečaju, Trg Mihovila Pavlinovića 2, 21000 Split</item>
    </derivirana_varijabla>
  </DomainObject.Predmet.ProtuStrankaListFormatedWithAdress>
  <DomainObject.Predmet.ProtuStrankaListFormatedWithAdressOIB>
    <izvorni_sadrzaj>
      <item>Stečajna masa iza GOLD štedionica d.o.o., u stečaju, OIB 25749181068, Trg Mihovila Pavlinovića 2, 21000 Split</item>
    </izvorni_sadrzaj>
    <derivirana_varijabla naziv="DomainObject.Predmet.ProtuStrankaListFormatedWithAdressOIB_1">
      <item>Stečajna masa iza GOLD štedionica d.o.o., u stečaju, OIB 25749181068, Trg Mihovila Pavlinovića 2, 21000 Split</item>
    </derivirana_varijabla>
  </DomainObject.Predmet.ProtuStrankaListFormatedWithAdressOIB>
  <DomainObject.Predmet.ProtuStrankaListNazivFormated>
    <izvorni_sadrzaj>
      <item>Stečajna masa iza GOLD štedionica d.o.o., u stečaju</item>
    </izvorni_sadrzaj>
    <derivirana_varijabla naziv="DomainObject.Predmet.ProtuStrankaListNazivFormated_1">
      <item>Stečajna masa iza GOLD štedionica d.o.o., u stečaju</item>
    </derivirana_varijabla>
  </DomainObject.Predmet.ProtuStrankaListNazivFormated>
  <DomainObject.Predmet.ProtuStrankaListNazivFormatedOIB>
    <izvorni_sadrzaj>
      <item>Stečajna masa iza GOLD štedionica d.o.o., u stečaju, OIB 25749181068</item>
    </izvorni_sadrzaj>
    <derivirana_varijabla naziv="DomainObject.Predmet.ProtuStrankaListNazivFormatedOIB_1">
      <item>Stečajna masa iza GOLD štedionica d.o.o., u stečaju, OIB 25749181068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GOLD štedionica d.o.o., u stečaju</izvorni_sadrzaj>
    <derivirana_varijabla naziv="DomainObject.Predmet.ProtustrankaIDrugi_1">Stečajna masa iza GOLD štedionica d.o.o.,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GOLD štedionica d.o.o., u stečaju, OIB 25749181068, Trg Mihovila Pavlinovića 2, 21000 Split</izvorni_sadrzaj>
    <derivirana_varijabla naziv="DomainObject.Predmet.ProtustrankaIDrugiAdressOIB_1">Stečajna masa iza GOLD štedionica d.o.o., u stečaju, OIB 25749181068, Trg Mihovila Pavlinovića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GOLD štedionica d.o.o., u stečaju</item>
    </izvorni_sadrzaj>
    <derivirana_varijabla naziv="DomainObject.Predmet.SudioniciListNaziv_1">
      <item>Stečajna masa iza GOLD štedionica d.o.o., u stečaju</item>
    </derivirana_varijabla>
  </DomainObject.Predmet.SudioniciListNaziv>
  <DomainObject.Predmet.SudioniciListAdressOIB>
    <izvorni_sadrzaj>
      <item>Stečajna masa iza GOLD štedionica d.o.o., u stečaju, OIB 25749181068, Trg Mihovila Pavlinovića 2,21000 Split</item>
    </izvorni_sadrzaj>
    <derivirana_varijabla naziv="DomainObject.Predmet.SudioniciListAdressOIB_1">
      <item>Stečajna masa iza GOLD štedionica d.o.o., u stečaju, OIB 25749181068, Trg Mihovila Pavlinovića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25749181068</item>
    </izvorni_sadrzaj>
    <derivirana_varijabla naziv="DomainObject.Predmet.SudioniciListNazivOIB_1">
      <item>, OIB 25749181068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A454DA-CD3E-464B-9493-8F8B215983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1001</properties:Words>
  <properties:Characters>5477</properties:Characters>
  <properties:Lines>105</properties:Lines>
  <properties:Paragraphs>37</properties:Paragraphs>
  <properties:TotalTime>288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2016-03-01T08:36:00Z</dcterms:created>
  <dc:creator>KDS - 8</dc:creator>
  <cp:lastModifiedBy>Ana Golub Gruić</cp:lastModifiedBy>
  <cp:lastPrinted>2018-05-03T11:08:00Z</cp:lastPrinted>
  <dcterms:modified xmlns:xsi="http://www.w3.org/2001/XMLSchema-instance" xsi:type="dcterms:W3CDTF">2018-06-08T08:28:00Z</dcterms:modified>
  <cp:revision>53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(St-895-2017 Rješenje - daje se suglasnost i određuje se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