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a03c" w14:paraId="ccda03c" w:rsidRDefault="00353C39" w:rsidP="00563A19" w:rsidR="00353C39">
      <w:pPr>
        <w15:collapsed w:val="false"/>
      </w:pPr>
      <w:bookmarkStart w:name="_GoBack" w:id="0"/>
      <w:bookmarkEnd w:id="0"/>
    </w:p>
    <w:p w:rsidRDefault="00B230A5" w:rsidP="00563A19" w:rsidR="00B230A5"/>
    <w:p w:rsidRDefault="00B230A5" w:rsidP="00563A19" w:rsidR="00B230A5"/>
    <w:p w:rsidRDefault="00B230A5" w:rsidP="00563A19" w:rsidR="00B230A5"/>
    <w:p w:rsidRDefault="00B230A5" w:rsidP="00563A19" w:rsidR="00B230A5"/>
    <w:p w:rsidRDefault="00B230A5" w:rsidP="00563A19" w:rsidR="00B230A5"/>
    <w:p w:rsidRDefault="004A2631" w:rsidP="00B30CFB" w:rsidR="004A2631">
      <w:pPr>
        <w:jc w:val="center"/>
        <w:rPr>
          <w:rFonts w:hAnsi="Times New Roman" w:ascii="Times New Roman"/>
          <w:b/>
        </w:rPr>
      </w:pPr>
    </w:p>
    <w:p w:rsidRDefault="00B30CFB" w:rsidP="00B30CFB" w:rsidR="00B30CFB">
      <w:pPr>
        <w:jc w:val="center"/>
        <w:rPr>
          <w:rFonts w:hAnsi="Times New Roman" w:ascii="Times New Roman"/>
          <w:b/>
        </w:rPr>
      </w:pPr>
      <w:r>
        <w:rPr>
          <w:rFonts w:hAnsi="Times New Roman" w:ascii="Times New Roman"/>
          <w:b/>
        </w:rPr>
        <w:t>R E P U B L I K A  H R V A T S K A</w:t>
      </w:r>
    </w:p>
    <w:p w:rsidRDefault="00B30CFB" w:rsidP="00B30CFB" w:rsidR="00B30CFB">
      <w:pPr>
        <w:jc w:val="center"/>
        <w:rPr>
          <w:rFonts w:hAnsi="Times New Roman" w:ascii="Times New Roman"/>
          <w:b/>
        </w:rPr>
      </w:pPr>
    </w:p>
    <w:p w:rsidRDefault="00B30CFB" w:rsidP="00B30CFB" w:rsidR="00B30CFB">
      <w:pPr>
        <w:tabs>
          <w:tab w:pos="720" w:val="left"/>
          <w:tab w:pos="993" w:val="left"/>
        </w:tabs>
        <w:ind w:right="-288"/>
        <w:jc w:val="center"/>
        <w:rPr>
          <w:rFonts w:hAnsi="Times New Roman" w:ascii="Times New Roman"/>
          <w:b/>
        </w:rPr>
      </w:pPr>
      <w:r>
        <w:rPr>
          <w:rFonts w:hAnsi="Times New Roman" w:ascii="Times New Roman"/>
          <w:b/>
        </w:rPr>
        <w:t>R J E Š E NJ E</w:t>
      </w:r>
    </w:p>
    <w:p w:rsidRDefault="00B30CFB" w:rsidP="00B30CFB" w:rsidR="00B30CFB">
      <w:pPr>
        <w:rPr>
          <w:rFonts w:hAnsi="Times New Roman" w:ascii="Times New Roman"/>
        </w:rPr>
      </w:pP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 xml:space="preserve">Visoki trgovački sud Republike Hrvatske, u vijeću sastavljenom od sudaca Dubravke Matas, predsjednice vijeća, Mladena Šimundića, suca izvjestitelja i Lenke Ćorić, članice vijeća, u stečajnom postupku povodom prijedloga </w:t>
      </w:r>
      <w:r>
        <w:rPr>
          <w:rFonts w:eastAsiaTheme="minorHAnsi" w:hAnsi="Times New Roman" w:ascii="Times New Roman"/>
        </w:rPr>
        <w:t>HETA ASSET RESOLUTION AG</w:t>
      </w:r>
      <w:r>
        <w:rPr>
          <w:rFonts w:hAnsi="Times New Roman" w:ascii="Times New Roman"/>
        </w:rPr>
        <w:t>, Klagenfurt am Wӧrthersee, Alpen-Adria-Platz 1, Republika Austrija, OIB 90730821413, kojeg zastupa punomoćnik Luka Rimac, odvjetnik u Zagrebu, za otvaranje stečajnog postupka nad dužnikom AREIOS d.o.o. Split, Obala Hrvatskog narodnog preporoda 6, OIB 60966752592, kojeg zastupaju punomoćnici Mladen Parčin</w:t>
      </w:r>
      <w:r w:rsidR="004A2631">
        <w:rPr>
          <w:rFonts w:hAnsi="Times New Roman" w:ascii="Times New Roman"/>
        </w:rPr>
        <w:t>a</w:t>
      </w:r>
      <w:r>
        <w:rPr>
          <w:rFonts w:hAnsi="Times New Roman" w:ascii="Times New Roman"/>
        </w:rPr>
        <w:t xml:space="preserve"> i Jelena Šarić Mladin, odvjetnici u Splitu, odlučujući o žalbi protiv rješenja Trgovačkog suda u Splitu poslovni broj St-119/15 od 13. ožujka 2017., u sjednici vijeća održanoj 4. travnja 2017.</w:t>
      </w:r>
    </w:p>
    <w:p w:rsidRDefault="00B30CFB" w:rsidP="00B30CFB" w:rsidR="00B30CFB">
      <w:pPr>
        <w:rPr>
          <w:rFonts w:hAnsi="Times New Roman" w:ascii="Times New Roman"/>
        </w:rPr>
      </w:pPr>
    </w:p>
    <w:p w:rsidRDefault="00B30CFB" w:rsidP="00B30CFB" w:rsidR="00B30CFB">
      <w:pPr>
        <w:rPr>
          <w:rFonts w:hAnsi="Times New Roman" w:ascii="Times New Roman"/>
        </w:rPr>
      </w:pPr>
    </w:p>
    <w:p w:rsidRDefault="00B30CFB" w:rsidP="00B30CFB" w:rsidR="00B30CFB">
      <w:pPr>
        <w:pStyle w:val="toa"/>
        <w:tabs>
          <w:tab w:pos="9360" w:val="clear"/>
          <w:tab w:pos="720" w:val="left"/>
          <w:tab w:pos="993" w:val="left"/>
          <w:tab w:pos="9072" w:val="right"/>
        </w:tabs>
        <w:suppressAutoHyphens w:val="false"/>
        <w:ind w:right="1"/>
        <w:jc w:val="center"/>
        <w:rPr>
          <w:rFonts w:hAnsi="Times New Roman" w:ascii="Times New Roman"/>
        </w:rPr>
      </w:pPr>
      <w:r>
        <w:rPr>
          <w:rFonts w:hAnsi="Times New Roman" w:ascii="Times New Roman"/>
        </w:rPr>
        <w:t>r i j e š i o   j e</w:t>
      </w:r>
    </w:p>
    <w:p w:rsidRDefault="00B30CFB" w:rsidP="00B30CFB" w:rsidR="00B30CFB">
      <w:pPr>
        <w:rPr>
          <w:rFonts w:hAnsi="Times New Roman" w:ascii="Times New Roman"/>
        </w:rPr>
      </w:pP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ab/>
        <w:t>Ukida se rješenje Trgovačkog suda u Splitu poslovni broj St-119/15 od 13. ožujka 2017. i predmet vraća tom sudu na ponovan postupak.</w:t>
      </w:r>
    </w:p>
    <w:p w:rsidRDefault="00B30CFB" w:rsidP="00B30CFB" w:rsidR="00B30CFB">
      <w:pPr>
        <w:rPr>
          <w:rFonts w:hAnsi="Times New Roman" w:ascii="Times New Roman"/>
          <w:color w:val="000000"/>
        </w:rPr>
      </w:pPr>
    </w:p>
    <w:p w:rsidRDefault="00B30CFB" w:rsidP="00B30CFB" w:rsidR="00B30CFB">
      <w:pPr>
        <w:rPr>
          <w:rFonts w:hAnsi="Times New Roman" w:ascii="Times New Roman"/>
          <w:color w:val="000000"/>
        </w:rPr>
      </w:pPr>
    </w:p>
    <w:p w:rsidRDefault="00B30CFB" w:rsidP="00B30CFB" w:rsidR="00B30CFB">
      <w:pPr>
        <w:jc w:val="center"/>
        <w:rPr>
          <w:rFonts w:hAnsi="Times New Roman" w:ascii="Times New Roman"/>
        </w:rPr>
      </w:pPr>
      <w:r>
        <w:rPr>
          <w:rFonts w:hAnsi="Times New Roman" w:ascii="Times New Roman"/>
        </w:rPr>
        <w:t>Obrazloženje</w:t>
      </w:r>
    </w:p>
    <w:p w:rsidRDefault="00B30CFB" w:rsidP="00B30CFB" w:rsidR="00B30CFB">
      <w:pPr>
        <w:jc w:val="center"/>
        <w:rPr>
          <w:rFonts w:hAnsi="Times New Roman" w:ascii="Times New Roman"/>
        </w:rPr>
      </w:pPr>
    </w:p>
    <w:p w:rsidRDefault="00B30CFB" w:rsidP="00B30CFB" w:rsidR="00B30CFB">
      <w:pPr>
        <w:rPr>
          <w:rFonts w:hAnsi="Times New Roman" w:ascii="Times New Roman"/>
        </w:rPr>
      </w:pPr>
    </w:p>
    <w:p w:rsidRDefault="00B30CFB" w:rsidP="00B30CFB" w:rsidR="00B30CFB">
      <w:pPr>
        <w:rPr>
          <w:rFonts w:hAnsi="Times New Roman" w:ascii="Times New Roman"/>
        </w:rPr>
      </w:pPr>
      <w:r>
        <w:tab/>
      </w:r>
      <w:r>
        <w:rPr>
          <w:rFonts w:hAnsi="Times New Roman" w:ascii="Times New Roman"/>
        </w:rPr>
        <w:t>Pobijanim rješenjem označenim u izreci prvostupanjski je sud otvorio stečajni postupak nad stečajnim dužnikom, imenovao stečajnog upravitelja, naveo kada je otvoren stečajni postupak, pozvao stečajne vjerovnike viših isplatnih redova na prijavu svojih tražbina, zatim je pozvao razlučne i izlučne vjerovnike da obavijeste stečajnog upravitelja o razlučnom i izlučnom pravu, odredio upis pobijane odluke u sudski registar te zakazao ispitno i izvještajno ročište. U obrazloženju prvostupanjski sud navodi da je tijekom postupka utvrđeno kako je utvrđena vjerojatnost postojanja predlagateljeve tražbine te postojanje stečajnog razloga nesposobnosti za plaćanje, sukladno čl. 4. i 39. Stečajnog zakona („Narodne novine“ broj 44/96, 29/99, 129/00, 123/03, 197/03, 187/04,</w:t>
      </w:r>
      <w:r w:rsidR="004A2631">
        <w:rPr>
          <w:rFonts w:hAnsi="Times New Roman" w:ascii="Times New Roman"/>
        </w:rPr>
        <w:t xml:space="preserve"> 82/06, 116/10, 125/12 i 133/12;</w:t>
      </w:r>
      <w:r>
        <w:rPr>
          <w:rFonts w:hAnsi="Times New Roman" w:ascii="Times New Roman"/>
        </w:rPr>
        <w:t xml:space="preserve"> dalje</w:t>
      </w:r>
      <w:r w:rsidR="004A2631">
        <w:rPr>
          <w:rFonts w:hAnsi="Times New Roman" w:ascii="Times New Roman"/>
        </w:rPr>
        <w:t>:</w:t>
      </w:r>
      <w:r>
        <w:rPr>
          <w:rFonts w:hAnsi="Times New Roman" w:ascii="Times New Roman"/>
        </w:rPr>
        <w:t xml:space="preserve"> SZ).</w:t>
      </w:r>
    </w:p>
    <w:p w:rsidRDefault="00B30CFB" w:rsidP="00B30CFB" w:rsidR="00B30CFB">
      <w:pPr>
        <w:rPr>
          <w:rFonts w:hAnsi="Times New Roman" w:ascii="Times New Roman"/>
        </w:rPr>
      </w:pPr>
    </w:p>
    <w:p w:rsidRDefault="00B30CFB" w:rsidP="00B30CFB" w:rsidR="00B30CFB">
      <w:pPr>
        <w:rPr>
          <w:rFonts w:hAnsi="Times New Roman" w:ascii="Times New Roman"/>
          <w:szCs w:val="24"/>
        </w:rPr>
      </w:pPr>
      <w:r>
        <w:rPr>
          <w:rFonts w:hAnsi="Times New Roman" w:ascii="Times New Roman"/>
        </w:rPr>
        <w:tab/>
      </w:r>
      <w:r>
        <w:rPr>
          <w:rFonts w:hAnsi="Times New Roman" w:ascii="Times New Roman"/>
          <w:szCs w:val="24"/>
        </w:rPr>
        <w:t>Protiv naveden</w:t>
      </w:r>
      <w:r w:rsidR="004A2631">
        <w:rPr>
          <w:rFonts w:hAnsi="Times New Roman" w:ascii="Times New Roman"/>
          <w:szCs w:val="24"/>
        </w:rPr>
        <w:t>og</w:t>
      </w:r>
      <w:r>
        <w:rPr>
          <w:rFonts w:hAnsi="Times New Roman" w:ascii="Times New Roman"/>
          <w:szCs w:val="24"/>
        </w:rPr>
        <w:t xml:space="preserve"> rješenja žalbu je podnio Kristijan Gelo, zakonski zastupnik stečajnog dužnika do dana nastupanja pravnih posljedica otvaranja stečajnog postupka, te rješenje pobija u cijelosti. Pri tome ovaj sud ukazuje kako, makar se na početku obrazloženja razloga žalbe dužnik poziva na drugi stečajni postupak u kojemu je stečajni dužnik društvo </w:t>
      </w:r>
      <w:r>
        <w:rPr>
          <w:rFonts w:hAnsi="Times New Roman" w:ascii="Times New Roman"/>
          <w:szCs w:val="24"/>
        </w:rPr>
        <w:lastRenderedPageBreak/>
        <w:t>Mejaši peti d.o.o., iz samog uvoda i sadržaja žalbe jasno proizlazi kako se ista odnosi upravo na ovaj predmet i ovog dužnika.</w:t>
      </w:r>
    </w:p>
    <w:p w:rsidRDefault="00B30CFB" w:rsidP="00B30CFB" w:rsidR="00B30CFB">
      <w:pPr>
        <w:rPr>
          <w:rFonts w:hAnsi="Times New Roman" w:ascii="Times New Roman"/>
          <w:szCs w:val="24"/>
        </w:rPr>
      </w:pPr>
    </w:p>
    <w:p w:rsidRDefault="00B30CFB" w:rsidP="00B30CFB" w:rsidR="00B30CFB" w:rsidRPr="00B30CFB">
      <w:pPr>
        <w:rPr>
          <w:rFonts w:hAnsi="Times New Roman" w:ascii="Times New Roman"/>
          <w:szCs w:val="24"/>
        </w:rPr>
      </w:pPr>
      <w:r w:rsidRPr="00B30CFB">
        <w:rPr>
          <w:rFonts w:hAnsi="Times New Roman" w:ascii="Times New Roman"/>
          <w:szCs w:val="24"/>
        </w:rPr>
        <w:tab/>
        <w:t>Žalba je osnovana.</w:t>
      </w:r>
    </w:p>
    <w:p w:rsidRDefault="00B30CFB" w:rsidP="00B30CFB" w:rsidR="00B30CFB" w:rsidRPr="00B30CFB">
      <w:pPr>
        <w:rPr>
          <w:rFonts w:hAnsi="Times New Roman" w:ascii="Times New Roman"/>
          <w:szCs w:val="24"/>
        </w:rPr>
      </w:pPr>
      <w:r w:rsidRPr="00B30CFB">
        <w:rPr>
          <w:rFonts w:hAnsi="Times New Roman" w:ascii="Times New Roman"/>
          <w:szCs w:val="24"/>
        </w:rPr>
        <w:tab/>
        <w:t xml:space="preserve"> </w:t>
      </w:r>
    </w:p>
    <w:p w:rsidRDefault="00B30CFB" w:rsidP="00B30CFB" w:rsidR="00B30CFB">
      <w:pPr>
        <w:rPr>
          <w:rFonts w:hAnsi="Times New Roman" w:ascii="Times New Roman"/>
        </w:rPr>
      </w:pPr>
      <w:r w:rsidRPr="00B30CFB">
        <w:rPr>
          <w:rFonts w:hAnsi="Times New Roman" w:ascii="Times New Roman"/>
          <w:szCs w:val="24"/>
        </w:rPr>
        <w:tab/>
        <w:t>Pobijano rješenje ispitano</w:t>
      </w:r>
      <w:r>
        <w:rPr>
          <w:rFonts w:hAnsi="Times New Roman" w:ascii="Times New Roman"/>
          <w:szCs w:val="24"/>
        </w:rPr>
        <w:t xml:space="preserve"> je</w:t>
      </w:r>
      <w:r w:rsidRPr="00B30CFB">
        <w:rPr>
          <w:rFonts w:hAnsi="Times New Roman" w:ascii="Times New Roman"/>
          <w:szCs w:val="24"/>
        </w:rPr>
        <w:t xml:space="preserve"> na temelju odredbe čl</w:t>
      </w:r>
      <w:r>
        <w:rPr>
          <w:rFonts w:hAnsi="Times New Roman" w:ascii="Times New Roman"/>
          <w:szCs w:val="24"/>
        </w:rPr>
        <w:t>.</w:t>
      </w:r>
      <w:r w:rsidRPr="00B30CFB">
        <w:rPr>
          <w:rFonts w:hAnsi="Times New Roman" w:ascii="Times New Roman"/>
          <w:szCs w:val="24"/>
        </w:rPr>
        <w:t xml:space="preserve"> 365. st</w:t>
      </w:r>
      <w:r>
        <w:rPr>
          <w:rFonts w:hAnsi="Times New Roman" w:ascii="Times New Roman"/>
          <w:szCs w:val="24"/>
        </w:rPr>
        <w:t>.</w:t>
      </w:r>
      <w:r w:rsidRPr="00B30CFB">
        <w:rPr>
          <w:rFonts w:hAnsi="Times New Roman" w:ascii="Times New Roman"/>
          <w:szCs w:val="24"/>
        </w:rPr>
        <w:t xml:space="preserve"> 1. i 2., te čl</w:t>
      </w:r>
      <w:r>
        <w:rPr>
          <w:rFonts w:hAnsi="Times New Roman" w:ascii="Times New Roman"/>
          <w:szCs w:val="24"/>
        </w:rPr>
        <w:t>.</w:t>
      </w:r>
      <w:r w:rsidRPr="00B30CFB">
        <w:rPr>
          <w:rFonts w:hAnsi="Times New Roman" w:ascii="Times New Roman"/>
          <w:szCs w:val="24"/>
        </w:rPr>
        <w:t xml:space="preserve"> 381.</w:t>
      </w:r>
      <w:r>
        <w:rPr>
          <w:rFonts w:hAnsi="Times New Roman" w:ascii="Times New Roman"/>
        </w:rPr>
        <w:t xml:space="preserve"> Zakona o parničnom postupku u vezi s čl. 6. SZ-a, u granicama razloga navedenih u žalbi i pazeći po službenoj dužnosti na bitne povrede odredaba parničnog postupka iz čl. 354. st. 2. t. 2., 4., 8., 9., 11., 13. i 14. Zakona o parničnom postupku („Narodne novine“ broj 53/91, 91/92, 112/99, 88/01, 117/03, 88/05, 2/07, 84/08, 96/08, 123/08, 57/11, 53/13 i 89/14; dalje: ZPP) i na pravilnu primjenu materijalnog prava.</w:t>
      </w: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ab/>
        <w:t>Nakon provedenog postupka prvostupanjski je sud utvrdio vjerojatnost postojanja predlagateljeve tražbine (čl. 39. st. 2. SZ-a) te postojanje stečajnog razloga (čl. 4. SZ-a), kao i da predlagateljeva tražbina nije u cijelosti pokrivena razlučnim pravom (čl. 39. st. 3. SZ-a).</w:t>
      </w:r>
    </w:p>
    <w:p w:rsidRDefault="00B30CFB" w:rsidP="00B30CFB" w:rsidR="00B30CFB">
      <w:pPr>
        <w:rPr>
          <w:rFonts w:hAnsi="Times New Roman" w:ascii="Times New Roman"/>
        </w:rPr>
      </w:pPr>
    </w:p>
    <w:p w:rsidRDefault="00B30CFB" w:rsidP="00B30CFB" w:rsidR="00B30CFB">
      <w:pPr>
        <w:rPr>
          <w:rFonts w:hAnsi="Times New Roman" w:ascii="Times New Roman"/>
          <w:u w:val="single"/>
        </w:rPr>
      </w:pPr>
      <w:r>
        <w:rPr>
          <w:rFonts w:hAnsi="Times New Roman" w:ascii="Times New Roman"/>
        </w:rPr>
        <w:tab/>
        <w:t>U obrazloženju rješenja, glede vjerojatnost</w:t>
      </w:r>
      <w:r w:rsidR="004A2631">
        <w:rPr>
          <w:rFonts w:hAnsi="Times New Roman" w:ascii="Times New Roman"/>
        </w:rPr>
        <w:t>i</w:t>
      </w:r>
      <w:r>
        <w:rPr>
          <w:rFonts w:hAnsi="Times New Roman" w:ascii="Times New Roman"/>
        </w:rPr>
        <w:t xml:space="preserve"> postojanja same tražbine, prvostupanjski sud navodi da zadu</w:t>
      </w:r>
      <w:r w:rsidR="004A2631">
        <w:rPr>
          <w:rFonts w:hAnsi="Times New Roman" w:ascii="Times New Roman"/>
        </w:rPr>
        <w:t>žnica predstavlja apstraktnu ob</w:t>
      </w:r>
      <w:r>
        <w:rPr>
          <w:rFonts w:hAnsi="Times New Roman" w:ascii="Times New Roman"/>
        </w:rPr>
        <w:t xml:space="preserve">vezu, te da su njena svojstva samostalnost, neakcesornost i ovršnost. Stoga smatra kako isticanje činjenica o postojanju mogućnosti zlouporabe zadužnice kao instrumenta osiguranja samo po sebi ne može biti valjanim razlogom za sprječavanje naplate po zadužnici. Osim toga, prvostupanjski sud ukazuje i na nespornu činjenicu, koju ističe i predlagatelj, da je dužnik </w:t>
      </w:r>
      <w:r>
        <w:rPr>
          <w:rFonts w:hAnsi="Times New Roman" w:ascii="Times New Roman"/>
          <w:shd w:fill="FFFFFF" w:color="auto" w:val="clear"/>
        </w:rPr>
        <w:t>predmetnu zadužnicu izdao predlagatelju u okviru obvezno-pravnog odnosa nastalog temeljem Ugovora o kreditnom poslu s inozemstvom broj: HR/1852 (izmijenjen pripadajućim aneksima</w:t>
      </w:r>
      <w:r w:rsidRPr="004A2631">
        <w:rPr>
          <w:rFonts w:hAnsi="Times New Roman" w:ascii="Times New Roman"/>
          <w:shd w:fill="FFFFFF" w:color="auto" w:val="clear"/>
        </w:rPr>
        <w:t>),</w:t>
      </w:r>
      <w:r>
        <w:rPr>
          <w:rFonts w:hAnsi="Times New Roman" w:ascii="Times New Roman"/>
          <w:b/>
          <w:shd w:fill="FFFFFF" w:color="auto" w:val="clear"/>
        </w:rPr>
        <w:t xml:space="preserve"> </w:t>
      </w:r>
      <w:r>
        <w:rPr>
          <w:rFonts w:hAnsi="Times New Roman" w:ascii="Times New Roman"/>
          <w:shd w:fill="FFFFFF" w:color="auto" w:val="clear"/>
        </w:rPr>
        <w:t>a u kojem obvezno-pravnom odnosu je dužnik bezuvjetno i neograničeno pristupio kao sudužnik temeljem Ugovora o pristupanju dugu.</w:t>
      </w:r>
    </w:p>
    <w:p w:rsidRDefault="00B30CFB" w:rsidP="00B30CFB" w:rsidR="00B30CFB">
      <w:pPr>
        <w:rPr>
          <w:rFonts w:hAnsi="Times New Roman" w:ascii="Times New Roman"/>
          <w:sz w:val="16"/>
          <w:szCs w:val="16"/>
        </w:rPr>
      </w:pPr>
    </w:p>
    <w:p w:rsidRDefault="00B30CFB" w:rsidP="00B30CFB" w:rsidR="00B30CFB">
      <w:pPr>
        <w:rPr>
          <w:rFonts w:hAnsi="Times New Roman" w:ascii="Times New Roman"/>
        </w:rPr>
      </w:pPr>
      <w:r>
        <w:rPr>
          <w:rFonts w:hAnsi="Times New Roman" w:ascii="Times New Roman"/>
        </w:rPr>
        <w:tab/>
        <w:t xml:space="preserve">Nadalje, prvostupanjski sud navodi kako </w:t>
      </w:r>
      <w:r w:rsidR="004A2631">
        <w:rPr>
          <w:rFonts w:hAnsi="Times New Roman" w:ascii="Times New Roman"/>
        </w:rPr>
        <w:t xml:space="preserve">su </w:t>
      </w:r>
      <w:r>
        <w:rPr>
          <w:rFonts w:hAnsi="Times New Roman" w:ascii="Times New Roman"/>
        </w:rPr>
        <w:t>dokazi izvedeni tijekom provođenja prethodnog postupka bili dostatni za relevantna utvrđenja (vjerojatnost tražbine na strani predlagatelja i nesposobnost za plaćanje kao stečajni razlog na strani dužnika). Slijedom navedenog, provođenje vještačenja kako ih je dužnik u postupku predlagao (knjigovodstveno-financijskih vještačenja na okolnost postoji li dug i može li se predlagatelj namiriti razlučnim pravom te građevinskih vještačenja na okolnost vrijednosti imovine dužnika) prvostupanjski je s</w:t>
      </w:r>
      <w:r w:rsidR="004A2631">
        <w:rPr>
          <w:rFonts w:hAnsi="Times New Roman" w:ascii="Times New Roman"/>
        </w:rPr>
        <w:t xml:space="preserve">ud ocijenio suvišnim, pa ih je </w:t>
      </w:r>
      <w:r>
        <w:rPr>
          <w:rFonts w:hAnsi="Times New Roman" w:ascii="Times New Roman"/>
        </w:rPr>
        <w:t>sukladno tome i odbio.</w:t>
      </w:r>
    </w:p>
    <w:p w:rsidRDefault="00B30CFB" w:rsidP="00B30CFB" w:rsidR="00B30CFB">
      <w:pPr>
        <w:rPr>
          <w:rFonts w:hAnsi="Times New Roman" w:ascii="Times New Roman"/>
        </w:rPr>
      </w:pPr>
    </w:p>
    <w:p w:rsidRDefault="00B30CFB" w:rsidP="00B30CFB" w:rsidR="00B30CFB">
      <w:pPr>
        <w:rPr>
          <w:rFonts w:hAnsi="Times New Roman" w:ascii="Times New Roman"/>
          <w:shd w:fill="FFFFFF" w:color="auto" w:val="clear"/>
        </w:rPr>
      </w:pPr>
      <w:r>
        <w:rPr>
          <w:rFonts w:hAnsi="Times New Roman" w:ascii="Times New Roman"/>
        </w:rPr>
        <w:tab/>
        <w:t xml:space="preserve">Prvostupanjski je sud, zbog pogrešnog pravnog pristupa, nepotpuno utvrdio činjenično stanje čime je utjecao na pravilnost pobijane odluke. Naime, između stranaka nije sporno da predmetna zadužnica </w:t>
      </w:r>
      <w:r>
        <w:rPr>
          <w:rFonts w:hAnsi="Times New Roman" w:ascii="Times New Roman"/>
          <w:bCs/>
        </w:rPr>
        <w:t xml:space="preserve">ovjerena kod javnog bilježnika Sanje Barbarić iz Zagreba pod poslovnim brojem </w:t>
      </w:r>
      <w:r>
        <w:rPr>
          <w:rFonts w:hAnsi="Times New Roman" w:ascii="Times New Roman"/>
          <w:shd w:fill="FFFFFF" w:color="auto" w:val="clear"/>
        </w:rPr>
        <w:t xml:space="preserve">OV-11973/11 nije predana predlagatelju kao sredstvo plaćanja nesporne tražbine, već kao sredstvo osiguranja tražbine temeljem Ugovora o kreditu broj HR/1852, s pripadajućim aneksima. Ovo jasno proizlazi iz čl. II. st. 6. Aneksa broj 4. od 21. srpnja 2011., u kojemu se jasno govori o zadužnicama (i bjanko zadužnicama) kao sredstvima osiguranja. </w:t>
      </w:r>
    </w:p>
    <w:p w:rsidRDefault="00B30CFB" w:rsidP="00B30CFB" w:rsidR="00B30CFB">
      <w:pPr>
        <w:rPr>
          <w:rFonts w:hAnsi="Times New Roman" w:ascii="Times New Roman"/>
          <w:shd w:fill="FFFFFF" w:color="auto" w:val="clear"/>
        </w:rPr>
      </w:pPr>
    </w:p>
    <w:p w:rsidRDefault="00B30CFB" w:rsidP="00B30CFB" w:rsidR="00B30CFB">
      <w:pPr>
        <w:rPr>
          <w:rFonts w:hAnsi="Times New Roman" w:ascii="Times New Roman"/>
          <w:shd w:fill="FFFFFF" w:color="auto" w:val="clear"/>
        </w:rPr>
      </w:pPr>
      <w:r>
        <w:rPr>
          <w:rFonts w:hAnsi="Times New Roman" w:ascii="Times New Roman"/>
          <w:shd w:fill="FFFFFF" w:color="auto" w:val="clear"/>
        </w:rPr>
        <w:tab/>
        <w:t>Stoga, makar je predlagatelj imao pravo predati zadužnicu na naplatu, i dužnik ima pravo osporavati zakonitost takvog postupanja i visinu potraživanja, posebno stoga što tvrdi kako je ista predana suprotno odredbama Ugovora i stvarnom stanju, te da je cijeli dug po navedenom Ugovoru i aneksima isplaćen.</w:t>
      </w:r>
    </w:p>
    <w:p w:rsidRDefault="00B30CFB" w:rsidP="00B30CFB" w:rsidR="00B30CFB">
      <w:pPr>
        <w:rPr>
          <w:rFonts w:hAnsi="Times New Roman" w:ascii="Times New Roman"/>
        </w:rPr>
      </w:pPr>
      <w:r>
        <w:rPr>
          <w:rFonts w:hAnsi="Times New Roman" w:ascii="Times New Roman"/>
          <w:shd w:fill="FFFFFF" w:color="auto" w:val="clear"/>
        </w:rPr>
        <w:tab/>
        <w:t xml:space="preserve">U ovom konkretnom slučaju, dužnik nije samo istaknuo </w:t>
      </w:r>
      <w:r>
        <w:rPr>
          <w:rFonts w:hAnsi="Times New Roman" w:ascii="Times New Roman"/>
        </w:rPr>
        <w:t xml:space="preserve">kako postoji mogućnost zlouporabe zadužnice kao instrumenta osiguranja jer je ista predana na naplatu suprotno odredbama Ugovora i stvarnom stanju, već je i predložio način (knjigovodstveno-financijsko vještačenje) kojim je to namjeravao dokazati. </w:t>
      </w: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ab/>
        <w:t>Bez obzira na to što zadužnica ima učinak pravomoćnoga rješenja o ovrsi kojim se zapljenjuje tražbina po računu i prenosi na ovrhovoditelja radi naplate (čl. 125. Ovršnog zakona – „Narodne novine“ broj 139/10, kao propisa koji je bio na snazi u trenutku ovjere zadužnice), to ne znači kako se ne može ispitivati postojanje vjerovnikove tražbine navedene u toj zadužnici. Naime, to što zadužnica ima učinak pravomoćnog rješenja o ovrsi ne znači da je riječ o presuđenoj stvari o kojoj se ne može ponovo odlučivati. Štoviše, čak i u slučaju kada bi predlagatelj imao pravomoćnu sudsku presudu, u prethodnom postupku bilo bi dopušteno dokazivati kako je ta obveza prestala. Dakle, nema nikakvih zakonskih prepreka za provođenje dokaza o postojanju odnosno nepostojanju predlagateljeve tražbine, već je riječ samo o tome na kojoj strani leži teret dokazivanja.</w:t>
      </w: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ab/>
        <w:t>Kako predlagatelj ima ovršnu ispravu, teret dokazivanja da tražbina navedena u toj ispravi više ne postoji leži na dužniku. S obzirom na to da je dužnik predložio provođenje dokaza na tu okolnost, sud je iste trebao provesti. Ovo tim više što je sami prethodni postupak i bez toga trajao više od godinu dana, pa provođenje vještačenja (pa i više istovremenih vještačenja) ne bi bitno utjecalo na brzinu njegovog okončanja.</w:t>
      </w:r>
    </w:p>
    <w:p w:rsidRDefault="00B30CFB" w:rsidP="00B30CFB" w:rsidR="00B30CFB">
      <w:pPr>
        <w:rPr>
          <w:rFonts w:hAnsi="Times New Roman" w:ascii="Times New Roman"/>
        </w:rPr>
      </w:pPr>
    </w:p>
    <w:p w:rsidRDefault="00B30CFB" w:rsidP="00B30CFB" w:rsidR="00B30CFB">
      <w:pPr>
        <w:rPr>
          <w:rFonts w:hAnsi="Times New Roman" w:ascii="Times New Roman"/>
          <w:bCs/>
        </w:rPr>
      </w:pPr>
      <w:r>
        <w:rPr>
          <w:rFonts w:hAnsi="Times New Roman" w:ascii="Times New Roman"/>
        </w:rPr>
        <w:tab/>
        <w:t xml:space="preserve">Nadalje, prema odredbi čl. 39. st. 3. SZ-a razlučni vjerovnici mogu predlagati pokretanje stečajnog postupka samo ako učine vjerojatnim da njihovo potraživanje neće moći biti namireno iz predmeta na kojemu imaju razlučno pravo. Prvostupanjski sud u svojoj odluci navodi kako bi, i u slučaju da je njegova tražbina iz zadužnice osigurana razlučnim pravom, ona </w:t>
      </w:r>
      <w:r w:rsidR="007C246A">
        <w:rPr>
          <w:rFonts w:hAnsi="Times New Roman" w:ascii="Times New Roman"/>
        </w:rPr>
        <w:t xml:space="preserve">se </w:t>
      </w:r>
      <w:r>
        <w:rPr>
          <w:rFonts w:hAnsi="Times New Roman" w:ascii="Times New Roman"/>
        </w:rPr>
        <w:t xml:space="preserve">ne bi vjerojatno mogla u cijelosti namiriti iz toga prava, pa da stoga predlagatelj i u tom smislu dokazuje svoju legitimaciju iz čl. 39. st. 3. </w:t>
      </w:r>
      <w:r>
        <w:rPr>
          <w:rFonts w:hAnsi="Times New Roman" w:ascii="Times New Roman"/>
          <w:bCs/>
        </w:rPr>
        <w:t>SZ-a.</w:t>
      </w:r>
    </w:p>
    <w:p w:rsidRDefault="00B30CFB" w:rsidP="00B30CFB" w:rsidR="00B30CFB">
      <w:pPr>
        <w:rPr>
          <w:rFonts w:hAnsi="Times New Roman" w:ascii="Times New Roman"/>
          <w:bCs/>
        </w:rPr>
      </w:pPr>
    </w:p>
    <w:p w:rsidRDefault="00B30CFB" w:rsidP="00B30CFB" w:rsidR="00B30CFB">
      <w:pPr>
        <w:rPr>
          <w:rFonts w:hAnsi="Times New Roman" w:ascii="Times New Roman"/>
        </w:rPr>
      </w:pPr>
      <w:r>
        <w:rPr>
          <w:rFonts w:hAnsi="Times New Roman" w:ascii="Times New Roman"/>
          <w:bCs/>
        </w:rPr>
        <w:tab/>
        <w:t>Međutim, ovaj sud ukazuje kako je dužnik i na tu okolnost (mogućnost namirenja predlagatelja iz dužnikove imovine na kojoj predlagatelj ima razlučno pravo) predložio provođenje knjigovodstveno-financijskog vještačenja, što je prvostupanjski sud pogrešno odbio. Naime, prvostupanjski je sud samo prihvatio predlagateljeve navode o razlozima zbog kojih ovaj smatra da se ne bi mogao namiriti iz založene imovine, pri čemu nije utvrđena niti tržišna vrijednost te imovine, a, kako je to već navedeno, niti vjerojatnost postojanja ili visina predlagateljevog potraživanja.</w:t>
      </w: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ab/>
        <w:t xml:space="preserve">Pri tome ovaj sud ukazuje kako nepravomoćna presuda Trgovačkog suda u Splitu poslovni broj P-747/13 od 23. studenog 2016. kojom je naloženo vraćanje zadužnica, upravo zbog svoje nepravomoćnosti i uložene žalbe, sama po sebi ne može poslužiti kao dokaz o tome da predlagateljeva tražbina ne postoji. </w:t>
      </w: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ab/>
        <w:t>Nadalje, u odnosu na stečajne razloge iz čl. 4. SZ-a ovaj sud ukazuje kako nije sporno postojanje blokade računa dužnika i ostvarenja zakonske predmnjeve iz čl. 4. st. 7. SZ-a, pa u tom dijelu pobijane odluke prihvaća stajalište prvostupanjskog suda o postojanju stečajnog razloga nesposobnosti za plaćanje.</w:t>
      </w: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ab/>
        <w:t>No, kako u ovom postupku nije pravilno i potpuno utvrđeno činjenično stanje iz kojega bi proizlazila vjerojatnost postojanja predlagateljeve tražbine i njegovo pravo na pokretanje postupka (čl. 39. st. 2. i 3. SZ-a), pobijano je rješenje trebalo ukinuti i vratiti prvostupanjskom sudu na ponovan postupak (čl. 380. t. 3. ZPP-a u vezi s čl. 6. SZ-a).</w:t>
      </w:r>
    </w:p>
    <w:p w:rsidRDefault="00B30CFB" w:rsidP="00B30CFB" w:rsidR="00B30CFB">
      <w:pPr>
        <w:rPr>
          <w:rFonts w:hAnsi="Times New Roman" w:ascii="Times New Roman"/>
        </w:rPr>
      </w:pPr>
    </w:p>
    <w:p w:rsidRDefault="00B30CFB" w:rsidP="00B30CFB" w:rsidR="00B30CFB">
      <w:pPr>
        <w:rPr>
          <w:rFonts w:hAnsi="Times New Roman" w:ascii="Times New Roman"/>
        </w:rPr>
      </w:pPr>
      <w:r>
        <w:rPr>
          <w:rFonts w:hAnsi="Times New Roman" w:ascii="Times New Roman"/>
        </w:rPr>
        <w:tab/>
        <w:t>U nastavku postupka prvostupanjski će sud pozvati dužnika na uplatu predujma za provođenje predloženih dokaza te nakon provedenog postupka donijeti novu odluku.</w:t>
      </w:r>
    </w:p>
    <w:p w:rsidRDefault="00B30CFB" w:rsidP="00B30CFB" w:rsidR="00B30CFB" w:rsidRPr="00B30CFB">
      <w:pPr>
        <w:rPr>
          <w:rFonts w:hAnsi="Times New Roman" w:ascii="Times New Roman"/>
          <w:szCs w:val="24"/>
        </w:rPr>
      </w:pPr>
      <w:r w:rsidRPr="00B30CFB">
        <w:rPr>
          <w:rFonts w:hAnsi="Times New Roman" w:ascii="Times New Roman"/>
          <w:szCs w:val="24"/>
        </w:rPr>
        <w:tab/>
      </w:r>
    </w:p>
    <w:p w:rsidRDefault="00B30CFB" w:rsidP="00B30CFB" w:rsidR="00B30CFB">
      <w:pPr>
        <w:tabs>
          <w:tab w:pos="993" w:val="left"/>
        </w:tabs>
        <w:jc w:val="center"/>
        <w:rPr>
          <w:rFonts w:hAnsi="Times New Roman" w:ascii="Times New Roman"/>
        </w:rPr>
      </w:pPr>
      <w:r>
        <w:rPr>
          <w:rFonts w:hAnsi="Times New Roman" w:ascii="Times New Roman"/>
        </w:rPr>
        <w:t>U Zagrebu 4. travnja 2017.</w:t>
      </w:r>
    </w:p>
    <w:p w:rsidRDefault="00B230A5" w:rsidP="00563A19" w:rsidR="00B230A5"/>
    <w:p w:rsidRDefault="00B30CFB" w:rsidP="0024395F" w:rsidR="00B30CFB">
      <w:pPr>
        <w:pStyle w:val="Bezproreda"/>
      </w:pPr>
      <w:r>
        <w:tab/>
      </w:r>
      <w:r>
        <w:tab/>
      </w:r>
      <w:r>
        <w:tab/>
      </w:r>
      <w:r>
        <w:tab/>
      </w:r>
      <w:r>
        <w:tab/>
      </w:r>
      <w:r w:rsidR="004A2631">
        <w:tab/>
      </w:r>
      <w:r w:rsidR="004A2631">
        <w:tab/>
      </w:r>
      <w:r w:rsidR="004A2631">
        <w:tab/>
        <w:t>PREDSJEDNICA</w:t>
      </w:r>
      <w:r>
        <w:t xml:space="preserve"> VIJEĆA</w:t>
      </w:r>
    </w:p>
    <w:p w:rsidRDefault="00B30CFB" w:rsidP="00B30CFB" w:rsidR="00B230A5">
      <w:pPr>
        <w:pStyle w:val="Bezproreda"/>
      </w:pPr>
      <w:r>
        <w:tab/>
      </w:r>
      <w:r>
        <w:tab/>
      </w:r>
      <w:r>
        <w:tab/>
      </w:r>
      <w:r>
        <w:tab/>
      </w:r>
      <w:r>
        <w:tab/>
      </w:r>
      <w:r w:rsidR="004A2631">
        <w:tab/>
      </w:r>
      <w:r w:rsidR="004A2631">
        <w:tab/>
      </w:r>
      <w:r w:rsidR="004A2631">
        <w:tab/>
      </w:r>
      <w:r>
        <w:t>DUBRAVKA MATAS</w:t>
      </w:r>
      <w:r w:rsidR="004A2631">
        <w:t xml:space="preserve">, v.r. </w:t>
      </w:r>
    </w:p>
    <w:p w:rsidRDefault="004A2631" w:rsidP="00B30CFB" w:rsidR="004A2631">
      <w:pPr>
        <w:pStyle w:val="Bezproreda"/>
      </w:pPr>
    </w:p>
    <w:p w:rsidRDefault="004A2631" w:rsidP="0024395F" w:rsidR="004A2631">
      <w:pPr>
        <w:pStyle w:val="Bezproreda"/>
        <w:ind w:left="5670"/>
      </w:pPr>
      <w:r>
        <w:t>Za točnost otpravka</w:t>
      </w:r>
    </w:p>
    <w:p w:rsidRDefault="004A2631" w:rsidP="0024395F" w:rsidR="004A2631">
      <w:pPr>
        <w:pStyle w:val="Bezproreda"/>
        <w:ind w:left="5670"/>
      </w:pPr>
      <w:r>
        <w:t xml:space="preserve">ovlašteni službenik </w:t>
      </w:r>
    </w:p>
    <w:p w:rsidRDefault="004A2631" w:rsidP="0024395F" w:rsidR="004A2631">
      <w:pPr>
        <w:pStyle w:val="Bezproreda"/>
        <w:ind w:left="5670"/>
      </w:pPr>
    </w:p>
    <w:p w:rsidRDefault="004A2631" w:rsidP="0024395F" w:rsidR="004A2631" w:rsidRPr="0024395F">
      <w:pPr>
        <w:pStyle w:val="Bezproreda"/>
        <w:ind w:left="5670"/>
      </w:pPr>
      <w:r>
        <w:t>BRANKICA CURMAN</w:t>
      </w:r>
    </w:p>
    <w:p w:rsidRDefault="00B230A5" w:rsidP="00563A19" w:rsidR="00B230A5" w:rsidRPr="00B230A5"/>
    <w:sectPr w:rsidSect="00B30CFB" w:rsidR="00B230A5" w:rsidRPr="00B230A5">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49356E">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49356E" w:rsidRPr="0049356E">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eSPISCCParagraphDefaultFont"/>
        </w:rPr>
      </w:sdtEndPr>
      <w:sdtContent>
        <w:r w:rsidR="0049356E" w:rsidRPr="0049356E">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356E"/>
    <w:rsid w:val="004942E0"/>
    <w:rsid w:val="00494887"/>
    <w:rsid w:val="00495CF8"/>
    <w:rsid w:val="004A0C9D"/>
    <w:rsid w:val="004A0F85"/>
    <w:rsid w:val="004A11AA"/>
    <w:rsid w:val="004A2631"/>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246A"/>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CFB"/>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B30CFB"/>
    <w:pPr>
      <w:spacing w:lineRule="auto" w:line="240" w:after="0"/>
      <w:jc w:val="both"/>
    </w:pPr>
    <w:rPr>
      <w:rFonts w:cs="Times New Roman" w:eastAsia="Times New Roman" w:hAnsi="Arial" w:ascii="Arial"/>
      <w:sz w:val="24"/>
      <w:szCs w:val="20"/>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hAnsi="Times New Roman" w:ascii="Times New Roman"/>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noProof/>
      <w:kern w:val="22"/>
      <w:sz w:val="22"/>
    </w:rPr>
  </w:style>
  <w:style w:styleId="Naslov6" w:type="paragraph">
    <w:name w:val="heading 6"/>
    <w:basedOn w:val="Normal"/>
    <w:next w:val="Normal"/>
    <w:link w:val="Naslov6Char"/>
    <w:rsid w:val="00EB0D4C"/>
    <w:pPr>
      <w:numPr>
        <w:ilvl w:val="5"/>
        <w:numId w:val="22"/>
      </w:numPr>
      <w:spacing w:before="120"/>
      <w:outlineLvl w:val="5"/>
    </w:pPr>
    <w:rPr>
      <w:i/>
      <w:noProof/>
      <w:kern w:val="22"/>
      <w:sz w:val="22"/>
    </w:rPr>
  </w:style>
  <w:style w:styleId="Naslov7" w:type="paragraph">
    <w:name w:val="heading 7"/>
    <w:basedOn w:val="Normal"/>
    <w:next w:val="Normal"/>
    <w:link w:val="Naslov7Char"/>
    <w:rsid w:val="00EB0D4C"/>
    <w:pPr>
      <w:numPr>
        <w:ilvl w:val="6"/>
        <w:numId w:val="22"/>
      </w:numPr>
      <w:spacing w:before="120"/>
      <w:outlineLvl w:val="6"/>
    </w:pPr>
    <w:rPr>
      <w:noProof/>
      <w:kern w:val="20"/>
      <w:sz w:val="22"/>
    </w:rPr>
  </w:style>
  <w:style w:styleId="Naslov8" w:type="paragraph">
    <w:name w:val="heading 8"/>
    <w:basedOn w:val="Normal"/>
    <w:next w:val="Normal"/>
    <w:link w:val="Naslov8Char"/>
    <w:rsid w:val="00EB0D4C"/>
    <w:pPr>
      <w:numPr>
        <w:ilvl w:val="7"/>
        <w:numId w:val="22"/>
      </w:numPr>
      <w:spacing w:before="120"/>
      <w:outlineLvl w:val="7"/>
    </w:pPr>
    <w:rPr>
      <w:i/>
      <w:noProof/>
      <w:kern w:val="20"/>
      <w:sz w:val="22"/>
    </w:rPr>
  </w:style>
  <w:style w:styleId="Naslov9" w:type="paragraph">
    <w:name w:val="heading 9"/>
    <w:basedOn w:val="Normal"/>
    <w:next w:val="Normal"/>
    <w:link w:val="Naslov9Char"/>
    <w:rsid w:val="00EB0D4C"/>
    <w:pPr>
      <w:numPr>
        <w:ilvl w:val="8"/>
        <w:numId w:val="22"/>
      </w:numPr>
      <w:spacing w:before="120"/>
      <w:outlineLvl w:val="8"/>
    </w:pPr>
    <w:rPr>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hAnsi="Times New Roman" w:ascii="Times New Roman"/>
      <w:caps/>
      <w:spacing w:val="100"/>
      <w:szCs w:val="24"/>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hAnsi="Times New Roman" w:ascii="Times New Roman"/>
      <w:spacing w:val="100"/>
      <w:szCs w:val="24"/>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jc w:val="left"/>
    </w:pPr>
    <w:rPr>
      <w:rFonts w:cstheme="minorBidi" w:eastAsiaTheme="minorHAnsi" w:hAnsi="Times New Roman" w:ascii="Times New Roman"/>
      <w:noProof/>
      <w:szCs w:val="24"/>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hAnsi="Times New Roman" w:ascii="Times New Roman"/>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hAnsi="Times New Roman" w:ascii="Times New Roman"/>
      <w:szCs w:val="24"/>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jc w:val="left"/>
    </w:pPr>
    <w:rPr>
      <w:rFonts w:cstheme="minorBidi" w:eastAsiaTheme="minorHAnsi" w:hAnsi="Times New Roman" w:ascii="Times New Roman"/>
      <w:noProof/>
      <w:sz w:val="20"/>
      <w:szCs w:val="24"/>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jc w:val="left"/>
    </w:pPr>
    <w:rPr>
      <w:rFonts w:cstheme="majorBidi" w:eastAsiaTheme="majorEastAsia" w:hAnsiTheme="majorHAnsi" w:asciiTheme="majorHAnsi"/>
      <w:szCs w:val="24"/>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hAnsi="Times New Roman" w:ascii="Times New Roman"/>
      <w:noProof/>
      <w:szCs w:val="24"/>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hAnsi="Times New Roman" w:ascii="Times New Roman"/>
      <w:noProof/>
      <w:szCs w:val="24"/>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hAnsi="Times New Roman" w:ascii="Times New Roman"/>
      <w:b/>
      <w:caps/>
      <w:spacing w:val="100"/>
      <w:szCs w:val="24"/>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jc w:val="left"/>
    </w:pPr>
    <w:rPr>
      <w:rFonts w:cstheme="minorBidi" w:eastAsiaTheme="minorHAnsi" w:hAnsi="Times New Roman" w:ascii="Times New Roman"/>
      <w:szCs w:val="24"/>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jc w:val="left"/>
    </w:pPr>
    <w:rPr>
      <w:rFonts w:cstheme="minorBidi" w:eastAsiaTheme="minorHAnsi" w:hAnsi="Times New Roman" w:ascii="Times New Roman"/>
      <w:noProof/>
      <w:szCs w:val="24"/>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hAnsi="Times New Roman" w:ascii="Times New Roman"/>
      <w:noProof/>
      <w:szCs w:val="24"/>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jc w:val="left"/>
    </w:pPr>
    <w:rPr>
      <w:rFonts w:cstheme="minorBidi" w:eastAsiaTheme="minorHAnsi" w:hAnsi="Times New Roman" w:ascii="Times New Roman"/>
      <w:szCs w:val="24"/>
      <w:lang w:eastAsia="en-US"/>
    </w:rPr>
  </w:style>
  <w:style w:customStyle="true" w:styleId="Zapisniar" w:type="paragraph">
    <w:name w:val="Zapisničar"/>
    <w:basedOn w:val="Normal"/>
    <w:next w:val="ZapisniarPotpis"/>
    <w:qFormat/>
    <w:rsid w:val="00EB0D4C"/>
    <w:pPr>
      <w:keepNext/>
      <w:spacing w:after="360" w:before="360"/>
      <w:ind w:left="5387"/>
      <w:jc w:val="left"/>
    </w:pPr>
    <w:rPr>
      <w:rFonts w:cstheme="minorBidi" w:eastAsiaTheme="minorHAnsi" w:hAnsi="Times New Roman" w:ascii="Times New Roman"/>
      <w:noProof/>
      <w:szCs w:val="24"/>
      <w:lang w:eastAsia="en-US"/>
    </w:rPr>
  </w:style>
  <w:style w:customStyle="true" w:styleId="ZapisniarPotpis" w:type="paragraph">
    <w:name w:val="ZapisničarPotpis"/>
    <w:basedOn w:val="Normal"/>
    <w:next w:val="Normal"/>
    <w:qFormat/>
    <w:rsid w:val="00EB0D4C"/>
    <w:pPr>
      <w:spacing w:after="120" w:before="360"/>
      <w:ind w:left="5387"/>
      <w:jc w:val="left"/>
    </w:pPr>
    <w:rPr>
      <w:rFonts w:cstheme="minorBidi" w:eastAsiaTheme="minorHAnsi" w:hAnsi="Times New Roman" w:ascii="Times New Roman"/>
      <w:noProof/>
      <w:szCs w:val="24"/>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hAnsi="Times New Roman" w:ascii="Times New Roman"/>
      <w:szCs w:val="24"/>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pPr>
    <w:rPr>
      <w:rFonts w:cstheme="minorBidi" w:hAnsi="Times New Roman" w:ascii="Times New Roman"/>
      <w:szCs w:val="24"/>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hAnsi="Times New Roman" w:ascii="Times New Roman"/>
      <w:noProof/>
      <w:szCs w:val="24"/>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jc w:val="left"/>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hAnsi="Times New Roman" w:ascii="Times New Roman"/>
      <w:szCs w:val="24"/>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hAnsi="Times New Roman" w:ascii="Times New Roman"/>
      <w:szCs w:val="24"/>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jc w:val="left"/>
    </w:pPr>
    <w:rPr>
      <w:rFonts w:cstheme="minorBidi" w:eastAsiaTheme="minorHAnsi" w:hAnsi="Times New Roman" w:ascii="Times New Roman"/>
      <w:szCs w:val="24"/>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hAnsi="Times New Roman" w:ascii="Times New Roman"/>
      <w:szCs w:val="24"/>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jc w:val="left"/>
    </w:pPr>
    <w:rPr>
      <w:rFonts w:cstheme="minorBidi" w:eastAsiaTheme="minorHAnsi" w:hAnsi="Times New Roman" w:ascii="Times New Roman"/>
      <w:szCs w:val="24"/>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hAnsi="Times New Roman" w:ascii="Times New Roman"/>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hAnsi="Times New Roman" w:ascii="Times New Roman"/>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hAnsi="Times New Roman" w:ascii="Times New Roman"/>
      <w:szCs w:val="24"/>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hAnsi="Times New Roman" w:ascii="Times New Roman"/>
      <w:sz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hAnsi="Times New Roman" w:ascii="Times New Roman"/>
      <w:sz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jc w:val="left"/>
    </w:pPr>
    <w:rPr>
      <w:rFonts w:cstheme="majorBidi" w:eastAsiaTheme="majorEastAsia" w:hAnsiTheme="majorHAnsi" w:asciiTheme="majorHAnsi"/>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hAnsi="Times New Roman" w:ascii="Times New Roman"/>
      <w:sz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hAnsi="Times New Roman" w:ascii="Times New Roman"/>
      <w:szCs w:val="24"/>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hAnsi="Times New Roman" w:ascii="Times New Roman"/>
      <w:szCs w:val="24"/>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hAnsi="Times New Roman" w:ascii="Times New Roman"/>
      <w:szCs w:val="24"/>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hAnsi="Times New Roman" w:ascii="Times New Roman"/>
      <w:szCs w:val="24"/>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hAnsi="Times New Roman" w:ascii="Times New Roman"/>
      <w:szCs w:val="24"/>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hAnsi="Times New Roman" w:ascii="Times New Roman"/>
      <w:szCs w:val="24"/>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hAnsi="Times New Roman" w:ascii="Times New Roman"/>
      <w:szCs w:val="24"/>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hAnsi="Times New Roman" w:ascii="Times New Roman"/>
      <w:szCs w:val="24"/>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hAnsi="Times New Roman" w:ascii="Times New Roman"/>
      <w:szCs w:val="24"/>
      <w:lang w:eastAsia="en-US"/>
    </w:rPr>
  </w:style>
  <w:style w:styleId="Naslovindeksa" w:type="paragraph">
    <w:name w:val="index heading"/>
    <w:basedOn w:val="Normal"/>
    <w:next w:val="Indeks1"/>
    <w:uiPriority w:val="99"/>
    <w:semiHidden/>
    <w:unhideWhenUsed/>
    <w:rsid w:val="00551CB3"/>
    <w:pPr>
      <w:spacing w:after="240"/>
      <w:jc w:val="left"/>
    </w:pPr>
    <w:rPr>
      <w:rFonts w:cstheme="majorBidi" w:eastAsiaTheme="majorEastAsia" w:hAnsiTheme="majorHAnsi" w:asciiTheme="majorHAnsi"/>
      <w:b/>
      <w:bCs/>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jc w:val="left"/>
    </w:pPr>
    <w:rPr>
      <w:rFonts w:cstheme="minorBidi" w:eastAsiaTheme="minorHAnsi" w:hAnsi="Times New Roman" w:ascii="Times New Roman"/>
      <w:szCs w:val="24"/>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hAnsi="Times New Roman" w:ascii="Times New Roman"/>
      <w:szCs w:val="24"/>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hAnsi="Times New Roman" w:ascii="Times New Roman"/>
      <w:szCs w:val="24"/>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hAnsi="Times New Roman" w:ascii="Times New Roman"/>
      <w:szCs w:val="24"/>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cstheme="majorBidi" w:eastAsiaTheme="majorEastAsia" w:hAnsiTheme="majorHAnsi" w:asciiTheme="majorHAnsi"/>
      <w:b/>
      <w:bCs/>
      <w:szCs w:val="24"/>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hAnsi="Times New Roman" w:ascii="Times New Roman"/>
      <w:szCs w:val="24"/>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hAnsi="Times New Roman" w:ascii="Times New Roman"/>
      <w:szCs w:val="24"/>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hAnsi="Times New Roman" w:ascii="Times New Roman"/>
      <w:szCs w:val="24"/>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hAnsi="Times New Roman" w:ascii="Times New Roman"/>
      <w:szCs w:val="24"/>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hAnsi="Times New Roman" w:ascii="Times New Roman"/>
      <w:szCs w:val="24"/>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hAnsi="Times New Roman" w:ascii="Times New Roman"/>
      <w:szCs w:val="24"/>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hAnsi="Times New Roman" w:ascii="Times New Roman"/>
      <w:szCs w:val="24"/>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hAnsi="Times New Roman" w:ascii="Times New Roman"/>
      <w:szCs w:val="24"/>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hAnsi="Times New Roman" w:ascii="Times New Roman"/>
      <w:szCs w:val="24"/>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jc w:val="left"/>
    </w:pPr>
    <w:rPr>
      <w:rFonts w:cstheme="minorBidi" w:eastAsiaTheme="minorHAnsi" w:hAnsi="Times New Roman" w:ascii="Times New Roman"/>
      <w:sz w:val="20"/>
      <w:szCs w:val="24"/>
      <w:lang w:eastAsia="en-US"/>
    </w:rPr>
  </w:style>
  <w:style w:customStyle="true" w:styleId="IzvornikNacrt" w:type="paragraph">
    <w:name w:val="Izvornik_Nacrt"/>
    <w:basedOn w:val="Normal"/>
    <w:link w:val="IzvornikNacrtChar"/>
    <w:qFormat/>
    <w:rsid w:val="00EB0D4C"/>
    <w:pPr>
      <w:keepNext/>
      <w:jc w:val="left"/>
    </w:pPr>
    <w:rPr>
      <w:rFonts w:eastAsia="Calibri" w:hAnsi="Times New Roman" w:ascii="Times New Roman"/>
      <w:noProof/>
      <w:color w:val="000000"/>
      <w:szCs w:val="24"/>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jc w:val="left"/>
    </w:pPr>
    <w:rPr>
      <w:rFonts w:eastAsia="Calibri" w:hAnsi="Times New Roman" w:ascii="Times New Roman"/>
      <w:noProof/>
      <w:color w:val="000000"/>
      <w:szCs w:val="24"/>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jc w:val="left"/>
    </w:pPr>
    <w:rPr>
      <w:rFonts w:eastAsia="Calibri" w:hAnsi="Times New Roman" w:ascii="Times New Roman"/>
      <w:noProof/>
      <w:color w:val="000000"/>
      <w:szCs w:val="24"/>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jc w:val="left"/>
    </w:pPr>
    <w:rPr>
      <w:rFonts w:cstheme="minorBidi" w:eastAsiaTheme="minorHAnsi" w:hAnsi="Times New Roman" w:ascii="Times New Roman"/>
      <w:noProof/>
      <w:szCs w:val="24"/>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jc w:val="left"/>
    </w:pPr>
    <w:rPr>
      <w:rFonts w:eastAsia="Calibri" w:hAnsi="Times New Roman" w:ascii="Times New Roman"/>
      <w:color w:val="000000"/>
      <w:szCs w:val="24"/>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jc w:val="left"/>
    </w:pPr>
    <w:rPr>
      <w:rFonts w:eastAsia="Calibri" w:hAnsi="Times New Roman" w:ascii="Times New Roman"/>
      <w:noProof/>
      <w:color w:val="000000"/>
      <w:szCs w:val="24"/>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pPr>
    <w:rPr>
      <w:rFonts w:cstheme="minorBidi" w:eastAsiaTheme="minorHAnsi" w:hAnsi="Times New Roman" w:ascii="Times New Roman"/>
      <w:szCs w:val="24"/>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hAnsi="Times New Roman" w:ascii="Times New Roman"/>
      <w:szCs w:val="24"/>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oa" w:type="paragraph">
    <w:name w:val="toa"/>
    <w:basedOn w:val="Normal"/>
    <w:rsid w:val="00B30CFB"/>
    <w:pPr>
      <w:tabs>
        <w:tab w:pos="9000" w:val="left"/>
        <w:tab w:pos="9360" w:val="right"/>
      </w:tabs>
      <w:suppressAutoHyphen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B30CFB"/>
    <w:pPr>
      <w:spacing w:after="0" w:line="240" w:lineRule="auto"/>
      <w:jc w:val="both"/>
    </w:pPr>
    <w:rPr>
      <w:rFonts w:ascii="Arial" w:cs="Times New Roman" w:eastAsia="Times New Roman" w:hAnsi="Arial"/>
      <w:sz w:val="24"/>
      <w:szCs w:val="20"/>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ascii="Times New Roman" w:cstheme="majorBidi" w:eastAsiaTheme="majorEastAsia" w:hAnsi="Times New Roman"/>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noProof/>
      <w:kern w:val="22"/>
      <w:sz w:val="22"/>
    </w:rPr>
  </w:style>
  <w:style w:styleId="Naslov6" w:type="paragraph">
    <w:name w:val="heading 6"/>
    <w:basedOn w:val="Normal"/>
    <w:next w:val="Normal"/>
    <w:link w:val="Naslov6Char"/>
    <w:rsid w:val="00EB0D4C"/>
    <w:pPr>
      <w:numPr>
        <w:ilvl w:val="5"/>
        <w:numId w:val="22"/>
      </w:numPr>
      <w:spacing w:before="120"/>
      <w:outlineLvl w:val="5"/>
    </w:pPr>
    <w:rPr>
      <w:i/>
      <w:noProof/>
      <w:kern w:val="22"/>
      <w:sz w:val="22"/>
    </w:rPr>
  </w:style>
  <w:style w:styleId="Naslov7" w:type="paragraph">
    <w:name w:val="heading 7"/>
    <w:basedOn w:val="Normal"/>
    <w:next w:val="Normal"/>
    <w:link w:val="Naslov7Char"/>
    <w:rsid w:val="00EB0D4C"/>
    <w:pPr>
      <w:numPr>
        <w:ilvl w:val="6"/>
        <w:numId w:val="22"/>
      </w:numPr>
      <w:spacing w:before="120"/>
      <w:outlineLvl w:val="6"/>
    </w:pPr>
    <w:rPr>
      <w:noProof/>
      <w:kern w:val="20"/>
      <w:sz w:val="22"/>
    </w:rPr>
  </w:style>
  <w:style w:styleId="Naslov8" w:type="paragraph">
    <w:name w:val="heading 8"/>
    <w:basedOn w:val="Normal"/>
    <w:next w:val="Normal"/>
    <w:link w:val="Naslov8Char"/>
    <w:rsid w:val="00EB0D4C"/>
    <w:pPr>
      <w:numPr>
        <w:ilvl w:val="7"/>
        <w:numId w:val="22"/>
      </w:numPr>
      <w:spacing w:before="120"/>
      <w:outlineLvl w:val="7"/>
    </w:pPr>
    <w:rPr>
      <w:i/>
      <w:noProof/>
      <w:kern w:val="20"/>
      <w:sz w:val="22"/>
    </w:rPr>
  </w:style>
  <w:style w:styleId="Naslov9" w:type="paragraph">
    <w:name w:val="heading 9"/>
    <w:basedOn w:val="Normal"/>
    <w:next w:val="Normal"/>
    <w:link w:val="Naslov9Char"/>
    <w:rsid w:val="00EB0D4C"/>
    <w:pPr>
      <w:numPr>
        <w:ilvl w:val="8"/>
        <w:numId w:val="22"/>
      </w:numPr>
      <w:spacing w:before="120"/>
      <w:outlineLvl w:val="8"/>
    </w:pPr>
    <w:rPr>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ascii="Times New Roman" w:cstheme="minorBidi" w:eastAsiaTheme="minorHAnsi" w:hAnsi="Times New Roman"/>
      <w:caps/>
      <w:spacing w:val="100"/>
      <w:szCs w:val="24"/>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ascii="Times New Roman" w:cstheme="minorBidi" w:eastAsiaTheme="minorHAnsi" w:hAnsi="Times New Roman"/>
      <w:spacing w:val="100"/>
      <w:szCs w:val="24"/>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jc w:val="left"/>
    </w:pPr>
    <w:rPr>
      <w:rFonts w:ascii="Times New Roman" w:cstheme="minorBidi" w:eastAsiaTheme="minorHAnsi" w:hAnsi="Times New Roman"/>
      <w:noProof/>
      <w:szCs w:val="24"/>
      <w:lang w:eastAsia="en-US"/>
    </w:rPr>
  </w:style>
  <w:style w:styleId="Tijeloteksta3" w:type="paragraph">
    <w:name w:val="Body Text 3"/>
    <w:basedOn w:val="Normal"/>
    <w:link w:val="Tijeloteksta3Char"/>
    <w:uiPriority w:val="99"/>
    <w:rsid w:val="00551CB3"/>
    <w:pPr>
      <w:numPr>
        <w:numId w:val="4"/>
      </w:numPr>
      <w:spacing w:after="120"/>
      <w:jc w:val="left"/>
    </w:pPr>
    <w:rPr>
      <w:rFonts w:ascii="Times New Roman" w:cstheme="minorBidi" w:eastAsiaTheme="minorHAnsi" w:hAnsi="Times New Roman"/>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ascii="Times New Roman" w:cstheme="minorBidi" w:eastAsiaTheme="minorHAnsi" w:hAnsi="Times New Roman"/>
      <w:szCs w:val="24"/>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jc w:val="left"/>
    </w:pPr>
    <w:rPr>
      <w:rFonts w:ascii="Times New Roman" w:cstheme="minorBidi" w:eastAsiaTheme="minorHAnsi" w:hAnsi="Times New Roman"/>
      <w:noProof/>
      <w:sz w:val="20"/>
      <w:szCs w:val="24"/>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jc w:val="left"/>
    </w:pPr>
    <w:rPr>
      <w:rFonts w:asciiTheme="majorHAnsi" w:cstheme="majorBidi" w:eastAsiaTheme="majorEastAsia" w:hAnsiTheme="majorHAnsi"/>
      <w:szCs w:val="24"/>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ascii="Times New Roman" w:cstheme="minorBidi" w:eastAsiaTheme="minorHAnsi" w:hAnsi="Times New Roman"/>
      <w:noProof/>
      <w:szCs w:val="24"/>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ascii="Times New Roman" w:cstheme="minorBidi" w:eastAsiaTheme="minorHAnsi" w:hAnsi="Times New Roman"/>
      <w:noProof/>
      <w:szCs w:val="24"/>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ascii="Times New Roman" w:cstheme="minorBidi" w:eastAsiaTheme="minorHAnsi" w:hAnsi="Times New Roman"/>
      <w:b/>
      <w:caps/>
      <w:spacing w:val="100"/>
      <w:szCs w:val="24"/>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jc w:val="left"/>
    </w:pPr>
    <w:rPr>
      <w:rFonts w:ascii="Times New Roman" w:cstheme="minorBidi" w:eastAsiaTheme="minorHAnsi" w:hAnsi="Times New Roman"/>
      <w:szCs w:val="24"/>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jc w:val="left"/>
    </w:pPr>
    <w:rPr>
      <w:rFonts w:ascii="Times New Roman" w:cstheme="minorBidi" w:eastAsiaTheme="minorHAnsi" w:hAnsi="Times New Roman"/>
      <w:noProof/>
      <w:szCs w:val="24"/>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jc w:val="left"/>
    </w:pPr>
    <w:rPr>
      <w:rFonts w:ascii="Times New Roman" w:cstheme="minorBidi" w:eastAsiaTheme="minorHAnsi" w:hAnsi="Times New Roman"/>
      <w:noProof/>
      <w:szCs w:val="24"/>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jc w:val="left"/>
    </w:pPr>
    <w:rPr>
      <w:rFonts w:ascii="Times New Roman" w:cstheme="minorBidi" w:eastAsiaTheme="minorHAnsi" w:hAnsi="Times New Roman"/>
      <w:szCs w:val="24"/>
      <w:lang w:eastAsia="en-US"/>
    </w:rPr>
  </w:style>
  <w:style w:customStyle="1" w:styleId="Zapisniar" w:type="paragraph">
    <w:name w:val="Zapisničar"/>
    <w:basedOn w:val="Normal"/>
    <w:next w:val="ZapisniarPotpis"/>
    <w:qFormat/>
    <w:rsid w:val="00EB0D4C"/>
    <w:pPr>
      <w:keepNext/>
      <w:spacing w:after="360" w:before="360"/>
      <w:ind w:left="5387"/>
      <w:jc w:val="left"/>
    </w:pPr>
    <w:rPr>
      <w:rFonts w:ascii="Times New Roman" w:cstheme="minorBidi" w:eastAsiaTheme="minorHAnsi" w:hAnsi="Times New Roman"/>
      <w:noProof/>
      <w:szCs w:val="24"/>
      <w:lang w:eastAsia="en-US"/>
    </w:rPr>
  </w:style>
  <w:style w:customStyle="1" w:styleId="ZapisniarPotpis" w:type="paragraph">
    <w:name w:val="ZapisničarPotpis"/>
    <w:basedOn w:val="Normal"/>
    <w:next w:val="Normal"/>
    <w:qFormat/>
    <w:rsid w:val="00EB0D4C"/>
    <w:pPr>
      <w:spacing w:after="120" w:before="360"/>
      <w:ind w:left="5387"/>
      <w:jc w:val="left"/>
    </w:pPr>
    <w:rPr>
      <w:rFonts w:ascii="Times New Roman" w:cstheme="minorBidi" w:eastAsiaTheme="minorHAnsi" w:hAnsi="Times New Roman"/>
      <w:noProof/>
      <w:szCs w:val="24"/>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ascii="Times New Roman" w:cstheme="minorBidi" w:eastAsiaTheme="minorHAnsi" w:hAnsi="Times New Roman"/>
      <w:szCs w:val="24"/>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pPr>
    <w:rPr>
      <w:rFonts w:ascii="Times New Roman" w:cstheme="minorBidi" w:hAnsi="Times New Roman"/>
      <w:szCs w:val="24"/>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jc w:val="left"/>
    </w:pPr>
    <w:rPr>
      <w:rFonts w:ascii="Times New Roman" w:cstheme="minorBidi" w:eastAsiaTheme="minorHAnsi" w:hAnsi="Times New Roman"/>
      <w:noProof/>
      <w:szCs w:val="24"/>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jc w:val="left"/>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ascii="Times New Roman" w:cstheme="minorBidi" w:eastAsiaTheme="minorHAnsi" w:hAnsi="Times New Roman"/>
      <w:szCs w:val="24"/>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ascii="Times New Roman" w:cstheme="minorBidi" w:eastAsiaTheme="minorHAnsi" w:hAnsi="Times New Roman"/>
      <w:szCs w:val="24"/>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jc w:val="left"/>
    </w:pPr>
    <w:rPr>
      <w:rFonts w:ascii="Times New Roman" w:cstheme="minorBidi" w:eastAsiaTheme="minorHAnsi" w:hAnsi="Times New Roman"/>
      <w:szCs w:val="24"/>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ascii="Times New Roman" w:cstheme="minorBidi" w:eastAsiaTheme="minorHAnsi" w:hAnsi="Times New Roman"/>
      <w:szCs w:val="24"/>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jc w:val="left"/>
    </w:pPr>
    <w:rPr>
      <w:rFonts w:ascii="Times New Roman" w:cstheme="minorBidi" w:eastAsiaTheme="minorHAnsi" w:hAnsi="Times New Roman"/>
      <w:szCs w:val="24"/>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ascii="Times New Roman" w:cstheme="minorBidi" w:eastAsiaTheme="minorHAnsi" w:hAnsi="Times New Roman"/>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ascii="Times New Roman" w:cstheme="minorBidi" w:eastAsiaTheme="minorHAnsi" w:hAnsi="Times New Roman"/>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ascii="Times New Roman" w:cstheme="minorBidi" w:eastAsiaTheme="minorHAnsi" w:hAnsi="Times New Roman"/>
      <w:szCs w:val="24"/>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ascii="Times New Roman" w:cstheme="minorBidi" w:eastAsiaTheme="minorHAnsi" w:hAnsi="Times New Roman"/>
      <w:sz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ascii="Times New Roman" w:cstheme="minorBidi" w:eastAsiaTheme="minorHAnsi" w:hAnsi="Times New Roman"/>
      <w:sz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jc w:val="left"/>
    </w:pPr>
    <w:rPr>
      <w:rFonts w:asciiTheme="majorHAnsi" w:cstheme="majorBidi" w:eastAsiaTheme="majorEastAsia" w:hAnsiTheme="majorHAnsi"/>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ascii="Times New Roman" w:cstheme="minorBidi" w:eastAsiaTheme="minorHAnsi" w:hAnsi="Times New Roman"/>
      <w:sz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ascii="Times New Roman" w:cstheme="minorBidi" w:eastAsiaTheme="minorHAnsi" w:hAnsi="Times New Roman"/>
      <w:szCs w:val="24"/>
      <w:lang w:eastAsia="en-US"/>
    </w:rPr>
  </w:style>
  <w:style w:styleId="Indeks2" w:type="paragraph">
    <w:name w:val="index 2"/>
    <w:basedOn w:val="Normal"/>
    <w:next w:val="Normal"/>
    <w:autoRedefine/>
    <w:uiPriority w:val="99"/>
    <w:semiHidden/>
    <w:unhideWhenUsed/>
    <w:rsid w:val="00551CB3"/>
    <w:pPr>
      <w:ind w:hanging="240" w:left="480"/>
      <w:jc w:val="left"/>
    </w:pPr>
    <w:rPr>
      <w:rFonts w:ascii="Times New Roman" w:cstheme="minorBidi" w:eastAsiaTheme="minorHAnsi" w:hAnsi="Times New Roman"/>
      <w:szCs w:val="24"/>
      <w:lang w:eastAsia="en-US"/>
    </w:rPr>
  </w:style>
  <w:style w:styleId="Indeks3" w:type="paragraph">
    <w:name w:val="index 3"/>
    <w:basedOn w:val="Normal"/>
    <w:next w:val="Normal"/>
    <w:autoRedefine/>
    <w:uiPriority w:val="99"/>
    <w:semiHidden/>
    <w:unhideWhenUsed/>
    <w:rsid w:val="00551CB3"/>
    <w:pPr>
      <w:ind w:hanging="240" w:left="720"/>
      <w:jc w:val="left"/>
    </w:pPr>
    <w:rPr>
      <w:rFonts w:ascii="Times New Roman" w:cstheme="minorBidi" w:eastAsiaTheme="minorHAnsi" w:hAnsi="Times New Roman"/>
      <w:szCs w:val="24"/>
      <w:lang w:eastAsia="en-US"/>
    </w:rPr>
  </w:style>
  <w:style w:styleId="Indeks4" w:type="paragraph">
    <w:name w:val="index 4"/>
    <w:basedOn w:val="Normal"/>
    <w:next w:val="Normal"/>
    <w:autoRedefine/>
    <w:uiPriority w:val="99"/>
    <w:semiHidden/>
    <w:unhideWhenUsed/>
    <w:rsid w:val="00551CB3"/>
    <w:pPr>
      <w:ind w:hanging="240" w:left="960"/>
      <w:jc w:val="left"/>
    </w:pPr>
    <w:rPr>
      <w:rFonts w:ascii="Times New Roman" w:cstheme="minorBidi" w:eastAsiaTheme="minorHAnsi" w:hAnsi="Times New Roman"/>
      <w:szCs w:val="24"/>
      <w:lang w:eastAsia="en-US"/>
    </w:rPr>
  </w:style>
  <w:style w:styleId="Indeks5" w:type="paragraph">
    <w:name w:val="index 5"/>
    <w:basedOn w:val="Normal"/>
    <w:next w:val="Normal"/>
    <w:autoRedefine/>
    <w:uiPriority w:val="99"/>
    <w:semiHidden/>
    <w:unhideWhenUsed/>
    <w:rsid w:val="00551CB3"/>
    <w:pPr>
      <w:ind w:hanging="240" w:left="1200"/>
      <w:jc w:val="left"/>
    </w:pPr>
    <w:rPr>
      <w:rFonts w:ascii="Times New Roman" w:cstheme="minorBidi" w:eastAsiaTheme="minorHAnsi" w:hAnsi="Times New Roman"/>
      <w:szCs w:val="24"/>
      <w:lang w:eastAsia="en-US"/>
    </w:rPr>
  </w:style>
  <w:style w:styleId="Indeks6" w:type="paragraph">
    <w:name w:val="index 6"/>
    <w:basedOn w:val="Normal"/>
    <w:next w:val="Normal"/>
    <w:autoRedefine/>
    <w:uiPriority w:val="99"/>
    <w:semiHidden/>
    <w:unhideWhenUsed/>
    <w:rsid w:val="00551CB3"/>
    <w:pPr>
      <w:ind w:hanging="240" w:left="1440"/>
      <w:jc w:val="left"/>
    </w:pPr>
    <w:rPr>
      <w:rFonts w:ascii="Times New Roman" w:cstheme="minorBidi" w:eastAsiaTheme="minorHAnsi" w:hAnsi="Times New Roman"/>
      <w:szCs w:val="24"/>
      <w:lang w:eastAsia="en-US"/>
    </w:rPr>
  </w:style>
  <w:style w:styleId="Indeks7" w:type="paragraph">
    <w:name w:val="index 7"/>
    <w:basedOn w:val="Normal"/>
    <w:next w:val="Normal"/>
    <w:autoRedefine/>
    <w:uiPriority w:val="99"/>
    <w:semiHidden/>
    <w:unhideWhenUsed/>
    <w:rsid w:val="00551CB3"/>
    <w:pPr>
      <w:ind w:hanging="240" w:left="1680"/>
      <w:jc w:val="left"/>
    </w:pPr>
    <w:rPr>
      <w:rFonts w:ascii="Times New Roman" w:cstheme="minorBidi" w:eastAsiaTheme="minorHAnsi" w:hAnsi="Times New Roman"/>
      <w:szCs w:val="24"/>
      <w:lang w:eastAsia="en-US"/>
    </w:rPr>
  </w:style>
  <w:style w:styleId="Indeks8" w:type="paragraph">
    <w:name w:val="index 8"/>
    <w:basedOn w:val="Normal"/>
    <w:next w:val="Normal"/>
    <w:autoRedefine/>
    <w:uiPriority w:val="99"/>
    <w:semiHidden/>
    <w:unhideWhenUsed/>
    <w:rsid w:val="00551CB3"/>
    <w:pPr>
      <w:ind w:hanging="240" w:left="1920"/>
      <w:jc w:val="left"/>
    </w:pPr>
    <w:rPr>
      <w:rFonts w:ascii="Times New Roman" w:cstheme="minorBidi" w:eastAsiaTheme="minorHAnsi" w:hAnsi="Times New Roman"/>
      <w:szCs w:val="24"/>
      <w:lang w:eastAsia="en-US"/>
    </w:rPr>
  </w:style>
  <w:style w:styleId="Indeks9" w:type="paragraph">
    <w:name w:val="index 9"/>
    <w:basedOn w:val="Normal"/>
    <w:next w:val="Normal"/>
    <w:autoRedefine/>
    <w:uiPriority w:val="99"/>
    <w:semiHidden/>
    <w:unhideWhenUsed/>
    <w:rsid w:val="00551CB3"/>
    <w:pPr>
      <w:ind w:hanging="240" w:left="2160"/>
      <w:jc w:val="left"/>
    </w:pPr>
    <w:rPr>
      <w:rFonts w:ascii="Times New Roman" w:cstheme="minorBidi" w:eastAsiaTheme="minorHAnsi" w:hAnsi="Times New Roman"/>
      <w:szCs w:val="24"/>
      <w:lang w:eastAsia="en-US"/>
    </w:rPr>
  </w:style>
  <w:style w:styleId="Naslovindeksa" w:type="paragraph">
    <w:name w:val="index heading"/>
    <w:basedOn w:val="Normal"/>
    <w:next w:val="Indeks1"/>
    <w:uiPriority w:val="99"/>
    <w:semiHidden/>
    <w:unhideWhenUsed/>
    <w:rsid w:val="00551CB3"/>
    <w:pPr>
      <w:spacing w:after="240"/>
      <w:jc w:val="left"/>
    </w:pPr>
    <w:rPr>
      <w:rFonts w:asciiTheme="majorHAnsi" w:cstheme="majorBidi" w:eastAsiaTheme="majorEastAsia" w:hAnsiTheme="majorHAnsi"/>
      <w:b/>
      <w:bCs/>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jc w:val="left"/>
    </w:pPr>
    <w:rPr>
      <w:rFonts w:ascii="Times New Roman" w:cstheme="minorBidi" w:eastAsiaTheme="minorHAnsi" w:hAnsi="Times New Roman"/>
      <w:szCs w:val="24"/>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ascii="Times New Roman" w:cstheme="minorBidi" w:eastAsiaTheme="minorHAnsi" w:hAnsi="Times New Roman"/>
      <w:szCs w:val="24"/>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jc w:val="left"/>
    </w:pPr>
    <w:rPr>
      <w:rFonts w:ascii="Times New Roman" w:cstheme="minorBidi" w:eastAsiaTheme="minorHAnsi" w:hAnsi="Times New Roman"/>
      <w:szCs w:val="24"/>
      <w:lang w:eastAsia="en-US"/>
    </w:rPr>
  </w:style>
  <w:style w:styleId="Tablicaslika" w:type="paragraph">
    <w:name w:val="table of figures"/>
    <w:basedOn w:val="Normal"/>
    <w:next w:val="Normal"/>
    <w:uiPriority w:val="99"/>
    <w:semiHidden/>
    <w:unhideWhenUsed/>
    <w:rsid w:val="00551CB3"/>
    <w:pPr>
      <w:jc w:val="left"/>
    </w:pPr>
    <w:rPr>
      <w:rFonts w:ascii="Times New Roman" w:cstheme="minorBidi" w:eastAsiaTheme="minorHAnsi" w:hAnsi="Times New Roman"/>
      <w:szCs w:val="24"/>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asciiTheme="majorHAnsi" w:cstheme="majorBidi" w:eastAsiaTheme="majorEastAsia" w:hAnsiTheme="majorHAnsi"/>
      <w:b/>
      <w:bCs/>
      <w:szCs w:val="24"/>
      <w:lang w:eastAsia="en-US"/>
    </w:rPr>
  </w:style>
  <w:style w:styleId="Sadraj1" w:type="paragraph">
    <w:name w:val="toc 1"/>
    <w:basedOn w:val="Normal"/>
    <w:next w:val="Normal"/>
    <w:autoRedefine/>
    <w:uiPriority w:val="99"/>
    <w:semiHidden/>
    <w:unhideWhenUsed/>
    <w:rsid w:val="00551CB3"/>
    <w:pPr>
      <w:spacing w:after="100"/>
      <w:jc w:val="left"/>
    </w:pPr>
    <w:rPr>
      <w:rFonts w:ascii="Times New Roman" w:cstheme="minorBidi" w:eastAsiaTheme="minorHAnsi" w:hAnsi="Times New Roman"/>
      <w:szCs w:val="24"/>
      <w:lang w:eastAsia="en-US"/>
    </w:rPr>
  </w:style>
  <w:style w:styleId="Sadraj2" w:type="paragraph">
    <w:name w:val="toc 2"/>
    <w:basedOn w:val="Normal"/>
    <w:next w:val="Normal"/>
    <w:autoRedefine/>
    <w:uiPriority w:val="99"/>
    <w:semiHidden/>
    <w:unhideWhenUsed/>
    <w:rsid w:val="00551CB3"/>
    <w:pPr>
      <w:spacing w:after="100"/>
      <w:ind w:left="240"/>
      <w:jc w:val="left"/>
    </w:pPr>
    <w:rPr>
      <w:rFonts w:ascii="Times New Roman" w:cstheme="minorBidi" w:eastAsiaTheme="minorHAnsi" w:hAnsi="Times New Roman"/>
      <w:szCs w:val="24"/>
      <w:lang w:eastAsia="en-US"/>
    </w:rPr>
  </w:style>
  <w:style w:styleId="Sadraj3" w:type="paragraph">
    <w:name w:val="toc 3"/>
    <w:basedOn w:val="Normal"/>
    <w:next w:val="Normal"/>
    <w:autoRedefine/>
    <w:uiPriority w:val="99"/>
    <w:semiHidden/>
    <w:unhideWhenUsed/>
    <w:rsid w:val="00551CB3"/>
    <w:pPr>
      <w:spacing w:after="100"/>
      <w:ind w:left="480"/>
      <w:jc w:val="left"/>
    </w:pPr>
    <w:rPr>
      <w:rFonts w:ascii="Times New Roman" w:cstheme="minorBidi" w:eastAsiaTheme="minorHAnsi" w:hAnsi="Times New Roman"/>
      <w:szCs w:val="24"/>
      <w:lang w:eastAsia="en-US"/>
    </w:rPr>
  </w:style>
  <w:style w:styleId="Sadraj4" w:type="paragraph">
    <w:name w:val="toc 4"/>
    <w:basedOn w:val="Normal"/>
    <w:next w:val="Normal"/>
    <w:autoRedefine/>
    <w:uiPriority w:val="99"/>
    <w:semiHidden/>
    <w:unhideWhenUsed/>
    <w:rsid w:val="00551CB3"/>
    <w:pPr>
      <w:spacing w:after="100"/>
      <w:ind w:left="720"/>
      <w:jc w:val="left"/>
    </w:pPr>
    <w:rPr>
      <w:rFonts w:ascii="Times New Roman" w:cstheme="minorBidi" w:eastAsiaTheme="minorHAnsi" w:hAnsi="Times New Roman"/>
      <w:szCs w:val="24"/>
      <w:lang w:eastAsia="en-US"/>
    </w:rPr>
  </w:style>
  <w:style w:styleId="Sadraj5" w:type="paragraph">
    <w:name w:val="toc 5"/>
    <w:basedOn w:val="Normal"/>
    <w:next w:val="Normal"/>
    <w:autoRedefine/>
    <w:uiPriority w:val="99"/>
    <w:semiHidden/>
    <w:unhideWhenUsed/>
    <w:rsid w:val="00551CB3"/>
    <w:pPr>
      <w:spacing w:after="100"/>
      <w:ind w:left="960"/>
      <w:jc w:val="left"/>
    </w:pPr>
    <w:rPr>
      <w:rFonts w:ascii="Times New Roman" w:cstheme="minorBidi" w:eastAsiaTheme="minorHAnsi" w:hAnsi="Times New Roman"/>
      <w:szCs w:val="24"/>
      <w:lang w:eastAsia="en-US"/>
    </w:rPr>
  </w:style>
  <w:style w:styleId="Sadraj6" w:type="paragraph">
    <w:name w:val="toc 6"/>
    <w:basedOn w:val="Normal"/>
    <w:next w:val="Normal"/>
    <w:autoRedefine/>
    <w:uiPriority w:val="99"/>
    <w:semiHidden/>
    <w:unhideWhenUsed/>
    <w:rsid w:val="00551CB3"/>
    <w:pPr>
      <w:spacing w:after="100"/>
      <w:ind w:left="1200"/>
      <w:jc w:val="left"/>
    </w:pPr>
    <w:rPr>
      <w:rFonts w:ascii="Times New Roman" w:cstheme="minorBidi" w:eastAsiaTheme="minorHAnsi" w:hAnsi="Times New Roman"/>
      <w:szCs w:val="24"/>
      <w:lang w:eastAsia="en-US"/>
    </w:rPr>
  </w:style>
  <w:style w:styleId="Sadraj7" w:type="paragraph">
    <w:name w:val="toc 7"/>
    <w:basedOn w:val="Normal"/>
    <w:next w:val="Normal"/>
    <w:autoRedefine/>
    <w:uiPriority w:val="99"/>
    <w:semiHidden/>
    <w:unhideWhenUsed/>
    <w:rsid w:val="00551CB3"/>
    <w:pPr>
      <w:spacing w:after="100"/>
      <w:ind w:left="1440"/>
      <w:jc w:val="left"/>
    </w:pPr>
    <w:rPr>
      <w:rFonts w:ascii="Times New Roman" w:cstheme="minorBidi" w:eastAsiaTheme="minorHAnsi" w:hAnsi="Times New Roman"/>
      <w:szCs w:val="24"/>
      <w:lang w:eastAsia="en-US"/>
    </w:rPr>
  </w:style>
  <w:style w:styleId="Sadraj8" w:type="paragraph">
    <w:name w:val="toc 8"/>
    <w:basedOn w:val="Normal"/>
    <w:next w:val="Normal"/>
    <w:autoRedefine/>
    <w:uiPriority w:val="99"/>
    <w:semiHidden/>
    <w:unhideWhenUsed/>
    <w:rsid w:val="00551CB3"/>
    <w:pPr>
      <w:spacing w:after="100"/>
      <w:ind w:left="1680"/>
      <w:jc w:val="left"/>
    </w:pPr>
    <w:rPr>
      <w:rFonts w:ascii="Times New Roman" w:cstheme="minorBidi" w:eastAsiaTheme="minorHAnsi" w:hAnsi="Times New Roman"/>
      <w:szCs w:val="24"/>
      <w:lang w:eastAsia="en-US"/>
    </w:rPr>
  </w:style>
  <w:style w:styleId="Sadraj9" w:type="paragraph">
    <w:name w:val="toc 9"/>
    <w:basedOn w:val="Normal"/>
    <w:next w:val="Normal"/>
    <w:autoRedefine/>
    <w:uiPriority w:val="99"/>
    <w:semiHidden/>
    <w:unhideWhenUsed/>
    <w:rsid w:val="00551CB3"/>
    <w:pPr>
      <w:spacing w:after="100"/>
      <w:ind w:left="1920"/>
      <w:jc w:val="left"/>
    </w:pPr>
    <w:rPr>
      <w:rFonts w:ascii="Times New Roman" w:cstheme="minorBidi" w:eastAsiaTheme="minorHAnsi" w:hAnsi="Times New Roman"/>
      <w:szCs w:val="24"/>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jc w:val="left"/>
    </w:pPr>
    <w:rPr>
      <w:rFonts w:ascii="Times New Roman" w:cstheme="minorBidi" w:eastAsiaTheme="minorHAnsi" w:hAnsi="Times New Roman"/>
      <w:sz w:val="20"/>
      <w:szCs w:val="24"/>
      <w:lang w:eastAsia="en-US"/>
    </w:rPr>
  </w:style>
  <w:style w:customStyle="1" w:styleId="IzvornikNacrt" w:type="paragraph">
    <w:name w:val="Izvornik_Nacrt"/>
    <w:basedOn w:val="Normal"/>
    <w:link w:val="IzvornikNacrtChar"/>
    <w:qFormat/>
    <w:rsid w:val="00EB0D4C"/>
    <w:pPr>
      <w:keepNext/>
      <w:jc w:val="left"/>
    </w:pPr>
    <w:rPr>
      <w:rFonts w:ascii="Times New Roman" w:eastAsia="Calibri" w:hAnsi="Times New Roman"/>
      <w:noProof/>
      <w:color w:val="000000"/>
      <w:szCs w:val="24"/>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jc w:val="left"/>
    </w:pPr>
    <w:rPr>
      <w:rFonts w:ascii="Times New Roman" w:eastAsia="Calibri" w:hAnsi="Times New Roman"/>
      <w:noProof/>
      <w:color w:val="000000"/>
      <w:szCs w:val="24"/>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jc w:val="left"/>
    </w:pPr>
    <w:rPr>
      <w:rFonts w:ascii="Times New Roman" w:eastAsia="Calibri" w:hAnsi="Times New Roman"/>
      <w:noProof/>
      <w:color w:val="000000"/>
      <w:szCs w:val="24"/>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jc w:val="left"/>
    </w:pPr>
    <w:rPr>
      <w:rFonts w:ascii="Times New Roman" w:cstheme="minorBidi" w:eastAsiaTheme="minorHAnsi" w:hAnsi="Times New Roman"/>
      <w:noProof/>
      <w:szCs w:val="24"/>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jc w:val="left"/>
    </w:pPr>
    <w:rPr>
      <w:rFonts w:ascii="Times New Roman" w:eastAsia="Calibri" w:hAnsi="Times New Roman"/>
      <w:color w:val="000000"/>
      <w:szCs w:val="24"/>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jc w:val="left"/>
    </w:pPr>
    <w:rPr>
      <w:rFonts w:ascii="Times New Roman" w:eastAsia="Calibri" w:hAnsi="Times New Roman"/>
      <w:noProof/>
      <w:color w:val="000000"/>
      <w:szCs w:val="24"/>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pPr>
    <w:rPr>
      <w:rFonts w:ascii="Times New Roman" w:cstheme="minorBidi" w:eastAsiaTheme="minorHAnsi" w:hAnsi="Times New Roman"/>
      <w:szCs w:val="24"/>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jc w:val="left"/>
    </w:pPr>
    <w:rPr>
      <w:rFonts w:ascii="Times New Roman" w:cstheme="minorBidi" w:eastAsiaTheme="minorHAnsi" w:hAnsi="Times New Roman"/>
      <w:szCs w:val="24"/>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oa" w:type="paragraph">
    <w:name w:val="toa"/>
    <w:basedOn w:val="Normal"/>
    <w:rsid w:val="00B30CFB"/>
    <w:pPr>
      <w:tabs>
        <w:tab w:pos="9000" w:val="left"/>
        <w:tab w:pos="9360" w:val="right"/>
      </w:tabs>
      <w:suppressAutoHyphen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0436818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St-119/2015</izvorni_sadrzaj>
    <derivirana_varijabla naziv="DomainObject.Predmet.OznakaBroj_1">St-119/2015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AREIOS d.o.o. za usluge u stečaju</izvorni_sadrzaj>
    <derivirana_varijabla naziv="DomainObject.Predmet.ProtustrankaFormated_1">  AREIOS d.o.o. za usluge u stečaju</derivirana_varijabla>
  </DomainObject.Predmet.ProtustrankaFormated>
  <DomainObject.Predmet.ProtustrankaFormatedOIB>
    <izvorni_sadrzaj>  AREIOS d.o.o. za usluge u stečaju, OIB 60966752592</izvorni_sadrzaj>
    <derivirana_varijabla naziv="DomainObject.Predmet.ProtustrankaFormatedOIB_1">  AREIOS d.o.o. za usluge u stečaju, OIB 60966752592</derivirana_varijabla>
  </DomainObject.Predmet.ProtustrankaFormatedOIB>
  <DomainObject.Predmet.ProtustrankaFormatedWithAdress>
    <izvorni_sadrzaj> AREIOS d.o.o. za usluge u stečaju, Obala hrvatskog narodnog preporoda 6, 21000 Split</izvorni_sadrzaj>
    <derivirana_varijabla naziv="DomainObject.Predmet.ProtustrankaFormatedWithAdress_1"> AREIOS d.o.o. za usluge u stečaju, Obala hrvatskog narodnog preporoda 6, 21000 Split</derivirana_varijabla>
  </DomainObject.Predmet.ProtustrankaFormatedWithAdress>
  <DomainObject.Predmet.ProtustrankaFormatedWithAdressOIB>
    <izvorni_sadrzaj> AREIOS d.o.o. za usluge u stečaju, OIB 60966752592, Obala hrvatskog narodnog preporoda 6, 21000 Split</izvorni_sadrzaj>
    <derivirana_varijabla naziv="DomainObject.Predmet.ProtustrankaFormatedWithAdressOIB_1"> AREIOS d.o.o. za usluge u stečaju, OIB 60966752592, Obala hrvatskog narodnog preporoda 6, 21000 Split</derivirana_varijabla>
  </DomainObject.Predmet.ProtustrankaFormatedWithAdressOIB>
  <DomainObject.Predmet.ProtustrankaWithAdress>
    <izvorni_sadrzaj>AREIOS d.o.o. za usluge u stečaju Obala hrvatskog narodnog preporoda 6, 21000 Split</izvorni_sadrzaj>
    <derivirana_varijabla naziv="DomainObject.Predmet.ProtustrankaWithAdress_1">AREIOS d.o.o. za usluge u stečaju Obala hrvatskog narodnog preporoda 6, 21000 Split</derivirana_varijabla>
  </DomainObject.Predmet.ProtustrankaWithAdress>
  <DomainObject.Predmet.ProtustrankaWithAdressOIB>
    <izvorni_sadrzaj>AREIOS d.o.o. za usluge u stečaju, OIB 60966752592, Obala hrvatskog narodnog preporoda 6, 21000 Split</izvorni_sadrzaj>
    <derivirana_varijabla naziv="DomainObject.Predmet.ProtustrankaWithAdressOIB_1">AREIOS d.o.o. za usluge u stečaju, OIB 60966752592, Obala hrvatskog narodnog preporoda 6, 21000 Split</derivirana_varijabla>
  </DomainObject.Predmet.ProtustrankaWithAdressOIB>
  <DomainObject.Predmet.ProtustrankaNazivFormated>
    <izvorni_sadrzaj>AREIOS d.o.o. za usluge u stečaju</izvorni_sadrzaj>
    <derivirana_varijabla naziv="DomainObject.Predmet.ProtustrankaNazivFormated_1">AREIOS d.o.o. za usluge u stečaju</derivirana_varijabla>
    <derivirana_varijabla naziv="Padez">AREIOS d.o.o. za usluge u stečaju</derivirana_varijabla>
  </DomainObject.Predmet.ProtustrankaNazivFormated>
  <DomainObject.Predmet.ProtustrankaNazivFormatedOIB>
    <izvorni_sadrzaj>AREIOS d.o.o. za usluge u stečaju, OIB 60966752592</izvorni_sadrzaj>
    <derivirana_varijabla naziv="DomainObject.Predmet.ProtustrankaNazivFormatedOIB_1">AREIOS d.o.o. za usluge u stečaju, OIB 60966752592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erivirana_varijabla naziv="Padez">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AREIOS d.o.o. za usluge u stečaju</item>
    </izvorni_sadrzaj>
    <derivirana_varijabla naziv="DomainObject.Predmet.ProtuStrankaListFormated_1">
      <item>AREIOS d.o.o. za usluge u stečaju</item>
    </derivirana_varijabla>
  </DomainObject.Predmet.ProtuStrankaListFormated>
  <DomainObject.Predmet.ProtuStrankaListFormatedOIB>
    <izvorni_sadrzaj>
      <item>AREIOS d.o.o. za usluge u stečaju, OIB 60966752592</item>
    </izvorni_sadrzaj>
    <derivirana_varijabla naziv="DomainObject.Predmet.ProtuStrankaListFormatedOIB_1">
      <item>AREIOS d.o.o. za usluge u stečaju, OIB 60966752592</item>
    </derivirana_varijabla>
  </DomainObject.Predmet.ProtuStrankaListFormatedOIB>
  <DomainObject.Predmet.ProtuStrankaListFormatedWithAdress>
    <izvorni_sadrzaj>
      <item>AREIOS d.o.o. za usluge u stečaju, Obala hrvatskog narodnog preporoda 6, 21000 Split</item>
    </izvorni_sadrzaj>
    <derivirana_varijabla naziv="DomainObject.Predmet.ProtuStrankaListFormatedWithAdress_1">
      <item>AREIOS d.o.o. za usluge u stečaju, Obala hrvatskog narodnog preporoda 6, 21000 Split</item>
    </derivirana_varijabla>
  </DomainObject.Predmet.ProtuStrankaListFormatedWithAdress>
  <DomainObject.Predmet.ProtuStrankaListFormatedWithAdressOIB>
    <izvorni_sadrzaj>
      <item>AREIOS d.o.o. za usluge u stečaju, OIB 60966752592, Obala hrvatskog narodnog preporoda 6, 21000 Split</item>
    </izvorni_sadrzaj>
    <derivirana_varijabla naziv="DomainObject.Predmet.ProtuStrankaListFormatedWithAdressOIB_1">
      <item>AREIOS d.o.o. za usluge u stečaju, OIB 60966752592, Obala hrvatskog narodnog preporoda 6, 21000 Split</item>
    </derivirana_varijabla>
  </DomainObject.Predmet.ProtuStrankaListFormatedWithAdressOIB>
  <DomainObject.Predmet.ProtuStrankaListNazivFormated>
    <izvorni_sadrzaj>
      <item>AREIOS d.o.o. za usluge u stečaju</item>
    </izvorni_sadrzaj>
    <derivirana_varijabla naziv="DomainObject.Predmet.ProtuStrankaListNazivFormated_1">
      <item>AREIOS d.o.o. za usluge u stečaju</item>
    </derivirana_varijabla>
  </DomainObject.Predmet.ProtuStrankaListNazivFormated>
  <DomainObject.Predmet.ProtuStrankaListNazivFormatedOIB>
    <izvorni_sadrzaj>
      <item>AREIOS d.o.o. za usluge u stečaju, OIB 60966752592</item>
    </izvorni_sadrzaj>
    <derivirana_varijabla naziv="DomainObject.Predmet.ProtuStrankaListNazivFormatedOIB_1">
      <item>AREIOS d.o.o. za usluge u stečaju, OIB 60966752592</item>
    </derivirana_varijabla>
  </DomainObject.Predmet.ProtuStrankaListNazivFormatedOIB>
  <DomainObject.Predmet.OstaliListFormated>
    <izvorni_sadrzaj>
      <item>Kristijan Gelo</item>
      <item>MAMIĆ PERIĆ REBERSKI RIMAC Odvjetničko društvo, društvo s ograničenom odgovornošću punomoćnik sudionika u postupku HETA ASSET RESOLUTION AG</item>
      <item>Ljiljana Poljanić</item>
      <item>Mladen Parčina</item>
    </izvorni_sadrzaj>
    <derivirana_varijabla naziv="DomainObject.Predmet.OstaliListFormated_1">
      <item>Kristijan Gelo</item>
      <item>MAMIĆ PERIĆ REBERSKI RIMAC Odvjetničko društvo, društvo s ograničenom odgovornošću punomoćnik sudionika u postupku HETA ASSET RESOLUTION AG</item>
      <item>Ljiljana Poljanić</item>
      <item>Mladen Parčina</item>
    </derivirana_varijabla>
    <derivirana_varijabla naziv="DrugaOsoba">
      <item>Kristijan Gelo</item>
      <item>MAMIĆ PERIĆ REBERSKI RIMAC Odvjetničko društvo, društvo s ograničenom odgovornošću punomoćnik sudionika u postupku HETA ASSET RESOLUTION AG</item>
      <item>Ljiljana Poljanić</item>
      <item>Mladen Parčina</item>
    </derivirana_varijabla>
  </DomainObject.Predmet.OstaliListFormated>
  <DomainObject.Predmet.OstaliListFormatedOIB>
    <izvorni_sadrzaj>
      <item>Kristijan Gelo, OIB 17903574632</item>
      <item>MAMIĆ PERIĆ REBERSKI RIMAC Odvjetničko društvo, društvo s ograničenom odgovornošću, OIB 32802230502 punomoćnik sudionika u postupku HETA ASSET RESOLUTION AG</item>
      <item>Ljiljana Poljanić, OIB 73648398828</item>
      <item>Mladen Parčina, OIB 72978947453</item>
    </izvorni_sadrzaj>
    <derivirana_varijabla naziv="DomainObject.Predmet.OstaliListFormatedOIB_1">
      <item>Kristijan Gelo, OIB 17903574632</item>
      <item>MAMIĆ PERIĆ REBERSKI RIMAC Odvjetničko društvo, društvo s ograničenom odgovornošću, OIB 32802230502 punomoćnik sudionika u postupku HETA ASSET RESOLUTION AG</item>
      <item>Ljiljana Poljanić, OIB 73648398828</item>
      <item>Mladen Parčina, OIB 72978947453</item>
    </derivirana_varijabla>
  </DomainObject.Predmet.OstaliListFormatedOIB>
  <DomainObject.Predmet.OstaliListFormatedWithAdress>
    <izvorni_sadrzaj>
      <item>Kristijan Gelo, Bukovčeva 16, 21000 Split</item>
      <item>MAMIĆ PERIĆ REBERSKI RIMAC Odvjetničko društvo, društvo s ograničenom odgovornošću, Ivana Lučića 2a, 10000 Zagreb punomoćnik sudionika u postupku HETA ASSET RESOLUTION AG</item>
      <item>Ljiljana Poljanić, Vinkovačka 25, 21000 Split</item>
      <item>Mladen Parčina, Hrvatskih iseljenika 8b, 21000 Split</item>
    </izvorni_sadrzaj>
    <derivirana_varijabla naziv="DomainObject.Predmet.OstaliListFormatedWithAdress_1">
      <item>Kristijan Gelo, Bukovčeva 16, 21000 Split</item>
      <item>MAMIĆ PERIĆ REBERSKI RIMAC Odvjetničko društvo, društvo s ograničenom odgovornošću, Ivana Lučića 2a, 10000 Zagreb punomoćnik sudionika u postupku HETA ASSET RESOLUTION AG</item>
      <item>Ljiljana Poljanić, Vinkovačka 25, 21000 Split</item>
      <item>Mladen Parčina, Hrvatskih iseljenika 8b, 21000 Split</item>
    </derivirana_varijabla>
  </DomainObject.Predmet.OstaliListFormatedWithAdress>
  <DomainObject.Predmet.OstaliListFormatedWithAdressOIB>
    <izvorni_sadrzaj>
      <item>Kristijan Gelo, OIB 17903574632, Bukovčeva 16, 21000 Split</item>
      <item>MAMIĆ PERIĆ REBERSKI RIMAC Odvjetničko društvo, društvo s ograničenom odgovornošću, OIB 32802230502, Ivana Lučića 2a, 10000 Zagreb punomoćnik sudionika u postupku HETA ASSET RESOLUTION AG</item>
      <item>Ljiljana Poljanić, OIB 73648398828, Vinkovačka 25, 21000 Split</item>
      <item>Mladen Parčina, OIB 72978947453, Hrvatskih iseljenika 8b, 21000 Split</item>
    </izvorni_sadrzaj>
    <derivirana_varijabla naziv="DomainObject.Predmet.OstaliListFormatedWithAdressOIB_1">
      <item>Kristijan Gelo, OIB 17903574632, Bukovčeva 16, 21000 Split</item>
      <item>MAMIĆ PERIĆ REBERSKI RIMAC Odvjetničko društvo, društvo s ograničenom odgovornošću, OIB 32802230502, Ivana Lučića 2a, 10000 Zagreb punomoćnik sudionika u postupku HETA ASSET RESOLUTION AG</item>
      <item>Ljiljana Poljanić, OIB 73648398828, Vinkovačka 25, 21000 Split</item>
      <item>Mladen Parčina, OIB 72978947453, Hrvatskih iseljenika 8b, 21000 Split</item>
    </derivirana_varijabla>
  </DomainObject.Predmet.OstaliListFormatedWithAdressOIB>
  <DomainObject.Predmet.OstaliListNazivFormated>
    <izvorni_sadrzaj>
      <item>Kristijan Gelo</item>
      <item>MAMIĆ PERIĆ REBERSKI RIMAC Odvjetničko društvo, društvo s ograničenom odgovornošću</item>
      <item>Ljiljana Poljanić</item>
      <item>Mladen Parčina</item>
    </izvorni_sadrzaj>
    <derivirana_varijabla naziv="DomainObject.Predmet.OstaliListNazivFormated_1">
      <item>Kristijan Gelo</item>
      <item>MAMIĆ PERIĆ REBERSKI RIMAC Odvjetničko društvo, društvo s ograničenom odgovornošću</item>
      <item>Ljiljana Poljanić</item>
      <item>Mladen Parčina</item>
    </derivirana_varijabla>
  </DomainObject.Predmet.OstaliListNazivFormated>
  <DomainObject.Predmet.OstaliListNazivFormatedOIB>
    <izvorni_sadrzaj>
      <item>Kristijan Gelo, OIB 17903574632</item>
      <item>MAMIĆ PERIĆ REBERSKI RIMAC Odvjetničko društvo, društvo s ograničenom odgovornošću, OIB 32802230502</item>
      <item>Ljiljana Poljanić, OIB 73648398828</item>
      <item>Mladen Parčina, OIB 72978947453</item>
    </izvorni_sadrzaj>
    <derivirana_varijabla naziv="DomainObject.Predmet.OstaliListNazivFormatedOIB_1">
      <item>Kristijan Gelo, OIB 17903574632</item>
      <item>MAMIĆ PERIĆ REBERSKI RIMAC Odvjetničko društvo, društvo s ograničenom odgovornošću, OIB 32802230502</item>
      <item>Ljiljana Poljanić, OIB 73648398828</item>
      <item>Mladen Parčina, OIB 72978947453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AREIOS d.o.o. za usluge u stečaju</izvorni_sadrzaj>
    <derivirana_varijabla naziv="DomainObject.Predmet.ProtustrankaIDrugi_1">AREIOS d.o.o. za usluge u stečaju</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AREIOS d.o.o. za usluge u stečaju, OIB 60966752592, Obala hrvatskog narodnog preporoda 6, 21000 Split</izvorni_sadrzaj>
    <derivirana_varijabla naziv="DomainObject.Predmet.ProtustrankaIDrugiAdressOIB_1">AREIOS d.o.o. za usluge u stečaju, OIB 60966752592,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AREIOS d.o.o. za usluge u stečaju</item>
      <item>HETA ASSET RESOLUTION AG</item>
      <item>MAMIĆ PERIĆ REBERSKI RIMAC Odvjetničko društvo, društvo s ograničenom odgovornošću</item>
      <item>Kristijan Gelo</item>
      <item>Ljiljana Poljanić</item>
      <item>Mladen Parčina</item>
    </izvorni_sadrzaj>
    <derivirana_varijabla naziv="DomainObject.Predmet.SudioniciListNaziv_1">
      <item>AREIOS d.o.o. za usluge u stečaju</item>
      <item>HETA ASSET RESOLUTION AG</item>
      <item>MAMIĆ PERIĆ REBERSKI RIMAC Odvjetničko društvo, društvo s ograničenom odgovornošću</item>
      <item>Kristijan Gelo</item>
      <item>Ljiljana Poljanić</item>
      <item>Mladen Parčina</item>
    </derivirana_varijabla>
    <derivirana_varijabla naziv="OstaliSudionici">
      <item>AREIOS d.o.o. za usluge u stečaju</item>
      <item>HETA ASSET RESOLUTION AG</item>
      <item>MAMIĆ PERIĆ REBERSKI RIMAC Odvjetničko društvo, društvo s ograničenom odgovornošću</item>
      <item>Kristijan Gelo</item>
      <item>Ljiljana Poljanić</item>
      <item>Mladen Parčina</item>
    </derivirana_varijabla>
  </DomainObject.Predmet.SudioniciListNaziv>
  <DomainObject.Predmet.SudioniciListAdressOIB>
    <izvorni_sadrzaj>
      <item>AREIOS d.o.o. za usluge u stečaju, OIB 60966752592, Obala hrvatskog narodnog preporoda 6,21000 Split</item>
      <item>HETA ASSET RESOLUTION AG, OIB 90730821413, Alpen-adria Platz 1,9020 Klagenfurt</item>
      <item>MAMIĆ PERIĆ REBERSKI RIMAC Odvjetničko društvo, društvo s ograničenom odgovornošću, OIB 32802230502, Ivana Lučića 2a,10000 Zagreb</item>
      <item>Kristijan Gelo, OIB 17903574632, Bukovčeva 16,21000 Split</item>
      <item>Ljiljana Poljanić, OIB 73648398828, Vinkovačka 25,21000 Split</item>
      <item>Mladen Parčina, OIB 72978947453, Hrvatskih iseljenika 8b,21000 Split</item>
    </izvorni_sadrzaj>
    <derivirana_varijabla naziv="DomainObject.Predmet.SudioniciListAdressOIB_1">
      <item>AREIOS d.o.o. za usluge u stečaju, OIB 60966752592, Obala hrvatskog narodnog preporoda 6,21000 Split</item>
      <item>HETA ASSET RESOLUTION AG, OIB 90730821413, Alpen-adria Platz 1,9020 Klagenfurt</item>
      <item>MAMIĆ PERIĆ REBERSKI RIMAC Odvjetničko društvo, društvo s ograničenom odgovornošću, OIB 32802230502, Ivana Lučića 2a,10000 Zagreb</item>
      <item>Kristijan Gelo, OIB 17903574632, Bukovčeva 16,21000 Split</item>
      <item>Ljiljana Poljanić, OIB 73648398828, Vinkovačka 25,21000 Split</item>
      <item>Mladen Parčina, OIB 72978947453, Hrvatskih iseljenika 8b,21000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60966752592</item>
      <item>, OIB 90730821413</item>
      <item>, OIB 32802230502</item>
      <item>, OIB 17903574632</item>
      <item>, OIB 73648398828</item>
      <item>, OIB 72978947453</item>
    </izvorni_sadrzaj>
    <derivirana_varijabla naziv="DomainObject.Predmet.SudioniciListNazivOIB_1">
      <item>, OIB 60966752592</item>
      <item>, OIB 90730821413</item>
      <item>, OIB 32802230502</item>
      <item>, OIB 17903574632</item>
      <item>, OIB 73648398828</item>
      <item>, OIB 72978947453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D38441-F59B-46DF-8FF1-0305D462F7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1373</properties:Words>
  <properties:Characters>7904</properties:Characters>
  <properties:Lines>159</properties:Lines>
  <properties:Paragraphs>30</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Omazić</cp:lastModifiedBy>
  <cp:lastPrinted>2017-04-13T08:22:00Z</cp:lastPrinted>
  <dcterms:modified xmlns:xsi="http://www.w3.org/2001/XMLSchema-instance" xsi:type="dcterms:W3CDTF">2017-04-19T11:21:00Z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