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6a9d0" w14:paraId="ef6a9d0"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D175D" w:rsidP="00ED175D" w:rsidR="00ED175D" w:rsidRPr="00ED175D">
      <w:pPr>
        <w:suppressAutoHyphens/>
        <w:spacing w:lineRule="atLeast" w:line="100" w:after="80"/>
        <w:jc w:val="center"/>
        <w:rPr>
          <w:rFonts w:cs="Times New Roman" w:eastAsia="Calibri"/>
          <w:b/>
          <w:kern w:val="2"/>
          <w:szCs w:val="22"/>
          <w:lang w:eastAsia="ar-SA"/>
        </w:rPr>
      </w:pPr>
      <w:r w:rsidRPr="00ED175D">
        <w:rPr>
          <w:rFonts w:cs="Times New Roman" w:eastAsia="Calibri"/>
          <w:b/>
          <w:kern w:val="2"/>
          <w:sz w:val="28"/>
          <w:szCs w:val="22"/>
          <w:lang w:eastAsia="ar-SA"/>
        </w:rPr>
        <w:t>Obrazac 20.</w:t>
      </w:r>
    </w:p>
    <w:p w:rsidRDefault="00ED175D" w:rsidP="00ED175D" w:rsidR="00ED175D" w:rsidRPr="00ED175D">
      <w:pPr>
        <w:suppressAutoHyphens/>
        <w:spacing w:lineRule="atLeast" w:line="100" w:after="80"/>
        <w:jc w:val="center"/>
        <w:rPr>
          <w:rFonts w:cs="Times New Roman" w:eastAsia="Calibri"/>
          <w:kern w:val="2"/>
          <w:szCs w:val="22"/>
          <w:lang w:eastAsia="ar-SA"/>
        </w:rPr>
      </w:pPr>
      <w:r w:rsidRPr="00ED175D">
        <w:rPr>
          <w:rFonts w:cs="Times New Roman" w:eastAsia="Calibri"/>
          <w:b/>
          <w:kern w:val="2"/>
          <w:szCs w:val="22"/>
          <w:lang w:eastAsia="ar-SA"/>
        </w:rPr>
        <w:t xml:space="preserve">IZVJEŠĆE </w:t>
      </w:r>
      <w:r w:rsidRPr="00ED175D">
        <w:rPr>
          <w:rFonts w:cs="Times New Roman" w:eastAsia="Calibri"/>
          <w:b/>
          <w:kern w:val="2"/>
          <w:lang w:eastAsia="ar-SA"/>
        </w:rPr>
        <w:t>STEČAJNOGA</w:t>
      </w:r>
      <w:r w:rsidRPr="00ED175D">
        <w:rPr>
          <w:rFonts w:cs="Times New Roman" w:eastAsia="Calibri"/>
          <w:b/>
          <w:kern w:val="2"/>
          <w:szCs w:val="22"/>
          <w:lang w:eastAsia="ar-SA"/>
        </w:rPr>
        <w:t xml:space="preserve"> UPRAVITELJA O TIJEKU </w:t>
      </w:r>
      <w:r w:rsidRPr="00ED175D">
        <w:rPr>
          <w:rFonts w:cs="Times New Roman" w:eastAsia="Calibri"/>
          <w:b/>
          <w:kern w:val="2"/>
          <w:lang w:eastAsia="ar-SA"/>
        </w:rPr>
        <w:t>STEČAJNOGA</w:t>
      </w:r>
      <w:r w:rsidRPr="00ED175D">
        <w:rPr>
          <w:rFonts w:cs="Times New Roman" w:eastAsia="Calibri"/>
          <w:b/>
          <w:kern w:val="2"/>
          <w:szCs w:val="22"/>
          <w:lang w:eastAsia="ar-SA"/>
        </w:rPr>
        <w:t xml:space="preserve"> POSTUPKA I STANJU STEČAJNE MASE</w:t>
      </w:r>
    </w:p>
    <w:p w:rsidRDefault="00ED175D" w:rsidP="00ED175D" w:rsidR="00ED175D" w:rsidRPr="00ED175D">
      <w:pPr>
        <w:suppressAutoHyphens/>
        <w:spacing w:lineRule="atLeast" w:line="100" w:after="80"/>
        <w:jc w:val="center"/>
        <w:rPr>
          <w:rFonts w:cs="Times New Roman" w:eastAsia="Calibri"/>
          <w:kern w:val="2"/>
          <w:szCs w:val="22"/>
          <w:lang w:eastAsia="ar-SA"/>
        </w:rPr>
      </w:pPr>
    </w:p>
    <w:p w:rsidRDefault="00ED175D" w:rsidP="00ED175D" w:rsidR="00ED175D" w:rsidRPr="00ED175D">
      <w:pPr>
        <w:suppressAutoHyphens/>
        <w:spacing w:lineRule="atLeast" w:line="100" w:after="80"/>
        <w:jc w:val="both"/>
        <w:rPr>
          <w:rFonts w:cs="Times New Roman" w:eastAsia="Calibri"/>
          <w:kern w:val="2"/>
          <w:lang w:eastAsia="ar-SA" w:val="pl-PL"/>
        </w:rPr>
      </w:pPr>
      <w:r w:rsidRPr="00ED175D">
        <w:rPr>
          <w:rFonts w:cs="Times New Roman" w:eastAsia="Calibri"/>
          <w:kern w:val="2"/>
          <w:lang w:eastAsia="ar-SA" w:val="pl-PL"/>
        </w:rPr>
        <w:t>Nadle</w:t>
      </w:r>
      <w:r w:rsidRPr="00ED175D">
        <w:rPr>
          <w:rFonts w:cs="Times New Roman" w:eastAsia="Calibri"/>
          <w:kern w:val="2"/>
          <w:szCs w:val="22"/>
          <w:lang w:eastAsia="ar-SA"/>
        </w:rPr>
        <w:t>ž</w:t>
      </w:r>
      <w:r w:rsidRPr="00ED175D">
        <w:rPr>
          <w:rFonts w:cs="Times New Roman" w:eastAsia="Calibri"/>
          <w:kern w:val="2"/>
          <w:lang w:eastAsia="ar-SA" w:val="pl-PL"/>
        </w:rPr>
        <w:t>ni</w:t>
      </w:r>
      <w:r w:rsidRPr="00ED175D">
        <w:rPr>
          <w:rFonts w:cs="Times New Roman" w:eastAsia="Calibri"/>
          <w:kern w:val="2"/>
          <w:szCs w:val="22"/>
          <w:lang w:eastAsia="ar-SA" w:val="pl-PL"/>
        </w:rPr>
        <w:t xml:space="preserve"> </w:t>
      </w:r>
      <w:r w:rsidRPr="00ED175D">
        <w:rPr>
          <w:rFonts w:cs="Times New Roman" w:eastAsia="Calibri"/>
          <w:kern w:val="2"/>
          <w:lang w:eastAsia="ar-SA" w:val="pl-PL"/>
        </w:rPr>
        <w:t>trgovački</w:t>
      </w:r>
      <w:r w:rsidRPr="00ED175D">
        <w:rPr>
          <w:rFonts w:cs="Times New Roman" w:eastAsia="Calibri"/>
          <w:kern w:val="2"/>
          <w:szCs w:val="22"/>
          <w:lang w:eastAsia="ar-SA" w:val="pl-PL"/>
        </w:rPr>
        <w:t xml:space="preserve"> </w:t>
      </w:r>
      <w:r w:rsidRPr="00ED175D">
        <w:rPr>
          <w:rFonts w:cs="Times New Roman" w:eastAsia="Calibri"/>
          <w:kern w:val="2"/>
          <w:lang w:eastAsia="ar-SA" w:val="pl-PL"/>
        </w:rPr>
        <w:t>sud ___</w:t>
      </w:r>
      <w:r w:rsidRPr="00ED175D">
        <w:rPr>
          <w:rFonts w:cs="Times New Roman" w:eastAsia="Calibri"/>
          <w:kern w:val="2"/>
          <w:szCs w:val="22"/>
          <w:u w:val="single"/>
          <w:lang w:eastAsia="ar-SA"/>
        </w:rPr>
        <w:t>Trgovački sud u Bjelovaru</w:t>
      </w:r>
    </w:p>
    <w:p w:rsidRDefault="00ED175D" w:rsidP="00ED175D" w:rsidR="00ED175D" w:rsidRPr="00ED175D">
      <w:pPr>
        <w:suppressAutoHyphens/>
        <w:spacing w:lineRule="atLeast" w:line="100" w:after="80"/>
        <w:jc w:val="both"/>
        <w:rPr>
          <w:rFonts w:cs="Times New Roman" w:eastAsia="Calibri"/>
          <w:kern w:val="2"/>
          <w:lang w:eastAsia="ar-SA" w:val="pl-PL"/>
        </w:rPr>
      </w:pPr>
      <w:r w:rsidRPr="00ED175D">
        <w:rPr>
          <w:rFonts w:cs="Times New Roman" w:eastAsia="Calibri"/>
          <w:kern w:val="2"/>
          <w:lang w:eastAsia="ar-SA" w:val="pl-PL"/>
        </w:rPr>
        <w:t>Poslovni broj spisa ____</w:t>
      </w:r>
      <w:r w:rsidRPr="00ED175D">
        <w:rPr>
          <w:rFonts w:cs="Times New Roman" w:eastAsia="Calibri"/>
          <w:kern w:val="2"/>
          <w:u w:val="single"/>
          <w:lang w:eastAsia="ar-SA" w:val="pl-PL"/>
        </w:rPr>
        <w:t>St-175/2016</w:t>
      </w:r>
      <w:r w:rsidRPr="00ED175D">
        <w:rPr>
          <w:rFonts w:cs="Times New Roman" w:eastAsia="Calibri"/>
          <w:kern w:val="2"/>
          <w:lang w:eastAsia="ar-SA" w:val="pl-PL"/>
        </w:rPr>
        <w:t>___________</w:t>
      </w:r>
    </w:p>
    <w:p w:rsidRDefault="00ED175D" w:rsidP="00ED175D" w:rsidR="00ED175D" w:rsidRPr="00ED175D">
      <w:pPr>
        <w:suppressAutoHyphens/>
        <w:spacing w:lineRule="atLeast" w:line="100" w:after="80"/>
        <w:rPr>
          <w:rFonts w:cs="Times New Roman" w:eastAsia="Calibri"/>
          <w:b/>
          <w:bCs/>
          <w:kern w:val="2"/>
          <w:u w:val="single"/>
          <w:lang w:eastAsia="ar-SA" w:val="pl-PL"/>
        </w:rPr>
      </w:pPr>
      <w:r w:rsidRPr="00ED175D">
        <w:rPr>
          <w:rFonts w:cs="Times New Roman" w:eastAsia="Calibri"/>
          <w:kern w:val="2"/>
          <w:lang w:eastAsia="ar-SA" w:val="pl-PL"/>
        </w:rPr>
        <w:t xml:space="preserve">Dužnik (ime i prezime / tvrtka ili naziv, OIB, adresa / sjedište) </w:t>
      </w:r>
    </w:p>
    <w:p w:rsidRDefault="00ED175D" w:rsidP="00ED175D" w:rsidR="00ED175D" w:rsidRPr="00ED175D">
      <w:pPr>
        <w:suppressAutoHyphens/>
        <w:spacing w:lineRule="atLeast" w:line="100" w:after="80"/>
        <w:rPr>
          <w:rFonts w:cs="Times New Roman" w:eastAsia="Calibri"/>
          <w:kern w:val="2"/>
          <w:lang w:eastAsia="ar-SA" w:val="pl-PL"/>
        </w:rPr>
      </w:pPr>
      <w:r w:rsidRPr="00ED175D">
        <w:rPr>
          <w:rFonts w:cs="Times New Roman" w:eastAsia="Calibri"/>
          <w:b/>
          <w:bCs/>
          <w:kern w:val="2"/>
          <w:u w:val="single"/>
          <w:lang w:eastAsia="ar-SA" w:val="pl-PL"/>
        </w:rPr>
        <w:t>INFO TIM d.o.o. u stečaju  OIB: 07097009801, Bjelovar, Naselja kralja Zvonimira 2/2</w:t>
      </w:r>
    </w:p>
    <w:p w:rsidRDefault="00ED175D" w:rsidP="00ED175D" w:rsidR="00ED175D" w:rsidRPr="00ED175D">
      <w:pPr>
        <w:suppressAutoHyphens/>
        <w:spacing w:lineRule="atLeast" w:line="100" w:after="80"/>
        <w:jc w:val="center"/>
        <w:rPr>
          <w:rFonts w:cs="Times New Roman" w:eastAsia="Calibri"/>
          <w:kern w:val="2"/>
          <w:lang w:eastAsia="ar-SA" w:val="pl-PL"/>
        </w:rPr>
      </w:pPr>
    </w:p>
    <w:p w:rsidRDefault="00ED175D" w:rsidP="00ED175D" w:rsidR="00ED175D" w:rsidRPr="00ED175D">
      <w:pPr>
        <w:suppressAutoHyphens/>
        <w:spacing w:lineRule="atLeast" w:line="100" w:after="80"/>
        <w:rPr>
          <w:rFonts w:cs="Times New Roman" w:eastAsia="Calibri"/>
          <w:kern w:val="2"/>
          <w:lang w:eastAsia="ar-SA" w:val="pl-PL"/>
        </w:rPr>
      </w:pPr>
      <w:r w:rsidRPr="00ED175D">
        <w:rPr>
          <w:rFonts w:cs="Times New Roman" w:eastAsia="Calibri"/>
          <w:kern w:val="2"/>
          <w:lang w:eastAsia="ar-SA" w:val="pl-PL"/>
        </w:rPr>
        <w:t>I.  TIJEK STEČAJNOGA POSTUPKA U RAZDOBLJU OD 08.06.2016. DO 11.09.2017.</w:t>
      </w:r>
    </w:p>
    <w:p w:rsidRDefault="00ED175D" w:rsidP="00ED175D" w:rsidR="00ED175D" w:rsidRPr="00ED175D">
      <w:pPr>
        <w:suppressAutoHyphens/>
        <w:spacing w:lineRule="atLeast" w:line="100" w:after="80"/>
        <w:jc w:val="both"/>
        <w:rPr>
          <w:rFonts w:cs="Times New Roman" w:eastAsia="Calibri" w:hAnsi="Calibri" w:ascii="Calibri"/>
          <w:kern w:val="2"/>
          <w:sz w:val="22"/>
          <w:szCs w:val="22"/>
          <w:lang w:eastAsia="ar-SA"/>
        </w:rPr>
      </w:pPr>
      <w:r w:rsidRPr="00ED175D">
        <w:rPr>
          <w:rFonts w:cs="Times New Roman" w:eastAsia="Calibri"/>
          <w:kern w:val="2"/>
          <w:lang w:eastAsia="ar-SA" w:val="pl-PL"/>
        </w:rPr>
        <w:t xml:space="preserve">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 </w:t>
      </w:r>
    </w:p>
    <w:p w:rsidRDefault="00ED175D" w:rsidP="00ED175D" w:rsidR="00ED175D" w:rsidRPr="00ED175D">
      <w:pPr>
        <w:suppressAutoHyphens/>
        <w:spacing w:lineRule="atLeast" w:line="100" w:after="80"/>
        <w:rPr>
          <w:rFonts w:cs="Times New Roman" w:eastAsia="Calibri" w:hAnsi="Calibri" w:ascii="Calibri"/>
          <w:kern w:val="2"/>
          <w:sz w:val="22"/>
          <w:szCs w:val="22"/>
          <w:lang w:eastAsia="ar-SA"/>
        </w:rPr>
      </w:pPr>
    </w:p>
    <w:p w:rsidRDefault="00ED175D" w:rsidP="00ED175D" w:rsidR="00ED175D" w:rsidRPr="00ED175D">
      <w:pPr>
        <w:suppressAutoHyphens/>
        <w:spacing w:lineRule="atLeast" w:line="100" w:after="80"/>
        <w:rPr>
          <w:rFonts w:cs="Times New Roman" w:eastAsia="Arial"/>
          <w:kern w:val="2"/>
          <w:lang w:eastAsia="ar-SA"/>
        </w:rPr>
      </w:pPr>
      <w:r w:rsidRPr="00ED175D">
        <w:rPr>
          <w:rFonts w:cs="Times New Roman" w:eastAsia="Calibri"/>
          <w:kern w:val="2"/>
          <w:lang w:eastAsia="ar-SA"/>
        </w:rPr>
        <w:t>U dosadašnjem tijeku stečajnog postupka obavljen je popis imovine te je  izvršena procjena  nekretnina od strane sudskog vještaka.</w:t>
      </w:r>
    </w:p>
    <w:p w:rsidRDefault="00ED175D" w:rsidP="00ED175D" w:rsidR="00ED175D" w:rsidRPr="00ED175D">
      <w:pPr>
        <w:suppressAutoHyphens/>
        <w:spacing w:lineRule="atLeast" w:line="100" w:after="80"/>
        <w:rPr>
          <w:rFonts w:cs="Times New Roman" w:eastAsia="Arial"/>
          <w:kern w:val="2"/>
          <w:lang w:eastAsia="ar-SA"/>
        </w:rPr>
      </w:pPr>
      <w:r w:rsidRPr="00ED175D">
        <w:rPr>
          <w:rFonts w:cs="Times New Roman" w:eastAsia="Arial"/>
          <w:kern w:val="2"/>
          <w:lang w:eastAsia="ar-SA"/>
        </w:rPr>
        <w:t xml:space="preserve">Za suvlasnički dio nekretnine upisane u zk.ul.br 1073,  Etažno vlasništvo (E6)-Garaža površine 13,20 m2 ranije je utvrđeno da je pravo vlasništva u zemljišnim knjigama upisano u korist </w:t>
      </w:r>
      <w:proofErr w:type="spellStart"/>
      <w:r w:rsidRPr="00ED175D">
        <w:rPr>
          <w:rFonts w:cs="Times New Roman" w:eastAsia="Arial"/>
          <w:kern w:val="2"/>
          <w:lang w:eastAsia="ar-SA"/>
        </w:rPr>
        <w:t>Marmi</w:t>
      </w:r>
      <w:proofErr w:type="spellEnd"/>
      <w:r w:rsidRPr="00ED175D">
        <w:rPr>
          <w:rFonts w:cs="Times New Roman" w:eastAsia="Arial"/>
          <w:kern w:val="2"/>
          <w:lang w:eastAsia="ar-SA"/>
        </w:rPr>
        <w:t xml:space="preserve"> d.o.o. Bjelovar, no uvidom u dokumentaciju stečajnog dužnika utvrđeno je da je za ovu nekretninu potpisan Ugovor o kupoprodaji nekretnina od 30.11.2012.  na kojem je potpis prodavatelja ovjeren kod javnog bilježnika Maria Franjića 16.5.2013. pod brojem OV-1450/2013. Analizom ugovora je utvrđeno da isti nije podban za prijenos prava vlasništva u zemljišnim knjigama jer predmet kupoprodaje u ugovoru nije ispravno naveden, pa je stoga sačinjen Aneks ugovora, koji je prodavatelj ovjerio dana 14.02.2017. te je dana 23.02.2017. upisano pravo vlasništva u korist stečajnog dužnika.</w:t>
      </w:r>
    </w:p>
    <w:p w:rsidRDefault="00ED175D" w:rsidP="00ED175D" w:rsidR="00ED175D" w:rsidRPr="00ED175D">
      <w:pPr>
        <w:suppressAutoHyphens/>
        <w:spacing w:lineRule="atLeast" w:line="100" w:after="80"/>
        <w:rPr>
          <w:rFonts w:cs="Times New Roman" w:eastAsia="Arial"/>
          <w:kern w:val="2"/>
          <w:lang w:eastAsia="ar-SA"/>
        </w:rPr>
      </w:pPr>
    </w:p>
    <w:p w:rsidRDefault="00ED175D" w:rsidP="00ED175D" w:rsidR="00ED175D" w:rsidRPr="00ED175D">
      <w:pPr>
        <w:suppressAutoHyphens/>
        <w:spacing w:lineRule="atLeast" w:line="100" w:after="80"/>
        <w:rPr>
          <w:rFonts w:cs="Times New Roman" w:eastAsia="Calibri" w:hAnsi="Calibri" w:ascii="Calibri"/>
          <w:kern w:val="2"/>
          <w:sz w:val="22"/>
          <w:szCs w:val="22"/>
          <w:lang w:eastAsia="ar-SA"/>
        </w:rPr>
      </w:pPr>
      <w:r w:rsidRPr="00ED175D">
        <w:rPr>
          <w:rFonts w:cs="Times New Roman" w:eastAsia="Arial"/>
          <w:kern w:val="2"/>
          <w:lang w:eastAsia="ar-SA"/>
        </w:rPr>
        <w:t xml:space="preserve">Vezano za naplatu potraživanja dostavljen je poziv na plaćanje svim dužnicima koje je bilo moguće pronaći, te se sustavno provodi naplata u mirnom postupku, kao i postupak usklađenja i po potrebi </w:t>
      </w:r>
      <w:proofErr w:type="spellStart"/>
      <w:r w:rsidRPr="00ED175D">
        <w:rPr>
          <w:rFonts w:cs="Times New Roman" w:eastAsia="Arial"/>
          <w:kern w:val="2"/>
          <w:lang w:eastAsia="ar-SA"/>
        </w:rPr>
        <w:t>isknjiženja</w:t>
      </w:r>
      <w:proofErr w:type="spellEnd"/>
      <w:r w:rsidRPr="00ED175D">
        <w:rPr>
          <w:rFonts w:cs="Times New Roman" w:eastAsia="Arial"/>
          <w:kern w:val="2"/>
          <w:lang w:eastAsia="ar-SA"/>
        </w:rPr>
        <w:t xml:space="preserve"> nenaplativih potraživanja (zastara, nevjerodostojna dokumentacija i sl.) odnosno vrše se ispravci knjiženja (neproknjižene ili pogrešno proknjižene uplate i sl.)</w:t>
      </w:r>
    </w:p>
    <w:p w:rsidRDefault="00ED175D" w:rsidP="00ED175D" w:rsidR="00ED175D" w:rsidRPr="00ED175D">
      <w:pPr>
        <w:suppressAutoHyphens/>
        <w:spacing w:lineRule="atLeast" w:line="100" w:after="80"/>
        <w:rPr>
          <w:rFonts w:cs="Times New Roman" w:eastAsia="Calibri" w:hAnsi="Calibri" w:ascii="Calibri"/>
          <w:kern w:val="2"/>
          <w:sz w:val="22"/>
          <w:szCs w:val="22"/>
          <w:lang w:eastAsia="ar-SA"/>
        </w:rPr>
      </w:pPr>
    </w:p>
    <w:p w:rsidRDefault="00ED175D" w:rsidP="00ED175D" w:rsidR="00ED175D" w:rsidRPr="00ED175D">
      <w:pPr>
        <w:suppressAutoHyphens/>
        <w:spacing w:lineRule="atLeast" w:line="100" w:after="80"/>
        <w:rPr>
          <w:rFonts w:cs="Times New Roman" w:eastAsia="Calibri"/>
          <w:kern w:val="2"/>
          <w:lang w:eastAsia="ar-SA"/>
        </w:rPr>
      </w:pPr>
      <w:r w:rsidRPr="00ED175D">
        <w:rPr>
          <w:rFonts w:cs="Times New Roman" w:eastAsia="Calibri"/>
          <w:kern w:val="2"/>
          <w:lang w:eastAsia="ar-SA"/>
        </w:rPr>
        <w:t>Također je izrađen  žig te je izvršeno zatvaranje žiro računa prednika stečajnog dužnika i otvoren novi žiro račun društva u stečaju.</w:t>
      </w:r>
    </w:p>
    <w:p w:rsidRDefault="00ED175D" w:rsidP="00ED175D" w:rsidR="00ED175D" w:rsidRPr="00ED175D">
      <w:pPr>
        <w:suppressAutoHyphens/>
        <w:spacing w:lineRule="atLeast" w:line="100" w:after="80"/>
        <w:rPr>
          <w:rFonts w:cs="Times New Roman" w:eastAsia="Calibri"/>
          <w:kern w:val="2"/>
          <w:lang w:eastAsia="ar-SA"/>
        </w:rPr>
      </w:pPr>
      <w:r w:rsidRPr="00ED175D">
        <w:rPr>
          <w:rFonts w:cs="Times New Roman" w:eastAsia="Calibri"/>
          <w:kern w:val="2"/>
          <w:lang w:eastAsia="ar-SA"/>
        </w:rPr>
        <w:t>Poduzete su i ostale propisane radnje u stečajnom postupku (dostava ovjerenog potpisa u sudski registar, prijava Hrvatskom zavodu za statistiku i sl.).</w:t>
      </w:r>
    </w:p>
    <w:p w:rsidRDefault="00ED175D" w:rsidP="00ED175D" w:rsidR="00ED175D" w:rsidRPr="00ED175D">
      <w:pPr>
        <w:suppressAutoHyphens/>
        <w:spacing w:lineRule="atLeast" w:line="100" w:after="80"/>
        <w:rPr>
          <w:rFonts w:cs="Times New Roman" w:eastAsia="Calibri"/>
          <w:kern w:val="2"/>
          <w:lang w:eastAsia="ar-SA"/>
        </w:rPr>
      </w:pPr>
      <w:r w:rsidRPr="00ED175D">
        <w:rPr>
          <w:rFonts w:cs="Times New Roman" w:eastAsia="Calibri"/>
          <w:kern w:val="2"/>
          <w:lang w:eastAsia="ar-SA"/>
        </w:rPr>
        <w:lastRenderedPageBreak/>
        <w:t>Izrađena je i dostavljena zakonom propisana dokumentacija u stečajnom postupku.</w:t>
      </w:r>
    </w:p>
    <w:p w:rsidRDefault="00ED175D" w:rsidP="00ED175D" w:rsidR="00ED175D" w:rsidRPr="00ED175D">
      <w:pPr>
        <w:suppressAutoHyphens/>
        <w:spacing w:lineRule="atLeast" w:line="100" w:after="80"/>
        <w:rPr>
          <w:rFonts w:cs="Times New Roman" w:eastAsia="Calibri"/>
          <w:kern w:val="2"/>
          <w:lang w:eastAsia="ar-SA"/>
        </w:rPr>
      </w:pPr>
    </w:p>
    <w:p w:rsidRDefault="00ED175D" w:rsidP="00ED175D" w:rsidR="00ED175D" w:rsidRPr="00ED175D">
      <w:pPr>
        <w:suppressAutoHyphens/>
        <w:spacing w:lineRule="atLeast" w:line="100" w:after="80"/>
        <w:rPr>
          <w:rFonts w:cs="Times New Roman" w:eastAsia="Calibri"/>
          <w:kern w:val="2"/>
          <w:lang w:eastAsia="ar-SA"/>
        </w:rPr>
      </w:pPr>
      <w:r w:rsidRPr="00ED175D">
        <w:rPr>
          <w:rFonts w:cs="Times New Roman" w:eastAsia="Calibri"/>
          <w:kern w:val="2"/>
          <w:lang w:eastAsia="ar-SA"/>
        </w:rPr>
        <w:t xml:space="preserve">Uspostavljeno je ispravno knjižno stanje u poslovnim knjigama stečajnog dužnika, a što je, zbog zatečenog stanja poslovnih knjiga </w:t>
      </w:r>
      <w:proofErr w:type="spellStart"/>
      <w:r w:rsidRPr="00ED175D">
        <w:rPr>
          <w:rFonts w:cs="Times New Roman" w:eastAsia="Calibri"/>
          <w:kern w:val="2"/>
          <w:lang w:eastAsia="ar-SA"/>
        </w:rPr>
        <w:t>zahtjevalo</w:t>
      </w:r>
      <w:proofErr w:type="spellEnd"/>
      <w:r w:rsidRPr="00ED175D">
        <w:rPr>
          <w:rFonts w:cs="Times New Roman" w:eastAsia="Calibri"/>
          <w:kern w:val="2"/>
          <w:lang w:eastAsia="ar-SA"/>
        </w:rPr>
        <w:t xml:space="preserve">:  završna knjiženja i završni račun za 2014. godinu te knjiženja sve dostupne dokumentacije, kao i  prikupljanje i knjiženje dokumentacije koja nije bila u posjedu stečajnog dužnika iz dugih izvora, sve za razdoblje 2015. i 2016. godine (do otvaranja stečajnog postupka), te izradu završnih računa za 2015. godinu i za razdoblje do otvaranja stečajnog postupka. </w:t>
      </w:r>
    </w:p>
    <w:p w:rsidRDefault="00ED175D" w:rsidP="00ED175D" w:rsidR="00ED175D" w:rsidRPr="00ED175D">
      <w:pPr>
        <w:suppressAutoHyphens/>
        <w:spacing w:lineRule="atLeast" w:line="100" w:after="80"/>
        <w:rPr>
          <w:rFonts w:cs="Times New Roman" w:eastAsia="Calibri" w:hAnsi="Calibri" w:ascii="Calibri"/>
          <w:kern w:val="2"/>
          <w:sz w:val="22"/>
          <w:szCs w:val="22"/>
          <w:lang w:eastAsia="ar-SA"/>
        </w:rPr>
      </w:pPr>
      <w:r w:rsidRPr="00ED175D">
        <w:rPr>
          <w:rFonts w:cs="Times New Roman" w:eastAsia="Calibri"/>
          <w:kern w:val="2"/>
          <w:lang w:eastAsia="ar-SA"/>
        </w:rPr>
        <w:t>Također je uspostavljeno te se provodi redovno knjiženje i izvještavanja u stečajnom postupku u skladu sa zakonom</w:t>
      </w:r>
    </w:p>
    <w:p w:rsidRDefault="00ED175D" w:rsidP="00ED175D" w:rsidR="00ED175D" w:rsidRPr="00ED175D">
      <w:pPr>
        <w:suppressAutoHyphens/>
        <w:spacing w:lineRule="atLeast" w:line="100" w:after="80"/>
        <w:rPr>
          <w:rFonts w:cs="Times New Roman" w:eastAsia="Calibri" w:hAnsi="Calibri" w:ascii="Calibri"/>
          <w:kern w:val="2"/>
          <w:sz w:val="22"/>
          <w:szCs w:val="22"/>
          <w:lang w:eastAsia="ar-SA"/>
        </w:rPr>
      </w:pPr>
    </w:p>
    <w:p w:rsidRDefault="00ED175D" w:rsidP="00ED175D" w:rsidR="00ED175D" w:rsidRPr="00ED175D">
      <w:pPr>
        <w:suppressAutoHyphens/>
        <w:spacing w:lineRule="atLeast" w:line="100" w:after="80"/>
        <w:rPr>
          <w:rFonts w:cs="Times New Roman" w:eastAsia="Calibri"/>
          <w:kern w:val="2"/>
          <w:lang w:eastAsia="ar-SA"/>
        </w:rPr>
      </w:pPr>
      <w:r w:rsidRPr="00ED175D">
        <w:rPr>
          <w:rFonts w:cs="Times New Roman" w:eastAsia="Calibri"/>
          <w:kern w:val="2"/>
          <w:lang w:eastAsia="ar-SA"/>
        </w:rPr>
        <w:t xml:space="preserve">Ovršni postupak koji se vodio kod Općinskog suda u Bjelovaru pod brojem </w:t>
      </w:r>
      <w:proofErr w:type="spellStart"/>
      <w:r w:rsidRPr="00ED175D">
        <w:rPr>
          <w:rFonts w:cs="Times New Roman" w:eastAsia="Calibri"/>
          <w:kern w:val="2"/>
          <w:lang w:eastAsia="ar-SA"/>
        </w:rPr>
        <w:t>Ovr</w:t>
      </w:r>
      <w:proofErr w:type="spellEnd"/>
      <w:r w:rsidRPr="00ED175D">
        <w:rPr>
          <w:rFonts w:cs="Times New Roman" w:eastAsia="Calibri"/>
          <w:kern w:val="2"/>
          <w:lang w:eastAsia="ar-SA"/>
        </w:rPr>
        <w:t xml:space="preserve">-751/16, radi ovrhe na nekretninama, ovrhovoditelja Zagrebačka banka d.d., a koji je postupak prekinut rješenjem od 29.11.2016., kojim rješenjem se Općinski sud proglasio nenadležnim te ustupio predmet na postupanje Trgovačkom sudu u Bjelovaru, nastavljen je na Trgovačkom sudu pod brojem </w:t>
      </w:r>
      <w:proofErr w:type="spellStart"/>
      <w:r w:rsidRPr="00ED175D">
        <w:rPr>
          <w:rFonts w:cs="Times New Roman" w:eastAsia="Calibri"/>
          <w:kern w:val="2"/>
          <w:lang w:eastAsia="ar-SA"/>
        </w:rPr>
        <w:t>Ovr</w:t>
      </w:r>
      <w:proofErr w:type="spellEnd"/>
      <w:r w:rsidRPr="00ED175D">
        <w:rPr>
          <w:rFonts w:cs="Times New Roman" w:eastAsia="Calibri"/>
          <w:kern w:val="2"/>
          <w:lang w:eastAsia="ar-SA"/>
        </w:rPr>
        <w:t>-5/2017, u kojem postupku je određeno da će se postupak prodaje nastaviti u stečajnom postupku.</w:t>
      </w:r>
    </w:p>
    <w:p w:rsidRDefault="00ED175D" w:rsidP="00ED175D" w:rsidR="00ED175D" w:rsidRPr="00ED175D">
      <w:pPr>
        <w:suppressAutoHyphens/>
        <w:spacing w:lineRule="atLeast" w:line="100" w:after="80"/>
        <w:rPr>
          <w:rFonts w:cs="Times New Roman" w:eastAsia="Calibri"/>
          <w:kern w:val="2"/>
          <w:lang w:eastAsia="ar-SA"/>
        </w:rPr>
      </w:pPr>
      <w:r w:rsidRPr="00ED175D">
        <w:rPr>
          <w:rFonts w:cs="Times New Roman" w:eastAsia="Calibri"/>
          <w:kern w:val="2"/>
          <w:lang w:eastAsia="ar-SA"/>
        </w:rPr>
        <w:t>U stečajnom postupku doneseno je rješenje o prodaji te je održano ročište radi utvrđenja vrijednosti nekretnine. Očekuju se donošenje zaključka o prodaji.</w:t>
      </w:r>
    </w:p>
    <w:p w:rsidRDefault="00ED175D" w:rsidP="00ED175D" w:rsidR="00ED175D" w:rsidRPr="00ED175D">
      <w:pPr>
        <w:suppressAutoHyphens/>
        <w:spacing w:lineRule="atLeast" w:line="100" w:after="80"/>
        <w:rPr>
          <w:rFonts w:cs="Times New Roman" w:eastAsia="Calibri"/>
          <w:kern w:val="2"/>
          <w:lang w:eastAsia="ar-SA"/>
        </w:rPr>
      </w:pPr>
    </w:p>
    <w:p w:rsidRDefault="00ED175D" w:rsidP="00ED175D" w:rsidR="00ED175D" w:rsidRPr="00ED175D">
      <w:pPr>
        <w:suppressAutoHyphens/>
        <w:spacing w:lineRule="atLeast" w:line="100" w:after="80"/>
        <w:rPr>
          <w:rFonts w:cs="Times New Roman" w:eastAsia="Calibri"/>
          <w:kern w:val="2"/>
          <w:lang w:eastAsia="ar-SA"/>
        </w:rPr>
      </w:pPr>
      <w:r w:rsidRPr="00ED175D">
        <w:rPr>
          <w:rFonts w:cs="Times New Roman" w:eastAsia="Calibri"/>
          <w:kern w:val="2"/>
          <w:lang w:eastAsia="ar-SA"/>
        </w:rPr>
        <w:t xml:space="preserve">Dužnik nema radnika. </w:t>
      </w:r>
    </w:p>
    <w:p w:rsidRDefault="00ED175D" w:rsidP="00ED175D" w:rsidR="00ED175D" w:rsidRPr="00ED175D">
      <w:pPr>
        <w:suppressAutoHyphens/>
        <w:spacing w:lineRule="atLeast" w:line="100" w:after="80"/>
        <w:rPr>
          <w:rFonts w:cs="Times New Roman" w:eastAsia="Calibri"/>
          <w:kern w:val="2"/>
          <w:lang w:eastAsia="ar-SA"/>
        </w:rPr>
      </w:pPr>
      <w:r w:rsidRPr="00ED175D">
        <w:rPr>
          <w:rFonts w:cs="Times New Roman" w:eastAsia="Calibri"/>
          <w:kern w:val="2"/>
          <w:lang w:eastAsia="ar-SA"/>
        </w:rPr>
        <w:t>Dužnik nema mogućnosti nastavka poslovanja niti je moguća izrada stečajnog plana.</w:t>
      </w:r>
    </w:p>
    <w:p w:rsidRDefault="00ED175D" w:rsidP="00ED175D" w:rsidR="00ED175D" w:rsidRPr="00ED175D">
      <w:pPr>
        <w:suppressAutoHyphens/>
        <w:spacing w:lineRule="atLeast" w:line="100" w:after="80"/>
        <w:rPr>
          <w:rFonts w:cs="Times New Roman" w:eastAsia="Calibri" w:hAnsi="Calibri" w:ascii="Calibri"/>
          <w:kern w:val="2"/>
          <w:sz w:val="22"/>
          <w:szCs w:val="22"/>
          <w:lang w:eastAsia="ar-SA"/>
        </w:rPr>
      </w:pPr>
      <w:r w:rsidRPr="00ED175D">
        <w:rPr>
          <w:rFonts w:cs="Times New Roman" w:eastAsia="Calibri"/>
          <w:kern w:val="2"/>
          <w:lang w:eastAsia="ar-SA"/>
        </w:rPr>
        <w:t>Stečaj će biti zaključen kada se unovči imovina.</w:t>
      </w:r>
    </w:p>
    <w:p w:rsidRDefault="00ED175D" w:rsidP="00ED175D" w:rsidR="00ED175D" w:rsidRPr="00ED175D">
      <w:pPr>
        <w:suppressAutoHyphens/>
        <w:spacing w:lineRule="atLeast" w:line="100" w:after="80"/>
        <w:rPr>
          <w:rFonts w:cs="Times New Roman" w:eastAsia="Calibri" w:hAnsi="Calibri" w:ascii="Calibri"/>
          <w:kern w:val="2"/>
          <w:sz w:val="22"/>
          <w:szCs w:val="22"/>
          <w:lang w:eastAsia="ar-SA"/>
        </w:rPr>
      </w:pPr>
    </w:p>
    <w:p w:rsidRDefault="00ED175D" w:rsidP="00ED175D" w:rsidR="00ED175D" w:rsidRPr="00ED175D">
      <w:pPr>
        <w:suppressAutoHyphens/>
        <w:spacing w:lineRule="atLeast" w:line="100" w:after="80"/>
        <w:rPr>
          <w:rFonts w:cs="Times New Roman" w:eastAsia="Calibri"/>
          <w:kern w:val="2"/>
          <w:lang w:eastAsia="ar-SA" w:val="pl-PL"/>
        </w:rPr>
      </w:pPr>
    </w:p>
    <w:p w:rsidRDefault="00ED175D" w:rsidP="00ED175D" w:rsidR="00ED175D" w:rsidRPr="00ED175D">
      <w:pPr>
        <w:suppressAutoHyphens/>
        <w:spacing w:lineRule="atLeast" w:line="100" w:after="80"/>
        <w:rPr>
          <w:rFonts w:cs="Times New Roman" w:eastAsia="Calibri"/>
          <w:kern w:val="2"/>
          <w:lang w:eastAsia="ar-SA" w:val="pl-PL"/>
        </w:rPr>
      </w:pPr>
    </w:p>
    <w:p w:rsidRDefault="00ED175D" w:rsidP="00ED175D" w:rsidR="00ED175D" w:rsidRPr="00ED175D">
      <w:pPr>
        <w:suppressAutoHyphens/>
        <w:spacing w:lineRule="atLeast" w:line="100" w:after="80"/>
        <w:rPr>
          <w:rFonts w:cs="Times New Roman" w:eastAsia="Calibri"/>
          <w:kern w:val="2"/>
          <w:lang w:eastAsia="ar-SA" w:val="pl-PL"/>
        </w:rPr>
      </w:pPr>
      <w:r w:rsidRPr="00ED175D">
        <w:rPr>
          <w:rFonts w:cs="Times New Roman" w:eastAsia="Calibri"/>
          <w:kern w:val="2"/>
          <w:lang w:eastAsia="ar-SA" w:val="pl-PL"/>
        </w:rPr>
        <w:t>II. STANJE STEČAJNE MASE</w:t>
      </w:r>
    </w:p>
    <w:p w:rsidRDefault="00ED175D" w:rsidP="00ED175D" w:rsidR="00ED175D" w:rsidRPr="00ED175D">
      <w:pPr>
        <w:numPr>
          <w:ilvl w:val="0"/>
          <w:numId w:val="47"/>
        </w:numPr>
        <w:suppressAutoHyphens/>
        <w:spacing w:lineRule="atLeast" w:line="100" w:after="80"/>
        <w:jc w:val="both"/>
        <w:rPr>
          <w:rFonts w:cs="Times New Roman" w:eastAsia="Calibri"/>
          <w:kern w:val="2"/>
          <w:lang w:eastAsia="ar-SA" w:val="pl-PL"/>
        </w:rPr>
      </w:pPr>
      <w:r w:rsidRPr="00ED175D">
        <w:rPr>
          <w:rFonts w:cs="Times New Roman" w:eastAsia="Calibri"/>
          <w:kern w:val="2"/>
          <w:lang w:eastAsia="ar-SA" w:val="pl-PL"/>
        </w:rPr>
        <w:t>dati sustavan pregled predmeta stečajne mase s početka razdoblja izvješća prema članku 223. Stečajnog zakona</w:t>
      </w:r>
    </w:p>
    <w:p w:rsidRDefault="00ED175D" w:rsidP="00ED175D" w:rsidR="00ED175D" w:rsidRPr="00ED175D">
      <w:pPr>
        <w:suppressAutoHyphens/>
        <w:spacing w:lineRule="atLeast" w:line="100" w:after="80"/>
        <w:jc w:val="both"/>
        <w:rPr>
          <w:rFonts w:cs="Times New Roman" w:eastAsia="Calibri"/>
          <w:kern w:val="2"/>
          <w:lang w:eastAsia="ar-SA" w:val="pl-PL"/>
        </w:rPr>
      </w:pPr>
    </w:p>
    <w:p w:rsidRDefault="00ED175D" w:rsidP="00ED175D" w:rsidR="00ED175D" w:rsidRPr="00ED175D">
      <w:pPr>
        <w:suppressAutoHyphens/>
        <w:spacing w:lineRule="atLeast" w:line="100" w:after="80"/>
        <w:jc w:val="both"/>
        <w:rPr>
          <w:rFonts w:cs="Times New Roman" w:eastAsia="Calibri"/>
          <w:kern w:val="2"/>
          <w:lang w:eastAsia="ar-SA" w:val="pl-PL"/>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25"/>
        <w:gridCol w:w="5009"/>
        <w:gridCol w:w="1975"/>
        <w:gridCol w:w="1679"/>
      </w:tblGrid>
      <w:tr w:rsidTr="00ED175D" w:rsidR="00ED175D" w:rsidRPr="00ED175D">
        <w:tc>
          <w:tcPr>
            <w:tcW w:type="dxa" w:w="625"/>
            <w:tcBorders>
              <w:top w:space="0" w:sz="4" w:color="auto" w:val="single"/>
              <w:left w:space="0" w:sz="4" w:color="auto" w:val="single"/>
              <w:bottom w:space="0" w:sz="4" w:color="auto" w:val="single"/>
              <w:right w:space="0" w:sz="4" w:color="auto" w:val="single"/>
            </w:tcBorders>
            <w:vAlign w:val="center"/>
            <w:hideMark/>
          </w:tcPr>
          <w:p w:rsidRDefault="00ED175D" w:rsidP="00ED175D" w:rsidR="00ED175D" w:rsidRPr="00ED175D">
            <w:pPr>
              <w:suppressAutoHyphens/>
              <w:spacing w:lineRule="atLeast" w:line="100" w:after="80"/>
              <w:jc w:val="center"/>
              <w:rPr>
                <w:rFonts w:cs="Times New Roman" w:eastAsia="Calibri"/>
                <w:b/>
                <w:kern w:val="2"/>
                <w:sz w:val="20"/>
                <w:szCs w:val="20"/>
                <w:lang w:eastAsia="ar-SA" w:val="pl-PL"/>
              </w:rPr>
            </w:pPr>
            <w:r w:rsidRPr="00ED175D">
              <w:rPr>
                <w:rFonts w:cs="Times New Roman" w:eastAsia="Calibri"/>
                <w:b/>
                <w:kern w:val="2"/>
                <w:sz w:val="20"/>
                <w:szCs w:val="20"/>
                <w:lang w:eastAsia="ar-SA" w:val="pl-PL"/>
              </w:rPr>
              <w:t>R. br.</w:t>
            </w:r>
          </w:p>
        </w:tc>
        <w:tc>
          <w:tcPr>
            <w:tcW w:type="dxa" w:w="5009"/>
            <w:tcBorders>
              <w:top w:space="0" w:sz="4" w:color="auto" w:val="single"/>
              <w:left w:space="0" w:sz="4" w:color="auto" w:val="single"/>
              <w:bottom w:space="0" w:sz="4" w:color="auto" w:val="single"/>
              <w:right w:space="0" w:sz="4" w:color="auto" w:val="single"/>
            </w:tcBorders>
            <w:vAlign w:val="center"/>
            <w:hideMark/>
          </w:tcPr>
          <w:p w:rsidRDefault="00ED175D" w:rsidP="00ED175D" w:rsidR="00ED175D" w:rsidRPr="00ED175D">
            <w:pPr>
              <w:suppressAutoHyphens/>
              <w:spacing w:lineRule="atLeast" w:line="100" w:after="80"/>
              <w:jc w:val="center"/>
              <w:rPr>
                <w:rFonts w:cs="Times New Roman" w:eastAsia="Calibri"/>
                <w:b/>
                <w:kern w:val="2"/>
                <w:sz w:val="20"/>
                <w:szCs w:val="20"/>
                <w:lang w:eastAsia="ar-SA" w:val="pl-PL"/>
              </w:rPr>
            </w:pPr>
            <w:r w:rsidRPr="00ED175D">
              <w:rPr>
                <w:rFonts w:cs="Times New Roman" w:eastAsia="Calibri"/>
                <w:b/>
                <w:kern w:val="2"/>
                <w:sz w:val="20"/>
                <w:szCs w:val="20"/>
                <w:lang w:eastAsia="ar-SA" w:val="pl-PL"/>
              </w:rPr>
              <w:t>Naziv</w:t>
            </w:r>
          </w:p>
        </w:tc>
        <w:tc>
          <w:tcPr>
            <w:tcW w:type="dxa" w:w="1975"/>
            <w:tcBorders>
              <w:top w:space="0" w:sz="4" w:color="auto" w:val="single"/>
              <w:left w:space="0" w:sz="4" w:color="auto" w:val="single"/>
              <w:bottom w:space="0" w:sz="4" w:color="auto" w:val="single"/>
              <w:right w:space="0" w:sz="4" w:color="auto" w:val="single"/>
            </w:tcBorders>
            <w:vAlign w:val="center"/>
            <w:hideMark/>
          </w:tcPr>
          <w:p w:rsidRDefault="00ED175D" w:rsidP="00ED175D" w:rsidR="00ED175D" w:rsidRPr="00ED175D">
            <w:pPr>
              <w:suppressAutoHyphens/>
              <w:spacing w:lineRule="atLeast" w:line="100" w:after="80"/>
              <w:jc w:val="center"/>
              <w:rPr>
                <w:rFonts w:cs="Times New Roman" w:eastAsia="Calibri"/>
                <w:b/>
                <w:kern w:val="2"/>
                <w:sz w:val="20"/>
                <w:szCs w:val="20"/>
                <w:lang w:eastAsia="ar-SA" w:val="pl-PL"/>
              </w:rPr>
            </w:pPr>
            <w:r w:rsidRPr="00ED175D">
              <w:rPr>
                <w:rFonts w:cs="Times New Roman" w:eastAsia="Calibri"/>
                <w:b/>
                <w:kern w:val="2"/>
                <w:sz w:val="20"/>
                <w:szCs w:val="20"/>
                <w:lang w:eastAsia="ar-SA" w:val="pl-PL"/>
              </w:rPr>
              <w:t>Procij. vrij. (kn)</w:t>
            </w:r>
          </w:p>
          <w:p w:rsidRDefault="00ED175D" w:rsidP="00ED175D" w:rsidR="00ED175D" w:rsidRPr="00ED175D">
            <w:pPr>
              <w:suppressAutoHyphens/>
              <w:spacing w:lineRule="atLeast" w:line="100" w:after="80"/>
              <w:jc w:val="center"/>
              <w:rPr>
                <w:rFonts w:cs="Times New Roman" w:eastAsia="Calibri"/>
                <w:b/>
                <w:kern w:val="2"/>
                <w:sz w:val="20"/>
                <w:szCs w:val="20"/>
                <w:lang w:eastAsia="ar-SA" w:val="pl-PL"/>
              </w:rPr>
            </w:pPr>
            <w:r w:rsidRPr="00ED175D">
              <w:rPr>
                <w:rFonts w:cs="Times New Roman" w:eastAsia="Calibri"/>
                <w:b/>
                <w:kern w:val="2"/>
                <w:sz w:val="20"/>
                <w:szCs w:val="20"/>
                <w:lang w:eastAsia="ar-SA" w:val="pl-PL"/>
              </w:rPr>
              <w:t>Stanje u tablici (čl. 223 SZ)</w:t>
            </w:r>
          </w:p>
        </w:tc>
        <w:tc>
          <w:tcPr>
            <w:tcW w:type="dxa" w:w="1679"/>
            <w:tcBorders>
              <w:top w:space="0" w:sz="4" w:color="auto" w:val="single"/>
              <w:left w:space="0" w:sz="4" w:color="auto" w:val="single"/>
              <w:bottom w:space="0" w:sz="4" w:color="auto" w:val="single"/>
              <w:right w:space="0" w:sz="4" w:color="auto" w:val="single"/>
            </w:tcBorders>
            <w:vAlign w:val="center"/>
            <w:hideMark/>
          </w:tcPr>
          <w:p w:rsidRDefault="00ED175D" w:rsidP="00ED175D" w:rsidR="00ED175D" w:rsidRPr="00ED175D">
            <w:pPr>
              <w:suppressAutoHyphens/>
              <w:spacing w:lineRule="atLeast" w:line="100" w:after="80"/>
              <w:jc w:val="center"/>
              <w:rPr>
                <w:rFonts w:cs="Times New Roman" w:eastAsia="Calibri"/>
                <w:b/>
                <w:kern w:val="2"/>
                <w:sz w:val="20"/>
                <w:szCs w:val="20"/>
                <w:lang w:eastAsia="ar-SA" w:val="pl-PL"/>
              </w:rPr>
            </w:pPr>
            <w:r w:rsidRPr="00ED175D">
              <w:rPr>
                <w:rFonts w:cs="Times New Roman" w:eastAsia="Calibri"/>
                <w:b/>
                <w:kern w:val="2"/>
                <w:sz w:val="20"/>
                <w:szCs w:val="20"/>
                <w:lang w:eastAsia="ar-SA" w:val="pl-PL"/>
              </w:rPr>
              <w:t>Procijenjena vrijednost</w:t>
            </w:r>
          </w:p>
          <w:p w:rsidRDefault="00ED175D" w:rsidP="00ED175D" w:rsidR="00ED175D" w:rsidRPr="00ED175D">
            <w:pPr>
              <w:suppressAutoHyphens/>
              <w:spacing w:lineRule="atLeast" w:line="100" w:after="80"/>
              <w:jc w:val="center"/>
              <w:rPr>
                <w:rFonts w:cs="Times New Roman" w:eastAsia="Calibri"/>
                <w:b/>
                <w:kern w:val="2"/>
                <w:sz w:val="20"/>
                <w:szCs w:val="20"/>
                <w:lang w:eastAsia="ar-SA" w:val="pl-PL"/>
              </w:rPr>
            </w:pPr>
            <w:r w:rsidRPr="00ED175D">
              <w:rPr>
                <w:rFonts w:cs="Times New Roman" w:eastAsia="Calibri"/>
                <w:b/>
                <w:kern w:val="2"/>
                <w:sz w:val="20"/>
                <w:szCs w:val="20"/>
                <w:lang w:eastAsia="ar-SA" w:val="pl-PL"/>
              </w:rPr>
              <w:t>Nekretnine prema procjeni vještaka- Potraživanje stanje nakon otpisa</w:t>
            </w:r>
          </w:p>
        </w:tc>
      </w:tr>
      <w:tr w:rsidTr="00ED175D" w:rsidR="00ED175D" w:rsidRPr="00ED175D">
        <w:tc>
          <w:tcPr>
            <w:tcW w:type="dxa" w:w="625"/>
            <w:tcBorders>
              <w:top w:space="0" w:sz="4" w:color="auto" w:val="single"/>
              <w:left w:space="0" w:sz="4" w:color="auto" w:val="single"/>
              <w:bottom w:space="0" w:sz="4" w:color="auto" w:val="single"/>
              <w:right w:space="0" w:sz="4" w:color="auto" w:val="single"/>
            </w:tcBorders>
            <w:hideMark/>
          </w:tcPr>
          <w:p w:rsidRDefault="00ED175D" w:rsidP="00ED175D" w:rsidR="00ED175D" w:rsidRPr="00ED175D">
            <w:pPr>
              <w:suppressAutoHyphens/>
              <w:spacing w:lineRule="atLeast" w:line="100" w:after="80"/>
              <w:jc w:val="center"/>
              <w:rPr>
                <w:rFonts w:cs="Times New Roman" w:eastAsia="Calibri"/>
                <w:kern w:val="2"/>
                <w:sz w:val="20"/>
                <w:szCs w:val="20"/>
                <w:lang w:eastAsia="ar-SA" w:val="pl-PL"/>
              </w:rPr>
            </w:pPr>
            <w:r w:rsidRPr="00ED175D">
              <w:rPr>
                <w:rFonts w:cs="Times New Roman" w:eastAsia="Calibri"/>
                <w:kern w:val="2"/>
                <w:sz w:val="20"/>
                <w:szCs w:val="20"/>
                <w:lang w:eastAsia="ar-SA" w:val="pl-PL"/>
              </w:rPr>
              <w:t>1.</w:t>
            </w:r>
          </w:p>
        </w:tc>
        <w:tc>
          <w:tcPr>
            <w:tcW w:type="dxa" w:w="5009"/>
            <w:tcBorders>
              <w:top w:space="0" w:sz="4" w:color="auto" w:val="single"/>
              <w:left w:space="0" w:sz="4" w:color="auto" w:val="single"/>
              <w:bottom w:space="0" w:sz="4" w:color="auto" w:val="single"/>
              <w:right w:space="0" w:sz="4" w:color="auto" w:val="single"/>
            </w:tcBorders>
            <w:hideMark/>
          </w:tcPr>
          <w:p w:rsidRDefault="00ED175D" w:rsidP="00ED175D" w:rsidR="00ED175D" w:rsidRPr="00ED175D">
            <w:pPr>
              <w:suppressAutoHyphens/>
              <w:spacing w:lineRule="atLeast" w:line="100" w:after="80"/>
              <w:jc w:val="both"/>
              <w:rPr>
                <w:rFonts w:cs="Times New Roman" w:eastAsia="Calibri"/>
                <w:kern w:val="2"/>
                <w:sz w:val="20"/>
                <w:szCs w:val="20"/>
                <w:lang w:eastAsia="ar-SA" w:val="pl-PL"/>
              </w:rPr>
            </w:pPr>
            <w:r w:rsidRPr="00ED175D">
              <w:rPr>
                <w:rFonts w:cs="Times New Roman" w:eastAsia="Calibri"/>
                <w:kern w:val="2"/>
                <w:sz w:val="20"/>
                <w:szCs w:val="20"/>
                <w:lang w:eastAsia="ar-SA" w:val="pl-PL"/>
              </w:rPr>
              <w:t>Suvlasnički dio nekretnine upisane u z.k.ul. br. 1073, Etažno vlasništvo (E1)- Poslovni prostor površine 61,63 m2</w:t>
            </w:r>
          </w:p>
        </w:tc>
        <w:tc>
          <w:tcPr>
            <w:tcW w:type="dxa" w:w="1975"/>
            <w:tcBorders>
              <w:top w:space="0" w:sz="4" w:color="auto" w:val="single"/>
              <w:left w:space="0" w:sz="4" w:color="auto" w:val="single"/>
              <w:bottom w:space="0" w:sz="4" w:color="auto" w:val="single"/>
              <w:right w:space="0" w:sz="4" w:color="auto" w:val="single"/>
            </w:tcBorders>
            <w:hideMark/>
          </w:tcPr>
          <w:p w:rsidRDefault="00ED175D" w:rsidP="00ED175D" w:rsidR="00ED175D" w:rsidRPr="00ED175D">
            <w:pPr>
              <w:suppressAutoHyphens/>
              <w:spacing w:lineRule="atLeast" w:line="100" w:after="80"/>
              <w:jc w:val="right"/>
              <w:rPr>
                <w:rFonts w:cs="Times New Roman" w:eastAsia="Calibri"/>
                <w:kern w:val="2"/>
                <w:sz w:val="20"/>
                <w:szCs w:val="20"/>
                <w:lang w:eastAsia="ar-SA" w:val="pl-PL"/>
              </w:rPr>
            </w:pPr>
            <w:r w:rsidRPr="00ED175D">
              <w:rPr>
                <w:rFonts w:cs="Times New Roman" w:eastAsia="Calibri"/>
                <w:kern w:val="2"/>
                <w:sz w:val="20"/>
                <w:szCs w:val="20"/>
                <w:lang w:eastAsia="ar-SA" w:val="pl-PL"/>
              </w:rPr>
              <w:t>655.143,90</w:t>
            </w:r>
          </w:p>
        </w:tc>
        <w:tc>
          <w:tcPr>
            <w:tcW w:type="dxa" w:w="1679"/>
            <w:tcBorders>
              <w:top w:space="0" w:sz="4" w:color="auto" w:val="single"/>
              <w:left w:space="0" w:sz="4" w:color="auto" w:val="single"/>
              <w:bottom w:space="0" w:sz="4" w:color="auto" w:val="single"/>
              <w:right w:space="0" w:sz="4" w:color="auto" w:val="single"/>
            </w:tcBorders>
            <w:hideMark/>
          </w:tcPr>
          <w:p w:rsidRDefault="00ED175D" w:rsidP="00ED175D" w:rsidR="00ED175D" w:rsidRPr="00ED175D">
            <w:pPr>
              <w:suppressAutoHyphens/>
              <w:spacing w:lineRule="atLeast" w:line="100" w:after="80"/>
              <w:jc w:val="right"/>
              <w:rPr>
                <w:rFonts w:cs="Times New Roman" w:eastAsia="Calibri"/>
                <w:kern w:val="2"/>
                <w:sz w:val="20"/>
                <w:szCs w:val="20"/>
                <w:lang w:eastAsia="ar-SA" w:val="pl-PL"/>
              </w:rPr>
            </w:pPr>
            <w:r w:rsidRPr="00ED175D">
              <w:rPr>
                <w:rFonts w:cs="Times New Roman" w:eastAsia="Calibri"/>
                <w:kern w:val="2"/>
                <w:sz w:val="20"/>
                <w:szCs w:val="20"/>
                <w:lang w:eastAsia="ar-SA" w:val="pl-PL"/>
              </w:rPr>
              <w:t>409.836,46</w:t>
            </w:r>
          </w:p>
        </w:tc>
      </w:tr>
      <w:tr w:rsidTr="00ED175D" w:rsidR="00ED175D" w:rsidRPr="00ED175D">
        <w:tc>
          <w:tcPr>
            <w:tcW w:type="dxa" w:w="625"/>
            <w:tcBorders>
              <w:top w:space="0" w:sz="4" w:color="auto" w:val="single"/>
              <w:left w:space="0" w:sz="4" w:color="auto" w:val="single"/>
              <w:bottom w:space="0" w:sz="4" w:color="auto" w:val="single"/>
              <w:right w:space="0" w:sz="4" w:color="auto" w:val="single"/>
            </w:tcBorders>
            <w:hideMark/>
          </w:tcPr>
          <w:p w:rsidRDefault="00ED175D" w:rsidP="00ED175D" w:rsidR="00ED175D" w:rsidRPr="00ED175D">
            <w:pPr>
              <w:suppressAutoHyphens/>
              <w:spacing w:lineRule="atLeast" w:line="100" w:after="80"/>
              <w:jc w:val="center"/>
              <w:rPr>
                <w:rFonts w:cs="Times New Roman" w:eastAsia="Calibri"/>
                <w:kern w:val="2"/>
                <w:sz w:val="20"/>
                <w:szCs w:val="20"/>
                <w:lang w:eastAsia="ar-SA" w:val="pl-PL"/>
              </w:rPr>
            </w:pPr>
            <w:r w:rsidRPr="00ED175D">
              <w:rPr>
                <w:rFonts w:cs="Times New Roman" w:eastAsia="Calibri"/>
                <w:kern w:val="2"/>
                <w:sz w:val="20"/>
                <w:szCs w:val="20"/>
                <w:lang w:eastAsia="ar-SA" w:val="pl-PL"/>
              </w:rPr>
              <w:t>2.</w:t>
            </w:r>
          </w:p>
        </w:tc>
        <w:tc>
          <w:tcPr>
            <w:tcW w:type="dxa" w:w="5009"/>
            <w:tcBorders>
              <w:top w:space="0" w:sz="4" w:color="auto" w:val="single"/>
              <w:left w:space="0" w:sz="4" w:color="auto" w:val="single"/>
              <w:bottom w:space="0" w:sz="4" w:color="auto" w:val="single"/>
              <w:right w:space="0" w:sz="4" w:color="auto" w:val="single"/>
            </w:tcBorders>
            <w:hideMark/>
          </w:tcPr>
          <w:p w:rsidRDefault="00ED175D" w:rsidP="00ED175D" w:rsidR="00ED175D" w:rsidRPr="00ED175D">
            <w:pPr>
              <w:suppressAutoHyphens/>
              <w:spacing w:lineRule="atLeast" w:line="100" w:after="80"/>
              <w:jc w:val="both"/>
              <w:rPr>
                <w:rFonts w:cs="Times New Roman" w:eastAsia="Calibri"/>
                <w:kern w:val="2"/>
                <w:sz w:val="20"/>
                <w:szCs w:val="20"/>
                <w:lang w:eastAsia="ar-SA" w:val="pl-PL"/>
              </w:rPr>
            </w:pPr>
            <w:r w:rsidRPr="00ED175D">
              <w:rPr>
                <w:rFonts w:cs="Times New Roman" w:eastAsia="Calibri"/>
                <w:kern w:val="2"/>
                <w:sz w:val="20"/>
                <w:szCs w:val="20"/>
                <w:lang w:eastAsia="ar-SA" w:val="pl-PL"/>
              </w:rPr>
              <w:t>Suvlasnički dio nekretnine upisane u z.k.ul. br. 1073, Etažno vlasništvo (E6)- Garaža površine 13,20 m2</w:t>
            </w:r>
          </w:p>
        </w:tc>
        <w:tc>
          <w:tcPr>
            <w:tcW w:type="dxa" w:w="1975"/>
            <w:tcBorders>
              <w:top w:space="0" w:sz="4" w:color="auto" w:val="single"/>
              <w:left w:space="0" w:sz="4" w:color="auto" w:val="single"/>
              <w:bottom w:space="0" w:sz="4" w:color="auto" w:val="single"/>
              <w:right w:space="0" w:sz="4" w:color="auto" w:val="single"/>
            </w:tcBorders>
            <w:hideMark/>
          </w:tcPr>
          <w:p w:rsidRDefault="00ED175D" w:rsidP="00ED175D" w:rsidR="00ED175D" w:rsidRPr="00ED175D">
            <w:pPr>
              <w:suppressAutoHyphens/>
              <w:spacing w:lineRule="atLeast" w:line="100" w:after="80"/>
              <w:jc w:val="right"/>
              <w:rPr>
                <w:rFonts w:cs="Times New Roman" w:eastAsia="Calibri"/>
                <w:kern w:val="2"/>
                <w:sz w:val="20"/>
                <w:szCs w:val="20"/>
                <w:lang w:eastAsia="ar-SA" w:val="pl-PL"/>
              </w:rPr>
            </w:pPr>
            <w:r w:rsidRPr="00ED175D">
              <w:rPr>
                <w:rFonts w:cs="Times New Roman" w:eastAsia="Calibri"/>
                <w:kern w:val="2"/>
                <w:sz w:val="20"/>
                <w:szCs w:val="20"/>
                <w:lang w:eastAsia="ar-SA" w:val="pl-PL"/>
              </w:rPr>
              <w:t>52.068,26</w:t>
            </w:r>
          </w:p>
        </w:tc>
        <w:tc>
          <w:tcPr>
            <w:tcW w:type="dxa" w:w="1679"/>
            <w:tcBorders>
              <w:top w:space="0" w:sz="4" w:color="auto" w:val="single"/>
              <w:left w:space="0" w:sz="4" w:color="auto" w:val="single"/>
              <w:bottom w:space="0" w:sz="4" w:color="auto" w:val="single"/>
              <w:right w:space="0" w:sz="4" w:color="auto" w:val="single"/>
            </w:tcBorders>
            <w:hideMark/>
          </w:tcPr>
          <w:p w:rsidRDefault="00ED175D" w:rsidP="00ED175D" w:rsidR="00ED175D" w:rsidRPr="00ED175D">
            <w:pPr>
              <w:suppressAutoHyphens/>
              <w:spacing w:lineRule="atLeast" w:line="100" w:after="80"/>
              <w:jc w:val="right"/>
              <w:rPr>
                <w:rFonts w:cs="Times New Roman" w:eastAsia="Calibri"/>
                <w:kern w:val="2"/>
                <w:sz w:val="20"/>
                <w:szCs w:val="20"/>
                <w:lang w:eastAsia="ar-SA" w:val="pl-PL"/>
              </w:rPr>
            </w:pPr>
            <w:r w:rsidRPr="00ED175D">
              <w:rPr>
                <w:rFonts w:cs="Times New Roman" w:eastAsia="Calibri"/>
                <w:kern w:val="2"/>
                <w:sz w:val="20"/>
                <w:szCs w:val="20"/>
                <w:lang w:eastAsia="ar-SA" w:val="pl-PL"/>
              </w:rPr>
              <w:t>23.302,11</w:t>
            </w:r>
          </w:p>
        </w:tc>
      </w:tr>
      <w:tr w:rsidTr="00ED175D" w:rsidR="00ED175D" w:rsidRPr="00ED175D">
        <w:tc>
          <w:tcPr>
            <w:tcW w:type="dxa" w:w="625"/>
            <w:tcBorders>
              <w:top w:space="0" w:sz="4" w:color="auto" w:val="single"/>
              <w:left w:space="0" w:sz="4" w:color="auto" w:val="single"/>
              <w:bottom w:space="0" w:sz="4" w:color="auto" w:val="single"/>
              <w:right w:space="0" w:sz="4" w:color="auto" w:val="single"/>
            </w:tcBorders>
            <w:hideMark/>
          </w:tcPr>
          <w:p w:rsidRDefault="00ED175D" w:rsidP="00ED175D" w:rsidR="00ED175D" w:rsidRPr="00ED175D">
            <w:pPr>
              <w:suppressAutoHyphens/>
              <w:spacing w:lineRule="atLeast" w:line="100" w:after="80"/>
              <w:jc w:val="center"/>
              <w:rPr>
                <w:rFonts w:cs="Times New Roman" w:eastAsia="Calibri"/>
                <w:kern w:val="2"/>
                <w:sz w:val="20"/>
                <w:szCs w:val="20"/>
                <w:lang w:eastAsia="ar-SA" w:val="pl-PL"/>
              </w:rPr>
            </w:pPr>
            <w:r w:rsidRPr="00ED175D">
              <w:rPr>
                <w:rFonts w:cs="Times New Roman" w:eastAsia="Calibri"/>
                <w:kern w:val="2"/>
                <w:sz w:val="20"/>
                <w:szCs w:val="20"/>
                <w:lang w:eastAsia="ar-SA" w:val="pl-PL"/>
              </w:rPr>
              <w:lastRenderedPageBreak/>
              <w:t>3.</w:t>
            </w:r>
          </w:p>
        </w:tc>
        <w:tc>
          <w:tcPr>
            <w:tcW w:type="dxa" w:w="5009"/>
            <w:tcBorders>
              <w:top w:space="0" w:sz="4" w:color="auto" w:val="single"/>
              <w:left w:space="0" w:sz="4" w:color="auto" w:val="single"/>
              <w:bottom w:space="0" w:sz="4" w:color="auto" w:val="single"/>
              <w:right w:space="0" w:sz="4" w:color="auto" w:val="single"/>
            </w:tcBorders>
            <w:hideMark/>
          </w:tcPr>
          <w:p w:rsidRDefault="00ED175D" w:rsidP="00ED175D" w:rsidR="00ED175D" w:rsidRPr="00ED175D">
            <w:pPr>
              <w:suppressAutoHyphens/>
              <w:spacing w:lineRule="atLeast" w:line="100" w:after="80"/>
              <w:jc w:val="both"/>
              <w:rPr>
                <w:rFonts w:cs="Times New Roman" w:eastAsia="Calibri"/>
                <w:kern w:val="2"/>
                <w:sz w:val="20"/>
                <w:szCs w:val="20"/>
                <w:lang w:eastAsia="ar-SA" w:val="pl-PL"/>
              </w:rPr>
            </w:pPr>
            <w:r w:rsidRPr="00ED175D">
              <w:rPr>
                <w:rFonts w:cs="Times New Roman" w:eastAsia="Calibri"/>
                <w:kern w:val="2"/>
                <w:sz w:val="20"/>
                <w:szCs w:val="20"/>
                <w:lang w:eastAsia="ar-SA" w:val="pl-PL"/>
              </w:rPr>
              <w:t>Potraživanja od kupaca</w:t>
            </w:r>
          </w:p>
        </w:tc>
        <w:tc>
          <w:tcPr>
            <w:tcW w:type="dxa" w:w="1975"/>
            <w:tcBorders>
              <w:top w:space="0" w:sz="4" w:color="auto" w:val="single"/>
              <w:left w:space="0" w:sz="4" w:color="auto" w:val="single"/>
              <w:bottom w:space="0" w:sz="4" w:color="auto" w:val="single"/>
              <w:right w:space="0" w:sz="4" w:color="auto" w:val="single"/>
            </w:tcBorders>
            <w:hideMark/>
          </w:tcPr>
          <w:p w:rsidRDefault="00ED175D" w:rsidP="00ED175D" w:rsidR="00ED175D" w:rsidRPr="00ED175D">
            <w:pPr>
              <w:suppressAutoHyphens/>
              <w:spacing w:lineRule="atLeast" w:line="100" w:after="80"/>
              <w:jc w:val="right"/>
              <w:rPr>
                <w:rFonts w:cs="Times New Roman" w:eastAsia="Calibri"/>
                <w:kern w:val="2"/>
                <w:sz w:val="20"/>
                <w:szCs w:val="20"/>
                <w:lang w:eastAsia="ar-SA" w:val="pl-PL"/>
              </w:rPr>
            </w:pPr>
            <w:r w:rsidRPr="00ED175D">
              <w:rPr>
                <w:rFonts w:cs="Times New Roman" w:eastAsia="Calibri"/>
                <w:kern w:val="2"/>
                <w:sz w:val="20"/>
                <w:szCs w:val="20"/>
                <w:lang w:eastAsia="ar-SA" w:val="pl-PL"/>
              </w:rPr>
              <w:t>303.346,23</w:t>
            </w:r>
          </w:p>
        </w:tc>
        <w:tc>
          <w:tcPr>
            <w:tcW w:type="dxa" w:w="1679"/>
            <w:tcBorders>
              <w:top w:space="0" w:sz="4" w:color="auto" w:val="single"/>
              <w:left w:space="0" w:sz="4" w:color="auto" w:val="single"/>
              <w:bottom w:space="0" w:sz="4" w:color="auto" w:val="single"/>
              <w:right w:space="0" w:sz="4" w:color="auto" w:val="single"/>
            </w:tcBorders>
            <w:hideMark/>
          </w:tcPr>
          <w:p w:rsidRDefault="00ED175D" w:rsidP="00ED175D" w:rsidR="00ED175D" w:rsidRPr="00ED175D">
            <w:pPr>
              <w:suppressAutoHyphens/>
              <w:spacing w:lineRule="atLeast" w:line="100" w:after="80"/>
              <w:jc w:val="right"/>
              <w:rPr>
                <w:rFonts w:cs="Times New Roman" w:eastAsia="Calibri"/>
                <w:kern w:val="2"/>
                <w:sz w:val="20"/>
                <w:szCs w:val="20"/>
                <w:lang w:eastAsia="ar-SA" w:val="pl-PL"/>
              </w:rPr>
            </w:pPr>
            <w:r w:rsidRPr="00ED175D">
              <w:rPr>
                <w:rFonts w:cs="Times New Roman" w:eastAsia="Calibri"/>
                <w:kern w:val="2"/>
                <w:sz w:val="20"/>
                <w:szCs w:val="20"/>
                <w:lang w:eastAsia="ar-SA" w:val="pl-PL"/>
              </w:rPr>
              <w:t>71.116,99</w:t>
            </w:r>
          </w:p>
        </w:tc>
      </w:tr>
    </w:tbl>
    <w:p w:rsidRDefault="00ED175D" w:rsidP="00ED175D" w:rsidR="00ED175D" w:rsidRPr="00ED175D">
      <w:pPr>
        <w:suppressAutoHyphens/>
        <w:spacing w:lineRule="atLeast" w:line="100" w:after="80"/>
        <w:jc w:val="both"/>
        <w:rPr>
          <w:rFonts w:cs="Times New Roman" w:eastAsia="Calibri"/>
          <w:kern w:val="2"/>
          <w:lang w:eastAsia="ar-SA" w:val="pl-PL"/>
        </w:rPr>
      </w:pPr>
    </w:p>
    <w:p w:rsidRDefault="00ED175D" w:rsidP="00ED175D" w:rsidR="00ED175D" w:rsidRPr="00ED175D">
      <w:pPr>
        <w:numPr>
          <w:ilvl w:val="0"/>
          <w:numId w:val="47"/>
        </w:numPr>
        <w:suppressAutoHyphens/>
        <w:spacing w:lineRule="atLeast" w:line="100" w:after="80"/>
        <w:jc w:val="both"/>
        <w:rPr>
          <w:rFonts w:cs="Times New Roman" w:eastAsia="Calibri"/>
          <w:kern w:val="2"/>
          <w:lang w:eastAsia="ar-SA" w:val="pl-PL"/>
        </w:rPr>
      </w:pPr>
      <w:r w:rsidRPr="00ED175D">
        <w:rPr>
          <w:rFonts w:cs="Times New Roman" w:eastAsia="Calibri"/>
          <w:kern w:val="2"/>
          <w:lang w:eastAsia="ar-SA" w:val="pl-PL"/>
        </w:rPr>
        <w:t>dati podatak koji su predmeti stečajne mase unovčeni i u kojem iznosu</w:t>
      </w:r>
    </w:p>
    <w:p w:rsidRDefault="00ED175D" w:rsidP="00ED175D" w:rsidR="00ED175D" w:rsidRPr="00ED175D">
      <w:pPr>
        <w:suppressAutoHyphens/>
        <w:spacing w:lineRule="atLeast" w:line="100" w:after="80"/>
        <w:jc w:val="both"/>
        <w:rPr>
          <w:rFonts w:cs="Times New Roman" w:eastAsia="Calibri"/>
          <w:kern w:val="2"/>
          <w:lang w:eastAsia="ar-SA" w:val="pl-PL"/>
        </w:rPr>
      </w:pPr>
      <w:r w:rsidRPr="00ED175D">
        <w:rPr>
          <w:rFonts w:cs="Times New Roman" w:eastAsia="Calibri"/>
          <w:kern w:val="2"/>
          <w:lang w:eastAsia="ar-SA" w:val="pl-PL"/>
        </w:rPr>
        <w:t>Do dana ovog izvješća unovčena su potraživanja  iznosu od 45.026,23 kn te je izvršen prijeboj u visini 1.846,25 kn</w:t>
      </w:r>
    </w:p>
    <w:p w:rsidRDefault="00ED175D" w:rsidP="00ED175D" w:rsidR="00ED175D" w:rsidRPr="00ED175D">
      <w:pPr>
        <w:numPr>
          <w:ilvl w:val="0"/>
          <w:numId w:val="47"/>
        </w:numPr>
        <w:suppressAutoHyphens/>
        <w:spacing w:lineRule="atLeast" w:line="100" w:after="80"/>
        <w:jc w:val="both"/>
        <w:rPr>
          <w:rFonts w:cs="Times New Roman" w:eastAsia="Calibri"/>
          <w:kern w:val="2"/>
          <w:lang w:eastAsia="ar-SA" w:val="pl-PL"/>
        </w:rPr>
      </w:pPr>
      <w:r w:rsidRPr="00ED175D">
        <w:rPr>
          <w:rFonts w:cs="Times New Roman" w:eastAsia="Calibri"/>
          <w:kern w:val="2"/>
          <w:lang w:eastAsia="ar-SA" w:val="pl-PL"/>
        </w:rPr>
        <w:t>dati podatak koji predmeti stečajne mase nisu unovčeni i zbog kojeg razloga</w:t>
      </w:r>
    </w:p>
    <w:p w:rsidRDefault="00ED175D" w:rsidP="00ED175D" w:rsidR="00ED175D" w:rsidRPr="00ED175D">
      <w:pPr>
        <w:suppressAutoHyphens/>
        <w:spacing w:lineRule="atLeast" w:line="100" w:after="80"/>
        <w:jc w:val="both"/>
        <w:rPr>
          <w:rFonts w:cs="Times New Roman" w:eastAsia="Calibri"/>
          <w:kern w:val="2"/>
          <w:lang w:eastAsia="ar-SA" w:val="pl-PL"/>
        </w:rPr>
      </w:pPr>
      <w:r w:rsidRPr="00ED175D">
        <w:rPr>
          <w:rFonts w:cs="Times New Roman" w:eastAsia="Calibri"/>
          <w:kern w:val="2"/>
          <w:lang w:eastAsia="ar-SA" w:val="pl-PL"/>
        </w:rPr>
        <w:t>Nije započeta prodaja nekretnina iz razloga što je prethodno na nekretnini pod rednim brojem 2 iz t. 1 izvješća bilo potrebno upisati pravo vlasništa u korist stečajnog dužnika. Za obje nekretnine doneseno je rješenje o prodaji i održano ročište radi utvrđivanja vrijednosti nekretnine dana 11.07.2017.</w:t>
      </w:r>
    </w:p>
    <w:p w:rsidRDefault="00ED175D" w:rsidP="00ED175D" w:rsidR="00ED175D" w:rsidRPr="00ED175D">
      <w:pPr>
        <w:suppressAutoHyphens/>
        <w:spacing w:lineRule="atLeast" w:line="100" w:after="80"/>
        <w:jc w:val="both"/>
        <w:rPr>
          <w:rFonts w:cs="Times New Roman" w:eastAsia="Calibri"/>
          <w:kern w:val="2"/>
          <w:lang w:eastAsia="ar-SA" w:val="pl-PL"/>
        </w:rPr>
      </w:pPr>
      <w:r w:rsidRPr="00ED175D">
        <w:rPr>
          <w:rFonts w:cs="Times New Roman" w:eastAsia="Calibri"/>
          <w:kern w:val="2"/>
          <w:lang w:eastAsia="ar-SA" w:val="pl-PL"/>
        </w:rPr>
        <w:t>Za potraživanja u tijeku je naplata u mirnom postupku te se usporedno vrši i usklađivanje są kupcima, u kojem postupku je do sada otpisano iz razloga zastare, odnosno izvršena su nedostajuća knjiženja ranije uplaćenih iznosa ili je iz drugih razloga otpisano ukupno 232.229,24 kn potraživanja, pa je sadašnje stanje nenaplaćenih potraživanja 24.244,51kn.</w:t>
      </w:r>
    </w:p>
    <w:p w:rsidRDefault="00ED175D" w:rsidP="00ED175D" w:rsidR="00ED175D" w:rsidRPr="00ED175D">
      <w:pPr>
        <w:suppressAutoHyphens/>
        <w:spacing w:lineRule="atLeast" w:line="100" w:after="80"/>
        <w:jc w:val="both"/>
        <w:rPr>
          <w:rFonts w:cs="Times New Roman" w:eastAsia="Calibri"/>
          <w:kern w:val="2"/>
          <w:lang w:eastAsia="ar-SA" w:val="pl-PL"/>
        </w:rPr>
      </w:pPr>
      <w:r w:rsidRPr="00ED175D">
        <w:rPr>
          <w:rFonts w:cs="Times New Roman" w:eastAsia="Calibri"/>
          <w:kern w:val="2"/>
          <w:lang w:eastAsia="ar-SA" w:val="pl-PL"/>
        </w:rPr>
        <w:t>Očekuje se i nadalje, kako naplata računa, tako i usklađenja iz kojih su mogući otpisi.</w:t>
      </w:r>
    </w:p>
    <w:p w:rsidRDefault="00ED175D" w:rsidP="00ED175D" w:rsidR="00ED175D" w:rsidRPr="00ED175D">
      <w:pPr>
        <w:suppressAutoHyphens/>
        <w:spacing w:lineRule="atLeast" w:line="100" w:after="80"/>
        <w:jc w:val="both"/>
        <w:rPr>
          <w:rFonts w:cs="Times New Roman" w:eastAsia="Calibri"/>
          <w:kern w:val="2"/>
          <w:lang w:eastAsia="ar-SA" w:val="pl-PL"/>
        </w:rPr>
      </w:pPr>
    </w:p>
    <w:p w:rsidRDefault="00ED175D" w:rsidP="00ED175D" w:rsidR="00ED175D" w:rsidRPr="00ED175D">
      <w:pPr>
        <w:numPr>
          <w:ilvl w:val="0"/>
          <w:numId w:val="47"/>
        </w:numPr>
        <w:suppressAutoHyphens/>
        <w:spacing w:lineRule="atLeast" w:line="100" w:after="80"/>
        <w:jc w:val="both"/>
        <w:rPr>
          <w:rFonts w:cs="Times New Roman" w:eastAsia="Calibri"/>
          <w:kern w:val="2"/>
          <w:lang w:eastAsia="ar-SA" w:val="pl-PL"/>
        </w:rPr>
      </w:pPr>
      <w:r w:rsidRPr="00ED175D">
        <w:rPr>
          <w:rFonts w:cs="Times New Roman" w:eastAsia="Calibri"/>
          <w:kern w:val="2"/>
          <w:lang w:eastAsia="ar-SA" w:val="pl-PL"/>
        </w:rPr>
        <w:t xml:space="preserve">dati podatak o tome kako je ostvareno razlučno pravo, ako ono postoji </w:t>
      </w:r>
    </w:p>
    <w:p w:rsidRDefault="00ED175D" w:rsidP="00ED175D" w:rsidR="00ED175D" w:rsidRPr="00ED175D">
      <w:pPr>
        <w:suppressAutoHyphens/>
        <w:spacing w:lineRule="atLeast" w:line="100" w:after="80"/>
        <w:jc w:val="both"/>
        <w:rPr>
          <w:rFonts w:cs="Times New Roman" w:eastAsia="Calibri"/>
          <w:kern w:val="2"/>
          <w:lang w:eastAsia="ar-SA" w:val="pl-PL"/>
        </w:rPr>
      </w:pPr>
      <w:r w:rsidRPr="00ED175D">
        <w:rPr>
          <w:rFonts w:cs="Times New Roman" w:eastAsia="Calibri"/>
          <w:kern w:val="2"/>
          <w:lang w:eastAsia="ar-SA" w:val="pl-PL"/>
        </w:rPr>
        <w:t>Nije došlo do prodaje nekretnina</w:t>
      </w:r>
    </w:p>
    <w:p w:rsidRDefault="00ED175D" w:rsidP="00ED175D" w:rsidR="00ED175D" w:rsidRPr="00ED175D">
      <w:pPr>
        <w:numPr>
          <w:ilvl w:val="0"/>
          <w:numId w:val="47"/>
        </w:numPr>
        <w:suppressAutoHyphens/>
        <w:spacing w:lineRule="atLeast" w:line="100" w:after="80"/>
        <w:jc w:val="both"/>
        <w:rPr>
          <w:rFonts w:cs="Times New Roman" w:eastAsia="Calibri"/>
          <w:kern w:val="2"/>
          <w:lang w:eastAsia="ar-SA" w:val="pl-PL"/>
        </w:rPr>
      </w:pPr>
      <w:r w:rsidRPr="00ED175D">
        <w:rPr>
          <w:rFonts w:cs="Times New Roman" w:eastAsia="Calibri"/>
          <w:kern w:val="2"/>
          <w:lang w:eastAsia="ar-SA" w:val="pl-PL"/>
        </w:rPr>
        <w:t>dati podatak o tome kako je ostvareno izlučno pravo, ako ono postoji</w:t>
      </w:r>
    </w:p>
    <w:p w:rsidRDefault="00ED175D" w:rsidP="00ED175D" w:rsidR="00ED175D" w:rsidRPr="00ED175D">
      <w:pPr>
        <w:suppressAutoHyphens/>
        <w:spacing w:lineRule="atLeast" w:line="100" w:after="80"/>
        <w:jc w:val="both"/>
        <w:rPr>
          <w:rFonts w:cs="Times New Roman" w:eastAsia="Calibri"/>
          <w:kern w:val="2"/>
          <w:lang w:eastAsia="ar-SA" w:val="pl-PL"/>
        </w:rPr>
      </w:pPr>
      <w:r w:rsidRPr="00ED175D">
        <w:rPr>
          <w:rFonts w:cs="Times New Roman" w:eastAsia="Calibri"/>
          <w:kern w:val="2"/>
          <w:lang w:eastAsia="ar-SA" w:val="pl-PL"/>
        </w:rPr>
        <w:t>U ovom stečajnom postupku nije postavljen ni jedan izlučni zahtjev</w:t>
      </w:r>
    </w:p>
    <w:p w:rsidRDefault="00ED175D" w:rsidP="00ED175D" w:rsidR="00ED175D" w:rsidRPr="00ED175D">
      <w:pPr>
        <w:numPr>
          <w:ilvl w:val="0"/>
          <w:numId w:val="47"/>
        </w:numPr>
        <w:suppressAutoHyphens/>
        <w:spacing w:lineRule="atLeast" w:line="100" w:after="80"/>
        <w:jc w:val="both"/>
        <w:rPr>
          <w:rFonts w:cs="Times New Roman" w:eastAsia="Calibri"/>
          <w:kern w:val="2"/>
          <w:lang w:eastAsia="ar-SA" w:val="pl-PL"/>
        </w:rPr>
      </w:pPr>
      <w:r w:rsidRPr="00ED175D">
        <w:rPr>
          <w:rFonts w:cs="Times New Roman" w:eastAsia="Calibri"/>
          <w:kern w:val="2"/>
          <w:lang w:eastAsia="ar-SA" w:val="pl-PL"/>
        </w:rPr>
        <w:t>dati podatak o vjerovnicima stečajne mase i njihovom namirenju</w:t>
      </w:r>
    </w:p>
    <w:p w:rsidRDefault="00ED175D" w:rsidP="00ED175D" w:rsidR="00ED175D" w:rsidRPr="00ED175D">
      <w:pPr>
        <w:suppressAutoHyphens/>
        <w:spacing w:lineRule="atLeast" w:line="100" w:after="80"/>
        <w:ind w:left="720"/>
        <w:jc w:val="both"/>
        <w:rPr>
          <w:rFonts w:cs="Times New Roman" w:eastAsia="Calibri"/>
          <w:kern w:val="2"/>
          <w:lang w:eastAsia="ar-SA" w:val="pl-PL"/>
        </w:rPr>
      </w:pPr>
    </w:p>
    <w:p w:rsidRDefault="00ED175D" w:rsidP="00ED175D" w:rsidR="00ED175D" w:rsidRPr="00ED175D">
      <w:pPr>
        <w:suppressAutoHyphens/>
        <w:spacing w:lineRule="atLeast" w:line="100" w:after="80"/>
        <w:ind w:left="720"/>
        <w:jc w:val="both"/>
        <w:rPr>
          <w:rFonts w:cs="Times New Roman" w:eastAsia="Calibri"/>
          <w:kern w:val="2"/>
          <w:lang w:eastAsia="ar-SA" w:val="pl-PL"/>
        </w:rPr>
      </w:pPr>
    </w:p>
    <w:tbl>
      <w:tblPr>
        <w:tblW w:type="auto" w:w="0"/>
        <w:tblInd w:type="dxa" w:w="124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253"/>
        <w:gridCol w:w="1843"/>
      </w:tblGrid>
      <w:tr w:rsidTr="00ED175D" w:rsidR="00ED175D" w:rsidRPr="00ED175D">
        <w:tc>
          <w:tcPr>
            <w:tcW w:type="dxa" w:w="4253"/>
            <w:tcBorders>
              <w:top w:space="0" w:sz="4" w:color="auto" w:val="single"/>
              <w:left w:space="0" w:sz="4" w:color="auto" w:val="single"/>
              <w:bottom w:space="0" w:sz="4" w:color="auto" w:val="single"/>
              <w:right w:space="0" w:sz="4" w:color="auto" w:val="single"/>
            </w:tcBorders>
            <w:hideMark/>
          </w:tcPr>
          <w:p w:rsidRDefault="00ED175D" w:rsidP="00ED175D" w:rsidR="00ED175D" w:rsidRPr="00ED175D">
            <w:pPr>
              <w:suppressAutoHyphens/>
              <w:spacing w:lineRule="atLeast" w:line="100" w:after="80"/>
              <w:jc w:val="center"/>
              <w:rPr>
                <w:rFonts w:cs="Times New Roman" w:eastAsia="Calibri"/>
                <w:b/>
                <w:kern w:val="2"/>
                <w:lang w:eastAsia="ar-SA" w:val="pl-PL"/>
              </w:rPr>
            </w:pPr>
            <w:r w:rsidRPr="00ED175D">
              <w:rPr>
                <w:rFonts w:cs="Times New Roman" w:eastAsia="Calibri"/>
                <w:b/>
                <w:kern w:val="2"/>
                <w:lang w:eastAsia="ar-SA" w:val="pl-PL"/>
              </w:rPr>
              <w:t>Vrsta troška</w:t>
            </w:r>
          </w:p>
        </w:tc>
        <w:tc>
          <w:tcPr>
            <w:tcW w:type="dxa" w:w="1843"/>
            <w:tcBorders>
              <w:top w:space="0" w:sz="4" w:color="auto" w:val="single"/>
              <w:left w:space="0" w:sz="4" w:color="auto" w:val="single"/>
              <w:bottom w:space="0" w:sz="4" w:color="auto" w:val="single"/>
              <w:right w:space="0" w:sz="4" w:color="auto" w:val="single"/>
            </w:tcBorders>
            <w:hideMark/>
          </w:tcPr>
          <w:p w:rsidRDefault="00ED175D" w:rsidP="00ED175D" w:rsidR="00ED175D" w:rsidRPr="00ED175D">
            <w:pPr>
              <w:suppressAutoHyphens/>
              <w:spacing w:lineRule="atLeast" w:line="100" w:after="80"/>
              <w:jc w:val="center"/>
              <w:rPr>
                <w:rFonts w:cs="Times New Roman" w:eastAsia="Calibri"/>
                <w:b/>
                <w:kern w:val="2"/>
                <w:lang w:eastAsia="ar-SA" w:val="pl-PL"/>
              </w:rPr>
            </w:pPr>
            <w:r w:rsidRPr="00ED175D">
              <w:rPr>
                <w:rFonts w:cs="Times New Roman" w:eastAsia="Calibri"/>
                <w:b/>
                <w:kern w:val="2"/>
                <w:lang w:eastAsia="ar-SA" w:val="pl-PL"/>
              </w:rPr>
              <w:t>Plaćeni iznos sa uključenim PDV-om</w:t>
            </w:r>
          </w:p>
        </w:tc>
      </w:tr>
      <w:tr w:rsidTr="00ED175D" w:rsidR="00ED175D" w:rsidRPr="00ED175D">
        <w:tc>
          <w:tcPr>
            <w:tcW w:type="dxa" w:w="4253"/>
            <w:tcBorders>
              <w:top w:space="0" w:sz="4" w:color="auto" w:val="single"/>
              <w:left w:space="0" w:sz="4" w:color="auto" w:val="single"/>
              <w:bottom w:space="0" w:sz="4" w:color="auto" w:val="single"/>
              <w:right w:space="0" w:sz="4" w:color="auto" w:val="single"/>
            </w:tcBorders>
            <w:hideMark/>
          </w:tcPr>
          <w:p w:rsidRDefault="00ED175D" w:rsidP="00ED175D" w:rsidR="00ED175D" w:rsidRPr="00ED175D">
            <w:pPr>
              <w:suppressAutoHyphens/>
              <w:spacing w:lineRule="atLeast" w:line="100" w:after="80"/>
              <w:jc w:val="both"/>
              <w:rPr>
                <w:rFonts w:cs="Times New Roman" w:eastAsia="Calibri"/>
                <w:kern w:val="2"/>
                <w:lang w:eastAsia="ar-SA" w:val="pl-PL"/>
              </w:rPr>
            </w:pPr>
            <w:r w:rsidRPr="00ED175D">
              <w:rPr>
                <w:rFonts w:cs="Times New Roman" w:eastAsia="Calibri"/>
                <w:kern w:val="2"/>
                <w:lang w:eastAsia="ar-SA" w:val="pl-PL"/>
              </w:rPr>
              <w:t>Troškovi platnog prometa</w:t>
            </w:r>
          </w:p>
        </w:tc>
        <w:tc>
          <w:tcPr>
            <w:tcW w:type="dxa" w:w="1843"/>
            <w:tcBorders>
              <w:top w:space="0" w:sz="4" w:color="auto" w:val="single"/>
              <w:left w:space="0" w:sz="4" w:color="auto" w:val="single"/>
              <w:bottom w:space="0" w:sz="4" w:color="auto" w:val="single"/>
              <w:right w:space="0" w:sz="4" w:color="auto" w:val="single"/>
            </w:tcBorders>
            <w:hideMark/>
          </w:tcPr>
          <w:p w:rsidRDefault="00ED175D" w:rsidP="00ED175D" w:rsidR="00ED175D" w:rsidRPr="00ED175D">
            <w:pPr>
              <w:suppressAutoHyphens/>
              <w:spacing w:lineRule="atLeast" w:line="100" w:after="80"/>
              <w:jc w:val="right"/>
              <w:rPr>
                <w:rFonts w:cs="Times New Roman" w:eastAsia="Calibri"/>
                <w:kern w:val="2"/>
                <w:lang w:eastAsia="ar-SA" w:val="pl-PL"/>
              </w:rPr>
            </w:pPr>
            <w:r w:rsidRPr="00ED175D">
              <w:rPr>
                <w:rFonts w:cs="Times New Roman" w:eastAsia="Calibri"/>
                <w:kern w:val="2"/>
                <w:lang w:eastAsia="ar-SA" w:val="pl-PL"/>
              </w:rPr>
              <w:t>680,80</w:t>
            </w:r>
          </w:p>
        </w:tc>
      </w:tr>
      <w:tr w:rsidTr="00ED175D" w:rsidR="00ED175D" w:rsidRPr="00ED175D">
        <w:tc>
          <w:tcPr>
            <w:tcW w:type="dxa" w:w="4253"/>
            <w:tcBorders>
              <w:top w:space="0" w:sz="4" w:color="auto" w:val="single"/>
              <w:left w:space="0" w:sz="4" w:color="auto" w:val="single"/>
              <w:bottom w:space="0" w:sz="4" w:color="auto" w:val="single"/>
              <w:right w:space="0" w:sz="4" w:color="auto" w:val="single"/>
            </w:tcBorders>
            <w:hideMark/>
          </w:tcPr>
          <w:p w:rsidRDefault="00ED175D" w:rsidP="00ED175D" w:rsidR="00ED175D" w:rsidRPr="00ED175D">
            <w:pPr>
              <w:suppressAutoHyphens/>
              <w:spacing w:lineRule="atLeast" w:line="100" w:after="80"/>
              <w:jc w:val="both"/>
              <w:rPr>
                <w:rFonts w:cs="Times New Roman" w:eastAsia="Calibri"/>
                <w:kern w:val="2"/>
                <w:lang w:eastAsia="ar-SA" w:val="pl-PL"/>
              </w:rPr>
            </w:pPr>
            <w:r w:rsidRPr="00ED175D">
              <w:rPr>
                <w:rFonts w:cs="Times New Roman" w:eastAsia="Calibri"/>
                <w:kern w:val="2"/>
                <w:lang w:eastAsia="ar-SA" w:val="pl-PL"/>
              </w:rPr>
              <w:t>Troškovi vođenja poslovnih knjiga</w:t>
            </w:r>
          </w:p>
        </w:tc>
        <w:tc>
          <w:tcPr>
            <w:tcW w:type="dxa" w:w="1843"/>
            <w:tcBorders>
              <w:top w:space="0" w:sz="4" w:color="auto" w:val="single"/>
              <w:left w:space="0" w:sz="4" w:color="auto" w:val="single"/>
              <w:bottom w:space="0" w:sz="4" w:color="auto" w:val="single"/>
              <w:right w:space="0" w:sz="4" w:color="auto" w:val="single"/>
            </w:tcBorders>
            <w:hideMark/>
          </w:tcPr>
          <w:p w:rsidRDefault="00ED175D" w:rsidP="00ED175D" w:rsidR="00ED175D" w:rsidRPr="00ED175D">
            <w:pPr>
              <w:suppressAutoHyphens/>
              <w:spacing w:lineRule="atLeast" w:line="100" w:after="80"/>
              <w:jc w:val="right"/>
              <w:rPr>
                <w:rFonts w:cs="Times New Roman" w:eastAsia="Calibri"/>
                <w:kern w:val="2"/>
                <w:lang w:eastAsia="ar-SA" w:val="pl-PL"/>
              </w:rPr>
            </w:pPr>
            <w:r w:rsidRPr="00ED175D">
              <w:rPr>
                <w:rFonts w:cs="Times New Roman" w:eastAsia="Calibri"/>
                <w:kern w:val="2"/>
                <w:lang w:eastAsia="ar-SA" w:val="pl-PL"/>
              </w:rPr>
              <w:t>34.218,75</w:t>
            </w:r>
          </w:p>
        </w:tc>
      </w:tr>
      <w:tr w:rsidTr="00ED175D" w:rsidR="00ED175D" w:rsidRPr="00ED175D">
        <w:tc>
          <w:tcPr>
            <w:tcW w:type="dxa" w:w="4253"/>
            <w:tcBorders>
              <w:top w:space="0" w:sz="4" w:color="auto" w:val="single"/>
              <w:left w:space="0" w:sz="4" w:color="auto" w:val="single"/>
              <w:bottom w:space="0" w:sz="4" w:color="auto" w:val="single"/>
              <w:right w:space="0" w:sz="4" w:color="auto" w:val="single"/>
            </w:tcBorders>
            <w:hideMark/>
          </w:tcPr>
          <w:p w:rsidRDefault="00ED175D" w:rsidP="00ED175D" w:rsidR="00ED175D" w:rsidRPr="00ED175D">
            <w:pPr>
              <w:suppressAutoHyphens/>
              <w:spacing w:lineRule="atLeast" w:line="100" w:after="80"/>
              <w:jc w:val="both"/>
              <w:rPr>
                <w:rFonts w:cs="Times New Roman" w:eastAsia="Calibri"/>
                <w:kern w:val="2"/>
                <w:lang w:eastAsia="ar-SA" w:val="pl-PL"/>
              </w:rPr>
            </w:pPr>
            <w:r w:rsidRPr="00ED175D">
              <w:rPr>
                <w:rFonts w:cs="Times New Roman" w:eastAsia="Calibri"/>
                <w:kern w:val="2"/>
                <w:lang w:eastAsia="ar-SA" w:val="pl-PL"/>
              </w:rPr>
              <w:t>Troškovi ostalih administrativnih usluga</w:t>
            </w:r>
          </w:p>
        </w:tc>
        <w:tc>
          <w:tcPr>
            <w:tcW w:type="dxa" w:w="1843"/>
            <w:tcBorders>
              <w:top w:space="0" w:sz="4" w:color="auto" w:val="single"/>
              <w:left w:space="0" w:sz="4" w:color="auto" w:val="single"/>
              <w:bottom w:space="0" w:sz="4" w:color="auto" w:val="single"/>
              <w:right w:space="0" w:sz="4" w:color="auto" w:val="single"/>
            </w:tcBorders>
            <w:hideMark/>
          </w:tcPr>
          <w:p w:rsidRDefault="00ED175D" w:rsidP="00ED175D" w:rsidR="00ED175D" w:rsidRPr="00ED175D">
            <w:pPr>
              <w:suppressAutoHyphens/>
              <w:spacing w:lineRule="atLeast" w:line="100" w:after="80"/>
              <w:jc w:val="right"/>
              <w:rPr>
                <w:rFonts w:cs="Times New Roman" w:eastAsia="Calibri"/>
                <w:kern w:val="2"/>
                <w:lang w:eastAsia="ar-SA" w:val="pl-PL"/>
              </w:rPr>
            </w:pPr>
            <w:r w:rsidRPr="00ED175D">
              <w:rPr>
                <w:rFonts w:cs="Times New Roman" w:eastAsia="Calibri"/>
                <w:kern w:val="2"/>
                <w:lang w:eastAsia="ar-SA" w:val="pl-PL"/>
              </w:rPr>
              <w:t>3.600,00</w:t>
            </w:r>
          </w:p>
        </w:tc>
      </w:tr>
      <w:tr w:rsidTr="00ED175D" w:rsidR="00ED175D" w:rsidRPr="00ED175D">
        <w:tc>
          <w:tcPr>
            <w:tcW w:type="dxa" w:w="4253"/>
            <w:tcBorders>
              <w:top w:space="0" w:sz="4" w:color="auto" w:val="single"/>
              <w:left w:space="0" w:sz="4" w:color="auto" w:val="single"/>
              <w:bottom w:space="0" w:sz="4" w:color="auto" w:val="single"/>
              <w:right w:space="0" w:sz="4" w:color="auto" w:val="single"/>
            </w:tcBorders>
            <w:hideMark/>
          </w:tcPr>
          <w:p w:rsidRDefault="00ED175D" w:rsidP="00ED175D" w:rsidR="00ED175D" w:rsidRPr="00ED175D">
            <w:pPr>
              <w:suppressAutoHyphens/>
              <w:spacing w:lineRule="atLeast" w:line="100" w:after="80"/>
              <w:jc w:val="both"/>
              <w:rPr>
                <w:rFonts w:cs="Times New Roman" w:eastAsia="Calibri"/>
                <w:kern w:val="2"/>
                <w:lang w:eastAsia="ar-SA" w:val="pl-PL"/>
              </w:rPr>
            </w:pPr>
            <w:r w:rsidRPr="00ED175D">
              <w:rPr>
                <w:rFonts w:cs="Times New Roman" w:eastAsia="Calibri"/>
                <w:kern w:val="2"/>
                <w:lang w:eastAsia="ar-SA" w:val="pl-PL"/>
              </w:rPr>
              <w:t>Troškovi izrade žiga</w:t>
            </w:r>
          </w:p>
        </w:tc>
        <w:tc>
          <w:tcPr>
            <w:tcW w:type="dxa" w:w="1843"/>
            <w:tcBorders>
              <w:top w:space="0" w:sz="4" w:color="auto" w:val="single"/>
              <w:left w:space="0" w:sz="4" w:color="auto" w:val="single"/>
              <w:bottom w:space="0" w:sz="4" w:color="auto" w:val="single"/>
              <w:right w:space="0" w:sz="4" w:color="auto" w:val="single"/>
            </w:tcBorders>
            <w:hideMark/>
          </w:tcPr>
          <w:p w:rsidRDefault="00ED175D" w:rsidP="00ED175D" w:rsidR="00ED175D" w:rsidRPr="00ED175D">
            <w:pPr>
              <w:suppressAutoHyphens/>
              <w:spacing w:lineRule="atLeast" w:line="100" w:after="80"/>
              <w:jc w:val="right"/>
              <w:rPr>
                <w:rFonts w:cs="Times New Roman" w:eastAsia="Calibri"/>
                <w:kern w:val="2"/>
                <w:lang w:eastAsia="ar-SA" w:val="pl-PL"/>
              </w:rPr>
            </w:pPr>
            <w:r w:rsidRPr="00ED175D">
              <w:rPr>
                <w:rFonts w:cs="Times New Roman" w:eastAsia="Calibri"/>
                <w:kern w:val="2"/>
                <w:lang w:eastAsia="ar-SA" w:val="pl-PL"/>
              </w:rPr>
              <w:t>187,50</w:t>
            </w:r>
          </w:p>
        </w:tc>
      </w:tr>
      <w:tr w:rsidTr="00ED175D" w:rsidR="00ED175D" w:rsidRPr="00ED175D">
        <w:tc>
          <w:tcPr>
            <w:tcW w:type="dxa" w:w="4253"/>
            <w:tcBorders>
              <w:top w:space="0" w:sz="4" w:color="auto" w:val="single"/>
              <w:left w:space="0" w:sz="4" w:color="auto" w:val="single"/>
              <w:bottom w:space="0" w:sz="4" w:color="auto" w:val="single"/>
              <w:right w:space="0" w:sz="4" w:color="auto" w:val="single"/>
            </w:tcBorders>
            <w:hideMark/>
          </w:tcPr>
          <w:p w:rsidRDefault="00ED175D" w:rsidP="00ED175D" w:rsidR="00ED175D" w:rsidRPr="00ED175D">
            <w:pPr>
              <w:suppressAutoHyphens/>
              <w:spacing w:lineRule="atLeast" w:line="100" w:after="80"/>
              <w:jc w:val="both"/>
              <w:rPr>
                <w:rFonts w:cs="Times New Roman" w:eastAsia="Calibri"/>
                <w:kern w:val="2"/>
                <w:lang w:eastAsia="ar-SA" w:val="pl-PL"/>
              </w:rPr>
            </w:pPr>
            <w:r w:rsidRPr="00ED175D">
              <w:rPr>
                <w:rFonts w:cs="Times New Roman" w:eastAsia="Calibri"/>
                <w:kern w:val="2"/>
                <w:lang w:eastAsia="ar-SA" w:val="pl-PL"/>
              </w:rPr>
              <w:t>Troškovi ovjere kod javnog bilježnika</w:t>
            </w:r>
          </w:p>
        </w:tc>
        <w:tc>
          <w:tcPr>
            <w:tcW w:type="dxa" w:w="1843"/>
            <w:tcBorders>
              <w:top w:space="0" w:sz="4" w:color="auto" w:val="single"/>
              <w:left w:space="0" w:sz="4" w:color="auto" w:val="single"/>
              <w:bottom w:space="0" w:sz="4" w:color="auto" w:val="single"/>
              <w:right w:space="0" w:sz="4" w:color="auto" w:val="single"/>
            </w:tcBorders>
            <w:hideMark/>
          </w:tcPr>
          <w:p w:rsidRDefault="00ED175D" w:rsidP="00ED175D" w:rsidR="00ED175D" w:rsidRPr="00ED175D">
            <w:pPr>
              <w:suppressAutoHyphens/>
              <w:spacing w:lineRule="atLeast" w:line="100" w:after="80"/>
              <w:jc w:val="right"/>
              <w:rPr>
                <w:rFonts w:cs="Times New Roman" w:eastAsia="Calibri"/>
                <w:kern w:val="2"/>
                <w:lang w:eastAsia="ar-SA" w:val="pl-PL"/>
              </w:rPr>
            </w:pPr>
            <w:r w:rsidRPr="00ED175D">
              <w:rPr>
                <w:rFonts w:cs="Times New Roman" w:eastAsia="Calibri"/>
                <w:kern w:val="2"/>
                <w:lang w:eastAsia="ar-SA" w:val="pl-PL"/>
              </w:rPr>
              <w:t>47,50</w:t>
            </w:r>
          </w:p>
        </w:tc>
      </w:tr>
      <w:tr w:rsidTr="00ED175D" w:rsidR="00ED175D" w:rsidRPr="00ED175D">
        <w:tc>
          <w:tcPr>
            <w:tcW w:type="dxa" w:w="4253"/>
            <w:tcBorders>
              <w:top w:space="0" w:sz="4" w:color="auto" w:val="single"/>
              <w:left w:space="0" w:sz="4" w:color="auto" w:val="single"/>
              <w:bottom w:space="0" w:sz="4" w:color="auto" w:val="single"/>
              <w:right w:space="0" w:sz="4" w:color="auto" w:val="single"/>
            </w:tcBorders>
            <w:hideMark/>
          </w:tcPr>
          <w:p w:rsidRDefault="00ED175D" w:rsidP="00ED175D" w:rsidR="00ED175D" w:rsidRPr="00ED175D">
            <w:pPr>
              <w:suppressAutoHyphens/>
              <w:spacing w:lineRule="atLeast" w:line="100" w:after="80"/>
              <w:jc w:val="both"/>
              <w:rPr>
                <w:rFonts w:cs="Times New Roman" w:eastAsia="Calibri"/>
                <w:kern w:val="2"/>
                <w:lang w:eastAsia="ar-SA" w:val="pl-PL"/>
              </w:rPr>
            </w:pPr>
            <w:r w:rsidRPr="00ED175D">
              <w:rPr>
                <w:rFonts w:cs="Times New Roman" w:eastAsia="Calibri"/>
                <w:kern w:val="2"/>
                <w:lang w:eastAsia="ar-SA" w:val="pl-PL"/>
              </w:rPr>
              <w:t>Troškovi javne objave FINA</w:t>
            </w:r>
          </w:p>
        </w:tc>
        <w:tc>
          <w:tcPr>
            <w:tcW w:type="dxa" w:w="1843"/>
            <w:tcBorders>
              <w:top w:space="0" w:sz="4" w:color="auto" w:val="single"/>
              <w:left w:space="0" w:sz="4" w:color="auto" w:val="single"/>
              <w:bottom w:space="0" w:sz="4" w:color="auto" w:val="single"/>
              <w:right w:space="0" w:sz="4" w:color="auto" w:val="single"/>
            </w:tcBorders>
            <w:hideMark/>
          </w:tcPr>
          <w:p w:rsidRDefault="00ED175D" w:rsidP="00ED175D" w:rsidR="00ED175D" w:rsidRPr="00ED175D">
            <w:pPr>
              <w:suppressAutoHyphens/>
              <w:spacing w:lineRule="atLeast" w:line="100" w:after="80"/>
              <w:jc w:val="right"/>
              <w:rPr>
                <w:rFonts w:cs="Times New Roman" w:eastAsia="Calibri"/>
                <w:kern w:val="2"/>
                <w:lang w:eastAsia="ar-SA" w:val="pl-PL"/>
              </w:rPr>
            </w:pPr>
            <w:r w:rsidRPr="00ED175D">
              <w:rPr>
                <w:rFonts w:cs="Times New Roman" w:eastAsia="Calibri"/>
                <w:kern w:val="2"/>
                <w:lang w:eastAsia="ar-SA" w:val="pl-PL"/>
              </w:rPr>
              <w:t>1.012,00</w:t>
            </w:r>
          </w:p>
        </w:tc>
      </w:tr>
      <w:tr w:rsidTr="00ED175D" w:rsidR="00ED175D" w:rsidRPr="00ED175D">
        <w:tc>
          <w:tcPr>
            <w:tcW w:type="dxa" w:w="4253"/>
            <w:tcBorders>
              <w:top w:space="0" w:sz="4" w:color="auto" w:val="single"/>
              <w:left w:space="0" w:sz="4" w:color="auto" w:val="single"/>
              <w:bottom w:space="0" w:sz="4" w:color="auto" w:val="single"/>
              <w:right w:space="0" w:sz="4" w:color="auto" w:val="single"/>
            </w:tcBorders>
            <w:hideMark/>
          </w:tcPr>
          <w:p w:rsidRDefault="00ED175D" w:rsidP="00ED175D" w:rsidR="00ED175D" w:rsidRPr="00ED175D">
            <w:pPr>
              <w:suppressAutoHyphens/>
              <w:spacing w:lineRule="atLeast" w:line="100" w:after="80"/>
              <w:jc w:val="both"/>
              <w:rPr>
                <w:rFonts w:cs="Times New Roman" w:eastAsia="Calibri"/>
                <w:kern w:val="2"/>
                <w:lang w:eastAsia="ar-SA" w:val="pl-PL"/>
              </w:rPr>
            </w:pPr>
            <w:r w:rsidRPr="00ED175D">
              <w:rPr>
                <w:rFonts w:cs="Times New Roman" w:eastAsia="Calibri"/>
                <w:kern w:val="2"/>
                <w:lang w:eastAsia="ar-SA" w:val="pl-PL"/>
              </w:rPr>
              <w:t>Komunalna naknada</w:t>
            </w:r>
          </w:p>
        </w:tc>
        <w:tc>
          <w:tcPr>
            <w:tcW w:type="dxa" w:w="1843"/>
            <w:tcBorders>
              <w:top w:space="0" w:sz="4" w:color="auto" w:val="single"/>
              <w:left w:space="0" w:sz="4" w:color="auto" w:val="single"/>
              <w:bottom w:space="0" w:sz="4" w:color="auto" w:val="single"/>
              <w:right w:space="0" w:sz="4" w:color="auto" w:val="single"/>
            </w:tcBorders>
            <w:hideMark/>
          </w:tcPr>
          <w:p w:rsidRDefault="00ED175D" w:rsidP="00ED175D" w:rsidR="00ED175D" w:rsidRPr="00ED175D">
            <w:pPr>
              <w:suppressAutoHyphens/>
              <w:spacing w:lineRule="atLeast" w:line="100" w:after="80"/>
              <w:jc w:val="right"/>
              <w:rPr>
                <w:rFonts w:cs="Times New Roman" w:eastAsia="Calibri"/>
                <w:kern w:val="2"/>
                <w:lang w:eastAsia="ar-SA" w:val="pl-PL"/>
              </w:rPr>
            </w:pPr>
            <w:r w:rsidRPr="00ED175D">
              <w:rPr>
                <w:rFonts w:cs="Times New Roman" w:eastAsia="Calibri"/>
                <w:kern w:val="2"/>
                <w:lang w:eastAsia="ar-SA" w:val="pl-PL"/>
              </w:rPr>
              <w:t>246,15</w:t>
            </w:r>
          </w:p>
        </w:tc>
      </w:tr>
      <w:tr w:rsidTr="00ED175D" w:rsidR="00ED175D" w:rsidRPr="00ED175D">
        <w:tc>
          <w:tcPr>
            <w:tcW w:type="dxa" w:w="4253"/>
            <w:tcBorders>
              <w:top w:space="0" w:sz="4" w:color="auto" w:val="single"/>
              <w:left w:space="0" w:sz="4" w:color="auto" w:val="single"/>
              <w:bottom w:space="0" w:sz="4" w:color="auto" w:val="single"/>
              <w:right w:space="0" w:sz="4" w:color="auto" w:val="single"/>
            </w:tcBorders>
            <w:hideMark/>
          </w:tcPr>
          <w:p w:rsidRDefault="00ED175D" w:rsidP="00ED175D" w:rsidR="00ED175D" w:rsidRPr="00ED175D">
            <w:pPr>
              <w:suppressAutoHyphens/>
              <w:spacing w:lineRule="atLeast" w:line="100" w:after="80"/>
              <w:jc w:val="both"/>
              <w:rPr>
                <w:rFonts w:cs="Times New Roman" w:eastAsia="Calibri"/>
                <w:kern w:val="2"/>
                <w:lang w:eastAsia="ar-SA" w:val="pl-PL"/>
              </w:rPr>
            </w:pPr>
            <w:r w:rsidRPr="00ED175D">
              <w:rPr>
                <w:rFonts w:cs="Times New Roman" w:eastAsia="Calibri"/>
                <w:kern w:val="2"/>
                <w:lang w:eastAsia="ar-SA" w:val="pl-PL"/>
              </w:rPr>
              <w:t>Troškovi procjene</w:t>
            </w:r>
          </w:p>
        </w:tc>
        <w:tc>
          <w:tcPr>
            <w:tcW w:type="dxa" w:w="1843"/>
            <w:tcBorders>
              <w:top w:space="0" w:sz="4" w:color="auto" w:val="single"/>
              <w:left w:space="0" w:sz="4" w:color="auto" w:val="single"/>
              <w:bottom w:space="0" w:sz="4" w:color="auto" w:val="single"/>
              <w:right w:space="0" w:sz="4" w:color="auto" w:val="single"/>
            </w:tcBorders>
            <w:hideMark/>
          </w:tcPr>
          <w:p w:rsidRDefault="00ED175D" w:rsidP="00ED175D" w:rsidR="00ED175D" w:rsidRPr="00ED175D">
            <w:pPr>
              <w:suppressAutoHyphens/>
              <w:spacing w:lineRule="atLeast" w:line="100" w:after="80"/>
              <w:jc w:val="right"/>
              <w:rPr>
                <w:rFonts w:cs="Times New Roman" w:eastAsia="Calibri"/>
                <w:kern w:val="2"/>
                <w:lang w:eastAsia="ar-SA" w:val="pl-PL"/>
              </w:rPr>
            </w:pPr>
            <w:r w:rsidRPr="00ED175D">
              <w:rPr>
                <w:rFonts w:cs="Times New Roman" w:eastAsia="Calibri"/>
                <w:kern w:val="2"/>
                <w:lang w:eastAsia="ar-SA" w:val="pl-PL"/>
              </w:rPr>
              <w:t>2.600,00</w:t>
            </w:r>
          </w:p>
        </w:tc>
      </w:tr>
      <w:tr w:rsidTr="00ED175D" w:rsidR="00ED175D" w:rsidRPr="00ED175D">
        <w:tc>
          <w:tcPr>
            <w:tcW w:type="dxa" w:w="4253"/>
            <w:tcBorders>
              <w:top w:space="0" w:sz="4" w:color="auto" w:val="single"/>
              <w:left w:space="0" w:sz="4" w:color="auto" w:val="single"/>
              <w:bottom w:space="0" w:sz="4" w:color="auto" w:val="single"/>
              <w:right w:space="0" w:sz="4" w:color="auto" w:val="single"/>
            </w:tcBorders>
            <w:hideMark/>
          </w:tcPr>
          <w:p w:rsidRDefault="00ED175D" w:rsidP="00ED175D" w:rsidR="00ED175D" w:rsidRPr="00ED175D">
            <w:pPr>
              <w:suppressAutoHyphens/>
              <w:spacing w:lineRule="atLeast" w:line="100" w:after="80"/>
              <w:jc w:val="both"/>
              <w:rPr>
                <w:rFonts w:cs="Times New Roman" w:eastAsia="Calibri"/>
                <w:kern w:val="2"/>
                <w:lang w:eastAsia="ar-SA" w:val="pl-PL"/>
              </w:rPr>
            </w:pPr>
            <w:r w:rsidRPr="00ED175D">
              <w:rPr>
                <w:rFonts w:cs="Times New Roman" w:eastAsia="Calibri"/>
                <w:kern w:val="2"/>
                <w:lang w:eastAsia="ar-SA" w:val="pl-PL"/>
              </w:rPr>
              <w:t>Poštanski troškovi</w:t>
            </w:r>
          </w:p>
        </w:tc>
        <w:tc>
          <w:tcPr>
            <w:tcW w:type="dxa" w:w="1843"/>
            <w:tcBorders>
              <w:top w:space="0" w:sz="4" w:color="auto" w:val="single"/>
              <w:left w:space="0" w:sz="4" w:color="auto" w:val="single"/>
              <w:bottom w:space="0" w:sz="4" w:color="auto" w:val="single"/>
              <w:right w:space="0" w:sz="4" w:color="auto" w:val="single"/>
            </w:tcBorders>
            <w:hideMark/>
          </w:tcPr>
          <w:p w:rsidRDefault="00ED175D" w:rsidP="00ED175D" w:rsidR="00ED175D" w:rsidRPr="00ED175D">
            <w:pPr>
              <w:suppressAutoHyphens/>
              <w:spacing w:lineRule="atLeast" w:line="100" w:after="80"/>
              <w:jc w:val="right"/>
              <w:rPr>
                <w:rFonts w:cs="Times New Roman" w:eastAsia="Calibri"/>
                <w:kern w:val="2"/>
                <w:lang w:eastAsia="ar-SA" w:val="pl-PL"/>
              </w:rPr>
            </w:pPr>
            <w:r w:rsidRPr="00ED175D">
              <w:rPr>
                <w:rFonts w:cs="Times New Roman" w:eastAsia="Calibri"/>
                <w:kern w:val="2"/>
                <w:lang w:eastAsia="ar-SA" w:val="pl-PL"/>
              </w:rPr>
              <w:t>284,00</w:t>
            </w:r>
          </w:p>
        </w:tc>
      </w:tr>
      <w:tr w:rsidTr="00ED175D" w:rsidR="00ED175D" w:rsidRPr="00ED175D">
        <w:tc>
          <w:tcPr>
            <w:tcW w:type="dxa" w:w="4253"/>
            <w:tcBorders>
              <w:top w:space="0" w:sz="4" w:color="auto" w:val="single"/>
              <w:left w:space="0" w:sz="4" w:color="auto" w:val="single"/>
              <w:bottom w:space="0" w:sz="4" w:color="auto" w:val="single"/>
              <w:right w:space="0" w:sz="4" w:color="auto" w:val="single"/>
            </w:tcBorders>
            <w:hideMark/>
          </w:tcPr>
          <w:p w:rsidRDefault="00ED175D" w:rsidP="00ED175D" w:rsidR="00ED175D" w:rsidRPr="00ED175D">
            <w:pPr>
              <w:suppressAutoHyphens/>
              <w:spacing w:lineRule="atLeast" w:line="100" w:after="80"/>
              <w:jc w:val="both"/>
              <w:rPr>
                <w:rFonts w:cs="Times New Roman" w:eastAsia="Calibri"/>
                <w:kern w:val="2"/>
                <w:lang w:eastAsia="ar-SA" w:val="pl-PL"/>
              </w:rPr>
            </w:pPr>
            <w:r w:rsidRPr="00ED175D">
              <w:rPr>
                <w:rFonts w:cs="Times New Roman" w:eastAsia="Calibri"/>
                <w:kern w:val="2"/>
                <w:lang w:eastAsia="ar-SA" w:val="pl-PL"/>
              </w:rPr>
              <w:t>Sudske pristojbe</w:t>
            </w:r>
          </w:p>
        </w:tc>
        <w:tc>
          <w:tcPr>
            <w:tcW w:type="dxa" w:w="1843"/>
            <w:tcBorders>
              <w:top w:space="0" w:sz="4" w:color="auto" w:val="single"/>
              <w:left w:space="0" w:sz="4" w:color="auto" w:val="single"/>
              <w:bottom w:space="0" w:sz="4" w:color="auto" w:val="single"/>
              <w:right w:space="0" w:sz="4" w:color="auto" w:val="single"/>
            </w:tcBorders>
            <w:hideMark/>
          </w:tcPr>
          <w:p w:rsidRDefault="00ED175D" w:rsidP="00ED175D" w:rsidR="00ED175D" w:rsidRPr="00ED175D">
            <w:pPr>
              <w:suppressAutoHyphens/>
              <w:spacing w:lineRule="atLeast" w:line="100" w:after="80"/>
              <w:jc w:val="right"/>
              <w:rPr>
                <w:rFonts w:cs="Times New Roman" w:eastAsia="Calibri"/>
                <w:kern w:val="2"/>
                <w:lang w:eastAsia="ar-SA" w:val="pl-PL"/>
              </w:rPr>
            </w:pPr>
            <w:r w:rsidRPr="00ED175D">
              <w:rPr>
                <w:rFonts w:cs="Times New Roman" w:eastAsia="Calibri"/>
                <w:kern w:val="2"/>
                <w:lang w:eastAsia="ar-SA" w:val="pl-PL"/>
              </w:rPr>
              <w:t>250,00</w:t>
            </w:r>
          </w:p>
        </w:tc>
      </w:tr>
      <w:tr w:rsidTr="00ED175D" w:rsidR="00ED175D" w:rsidRPr="00ED175D">
        <w:tc>
          <w:tcPr>
            <w:tcW w:type="dxa" w:w="4253"/>
            <w:tcBorders>
              <w:top w:space="0" w:sz="4" w:color="auto" w:val="single"/>
              <w:left w:space="0" w:sz="4" w:color="auto" w:val="single"/>
              <w:bottom w:space="0" w:sz="4" w:color="auto" w:val="single"/>
              <w:right w:space="0" w:sz="4" w:color="auto" w:val="single"/>
            </w:tcBorders>
            <w:hideMark/>
          </w:tcPr>
          <w:p w:rsidRDefault="00ED175D" w:rsidP="00ED175D" w:rsidR="00ED175D" w:rsidRPr="00ED175D">
            <w:pPr>
              <w:suppressAutoHyphens/>
              <w:spacing w:lineRule="atLeast" w:line="100" w:after="80"/>
              <w:jc w:val="both"/>
              <w:rPr>
                <w:rFonts w:cs="Times New Roman" w:eastAsia="Calibri"/>
                <w:kern w:val="2"/>
                <w:lang w:eastAsia="ar-SA" w:val="pl-PL"/>
              </w:rPr>
            </w:pPr>
            <w:r w:rsidRPr="00ED175D">
              <w:rPr>
                <w:rFonts w:cs="Times New Roman" w:eastAsia="Calibri"/>
                <w:kern w:val="2"/>
                <w:lang w:eastAsia="ar-SA" w:val="pl-PL"/>
              </w:rPr>
              <w:t>Ostali troškovi</w:t>
            </w:r>
          </w:p>
        </w:tc>
        <w:tc>
          <w:tcPr>
            <w:tcW w:type="dxa" w:w="1843"/>
            <w:tcBorders>
              <w:top w:space="0" w:sz="4" w:color="auto" w:val="single"/>
              <w:left w:space="0" w:sz="4" w:color="auto" w:val="single"/>
              <w:bottom w:space="0" w:sz="4" w:color="auto" w:val="single"/>
              <w:right w:space="0" w:sz="4" w:color="auto" w:val="single"/>
            </w:tcBorders>
            <w:hideMark/>
          </w:tcPr>
          <w:p w:rsidRDefault="00ED175D" w:rsidP="00ED175D" w:rsidR="00ED175D" w:rsidRPr="00ED175D">
            <w:pPr>
              <w:suppressAutoHyphens/>
              <w:spacing w:lineRule="atLeast" w:line="100" w:after="80"/>
              <w:jc w:val="right"/>
              <w:rPr>
                <w:rFonts w:cs="Times New Roman" w:eastAsia="Calibri"/>
                <w:kern w:val="2"/>
                <w:lang w:eastAsia="ar-SA" w:val="pl-PL"/>
              </w:rPr>
            </w:pPr>
            <w:r w:rsidRPr="00ED175D">
              <w:rPr>
                <w:rFonts w:cs="Times New Roman" w:eastAsia="Calibri"/>
                <w:kern w:val="2"/>
                <w:lang w:eastAsia="ar-SA" w:val="pl-PL"/>
              </w:rPr>
              <w:t>103,87</w:t>
            </w:r>
          </w:p>
        </w:tc>
      </w:tr>
      <w:tr w:rsidTr="00ED175D" w:rsidR="00ED175D" w:rsidRPr="00ED175D">
        <w:tc>
          <w:tcPr>
            <w:tcW w:type="dxa" w:w="4253"/>
            <w:tcBorders>
              <w:top w:space="0" w:sz="4" w:color="auto" w:val="single"/>
              <w:left w:space="0" w:sz="4" w:color="auto" w:val="single"/>
              <w:bottom w:space="0" w:sz="4" w:color="auto" w:val="single"/>
              <w:right w:space="0" w:sz="4" w:color="auto" w:val="single"/>
            </w:tcBorders>
            <w:hideMark/>
          </w:tcPr>
          <w:p w:rsidRDefault="00ED175D" w:rsidP="00ED175D" w:rsidR="00ED175D" w:rsidRPr="00ED175D">
            <w:pPr>
              <w:suppressAutoHyphens/>
              <w:spacing w:lineRule="atLeast" w:line="100" w:after="80"/>
              <w:jc w:val="both"/>
              <w:rPr>
                <w:rFonts w:cs="Times New Roman" w:eastAsia="Calibri"/>
                <w:b/>
                <w:kern w:val="2"/>
                <w:lang w:eastAsia="ar-SA" w:val="pl-PL"/>
              </w:rPr>
            </w:pPr>
            <w:r w:rsidRPr="00ED175D">
              <w:rPr>
                <w:rFonts w:cs="Times New Roman" w:eastAsia="Calibri"/>
                <w:b/>
                <w:kern w:val="2"/>
                <w:lang w:eastAsia="ar-SA" w:val="pl-PL"/>
              </w:rPr>
              <w:t>UKUPNO:</w:t>
            </w:r>
          </w:p>
        </w:tc>
        <w:tc>
          <w:tcPr>
            <w:tcW w:type="dxa" w:w="1843"/>
            <w:tcBorders>
              <w:top w:space="0" w:sz="4" w:color="auto" w:val="single"/>
              <w:left w:space="0" w:sz="4" w:color="auto" w:val="single"/>
              <w:bottom w:space="0" w:sz="4" w:color="auto" w:val="single"/>
              <w:right w:space="0" w:sz="4" w:color="auto" w:val="single"/>
            </w:tcBorders>
            <w:hideMark/>
          </w:tcPr>
          <w:p w:rsidRDefault="00ED175D" w:rsidP="00ED175D" w:rsidR="00ED175D" w:rsidRPr="00ED175D">
            <w:pPr>
              <w:suppressAutoHyphens/>
              <w:spacing w:lineRule="atLeast" w:line="100" w:after="80"/>
              <w:jc w:val="right"/>
              <w:rPr>
                <w:rFonts w:cs="Times New Roman" w:eastAsia="Calibri"/>
                <w:b/>
                <w:kern w:val="2"/>
                <w:lang w:eastAsia="ar-SA" w:val="pl-PL"/>
              </w:rPr>
            </w:pPr>
            <w:r w:rsidRPr="00ED175D">
              <w:rPr>
                <w:rFonts w:cs="Times New Roman" w:eastAsia="Calibri"/>
                <w:b/>
                <w:kern w:val="2"/>
                <w:lang w:eastAsia="ar-SA" w:val="pl-PL"/>
              </w:rPr>
              <w:t>43.230,57</w:t>
            </w:r>
          </w:p>
        </w:tc>
      </w:tr>
    </w:tbl>
    <w:p w:rsidRDefault="00ED175D" w:rsidP="00ED175D" w:rsidR="00ED175D" w:rsidRPr="00ED175D">
      <w:pPr>
        <w:suppressAutoHyphens/>
        <w:spacing w:lineRule="atLeast" w:line="100" w:after="80"/>
        <w:jc w:val="both"/>
        <w:rPr>
          <w:rFonts w:cs="Times New Roman" w:eastAsia="Calibri"/>
          <w:kern w:val="2"/>
          <w:lang w:eastAsia="ar-SA" w:val="pl-PL"/>
        </w:rPr>
      </w:pPr>
    </w:p>
    <w:p w:rsidRDefault="00ED175D" w:rsidP="00ED175D" w:rsidR="00ED175D" w:rsidRPr="00ED175D">
      <w:pPr>
        <w:suppressAutoHyphens/>
        <w:spacing w:lineRule="atLeast" w:line="100" w:after="80"/>
        <w:jc w:val="both"/>
        <w:rPr>
          <w:rFonts w:cs="Times New Roman" w:eastAsia="Calibri"/>
          <w:kern w:val="2"/>
          <w:lang w:eastAsia="ar-SA" w:val="pl-PL"/>
        </w:rPr>
      </w:pPr>
      <w:r w:rsidRPr="00ED175D">
        <w:rPr>
          <w:rFonts w:cs="Times New Roman" w:eastAsia="Calibri"/>
          <w:kern w:val="2"/>
          <w:lang w:eastAsia="ar-SA" w:val="pl-PL"/>
        </w:rPr>
        <w:lastRenderedPageBreak/>
        <w:t>Napomena: Zaključno są izvatkom br 40/2017. od 11.9.2017.</w:t>
      </w:r>
    </w:p>
    <w:p w:rsidRDefault="00ED175D" w:rsidP="00ED175D" w:rsidR="00ED175D" w:rsidRPr="00ED175D">
      <w:pPr>
        <w:suppressAutoHyphens/>
        <w:spacing w:lineRule="atLeast" w:line="100" w:after="80"/>
        <w:jc w:val="both"/>
        <w:rPr>
          <w:rFonts w:cs="Times New Roman" w:eastAsia="Calibri"/>
          <w:kern w:val="2"/>
          <w:lang w:eastAsia="ar-SA" w:val="pl-PL"/>
        </w:rPr>
      </w:pPr>
    </w:p>
    <w:p w:rsidRDefault="00ED175D" w:rsidP="00ED175D" w:rsidR="00ED175D" w:rsidRPr="00ED175D">
      <w:pPr>
        <w:numPr>
          <w:ilvl w:val="0"/>
          <w:numId w:val="47"/>
        </w:numPr>
        <w:suppressAutoHyphens/>
        <w:spacing w:lineRule="atLeast" w:line="100" w:after="80"/>
        <w:jc w:val="both"/>
        <w:rPr>
          <w:rFonts w:cs="Times New Roman" w:eastAsia="Calibri"/>
          <w:kern w:val="2"/>
          <w:lang w:eastAsia="ar-SA" w:val="pl-PL"/>
        </w:rPr>
      </w:pPr>
      <w:r w:rsidRPr="00ED175D">
        <w:rPr>
          <w:rFonts w:cs="Times New Roman" w:eastAsia="Calibri"/>
          <w:kern w:val="2"/>
          <w:lang w:eastAsia="ar-SA" w:val="pl-PL"/>
        </w:rPr>
        <w:t>dati podatak o isplatama plaća radnika ako su nastavili s radom nakon otvaranja stečajnoga postupka</w:t>
      </w:r>
    </w:p>
    <w:p w:rsidRDefault="00ED175D" w:rsidP="00ED175D" w:rsidR="00ED175D" w:rsidRPr="00ED175D">
      <w:pPr>
        <w:suppressAutoHyphens/>
        <w:spacing w:lineRule="atLeast" w:line="100" w:after="80"/>
        <w:jc w:val="both"/>
        <w:rPr>
          <w:rFonts w:cs="Times New Roman" w:eastAsia="Calibri"/>
          <w:kern w:val="2"/>
          <w:lang w:eastAsia="ar-SA" w:val="pl-PL"/>
        </w:rPr>
      </w:pPr>
      <w:r w:rsidRPr="00ED175D">
        <w:rPr>
          <w:rFonts w:cs="Times New Roman" w:eastAsia="Calibri"/>
          <w:kern w:val="2"/>
          <w:lang w:eastAsia="ar-SA" w:val="pl-PL"/>
        </w:rPr>
        <w:t>Stečajni dužnik nema radnika</w:t>
      </w:r>
    </w:p>
    <w:p w:rsidRDefault="00ED175D" w:rsidP="00ED175D" w:rsidR="00ED175D" w:rsidRPr="00ED175D">
      <w:pPr>
        <w:numPr>
          <w:ilvl w:val="0"/>
          <w:numId w:val="47"/>
        </w:numPr>
        <w:suppressAutoHyphens/>
        <w:spacing w:lineRule="atLeast" w:line="100" w:after="80"/>
        <w:jc w:val="both"/>
        <w:rPr>
          <w:rFonts w:cs="Times New Roman" w:eastAsia="Calibri"/>
          <w:kern w:val="2"/>
          <w:lang w:eastAsia="ar-SA" w:val="pl-PL"/>
        </w:rPr>
      </w:pPr>
      <w:r w:rsidRPr="00ED175D">
        <w:rPr>
          <w:rFonts w:cs="Times New Roman" w:eastAsia="Calibri"/>
          <w:kern w:val="2"/>
          <w:lang w:eastAsia="ar-SA" w:val="pl-PL"/>
        </w:rPr>
        <w:t>dati podatak o namirenju stečajnih vjerovnika (diobe)</w:t>
      </w:r>
    </w:p>
    <w:p w:rsidRDefault="00ED175D" w:rsidP="00ED175D" w:rsidR="00ED175D" w:rsidRPr="00ED175D">
      <w:pPr>
        <w:suppressAutoHyphens/>
        <w:spacing w:lineRule="atLeast" w:line="100" w:after="80"/>
        <w:jc w:val="both"/>
        <w:rPr>
          <w:rFonts w:cs="Times New Roman" w:eastAsia="Calibri"/>
          <w:kern w:val="2"/>
          <w:lang w:eastAsia="ar-SA" w:val="pl-PL"/>
        </w:rPr>
      </w:pPr>
      <w:r w:rsidRPr="00ED175D">
        <w:rPr>
          <w:rFonts w:cs="Times New Roman" w:eastAsia="Calibri"/>
          <w:kern w:val="2"/>
          <w:lang w:eastAsia="ar-SA" w:val="pl-PL"/>
        </w:rPr>
        <w:t>U ovom stečajnom postupku nije poduzeta dioba do dana ovog izvješća.</w:t>
      </w:r>
    </w:p>
    <w:p w:rsidRDefault="00ED175D" w:rsidP="00ED175D" w:rsidR="00ED175D" w:rsidRPr="00ED175D">
      <w:pPr>
        <w:numPr>
          <w:ilvl w:val="0"/>
          <w:numId w:val="47"/>
        </w:numPr>
        <w:suppressAutoHyphens/>
        <w:spacing w:lineRule="atLeast" w:line="100" w:after="80"/>
        <w:jc w:val="both"/>
        <w:rPr>
          <w:rFonts w:cs="Times New Roman" w:eastAsia="Calibri"/>
          <w:kern w:val="2"/>
          <w:lang w:eastAsia="ar-SA" w:val="pl-PL"/>
        </w:rPr>
      </w:pPr>
      <w:r w:rsidRPr="00ED175D">
        <w:rPr>
          <w:rFonts w:cs="Times New Roman" w:eastAsia="Calibri"/>
          <w:kern w:val="2"/>
          <w:lang w:eastAsia="ar-SA" w:val="pl-PL"/>
        </w:rPr>
        <w:t>ostali podaci.</w:t>
      </w:r>
    </w:p>
    <w:p w:rsidRDefault="00ED175D" w:rsidP="00ED175D" w:rsidR="00ED175D" w:rsidRPr="00ED175D">
      <w:pPr>
        <w:suppressAutoHyphens/>
        <w:spacing w:lineRule="atLeast" w:line="100" w:after="80"/>
        <w:ind w:left="360"/>
        <w:rPr>
          <w:rFonts w:cs="Times New Roman" w:eastAsia="Calibri"/>
          <w:kern w:val="2"/>
          <w:lang w:eastAsia="ar-SA" w:val="pl-PL"/>
        </w:rPr>
      </w:pPr>
    </w:p>
    <w:p w:rsidRDefault="00ED175D" w:rsidP="00ED175D" w:rsidR="00ED175D" w:rsidRPr="00ED175D">
      <w:pPr>
        <w:suppressAutoHyphens/>
        <w:spacing w:lineRule="atLeast" w:line="100" w:after="80"/>
        <w:rPr>
          <w:rFonts w:cs="Times New Roman" w:eastAsia="Calibri"/>
          <w:kern w:val="2"/>
          <w:lang w:eastAsia="ar-SA" w:val="pl-PL"/>
        </w:rPr>
      </w:pPr>
    </w:p>
    <w:p w:rsidRDefault="00ED175D" w:rsidP="00ED175D" w:rsidR="00ED175D" w:rsidRPr="00ED175D">
      <w:pPr>
        <w:suppressAutoHyphens/>
        <w:spacing w:lineRule="atLeast" w:line="100" w:after="80"/>
        <w:rPr>
          <w:rFonts w:cs="Times New Roman" w:eastAsia="Calibri"/>
          <w:kern w:val="2"/>
          <w:lang w:eastAsia="ar-SA" w:val="pl-PL"/>
        </w:rPr>
      </w:pPr>
      <w:r w:rsidRPr="00ED175D">
        <w:rPr>
          <w:rFonts w:cs="Times New Roman" w:eastAsia="Calibri"/>
          <w:kern w:val="2"/>
          <w:lang w:eastAsia="ar-SA" w:val="pl-PL"/>
        </w:rPr>
        <w:t>III. RADNJE KOJE ĆE SE PODUZETI U NAREDNOM RAZDOBLJU</w:t>
      </w:r>
    </w:p>
    <w:p w:rsidRDefault="00ED175D" w:rsidP="00ED175D" w:rsidR="00ED175D" w:rsidRPr="00ED175D">
      <w:pPr>
        <w:suppressAutoHyphens/>
        <w:spacing w:lineRule="atLeast" w:line="100" w:after="80"/>
        <w:jc w:val="both"/>
        <w:rPr>
          <w:rFonts w:cs="Times New Roman" w:eastAsia="Calibri"/>
          <w:kern w:val="2"/>
          <w:lang w:eastAsia="ar-SA" w:val="pl-PL"/>
        </w:rPr>
      </w:pPr>
      <w:r w:rsidRPr="00ED175D">
        <w:rPr>
          <w:rFonts w:cs="Times New Roman" w:eastAsia="Calibri"/>
          <w:kern w:val="2"/>
          <w:lang w:eastAsia="ar-SA" w:val="pl-PL"/>
        </w:rPr>
        <w:t>Naznačiti radnje koje će se poduzeti u naredom razdoblju od 13.09.2017. do 13.12.2017.</w:t>
      </w:r>
    </w:p>
    <w:p w:rsidRDefault="00ED175D" w:rsidP="00ED175D" w:rsidR="00ED175D" w:rsidRPr="00ED175D">
      <w:pPr>
        <w:suppressAutoHyphens/>
        <w:spacing w:lineRule="atLeast" w:line="100" w:after="80"/>
        <w:jc w:val="both"/>
        <w:rPr>
          <w:rFonts w:cs="Times New Roman" w:eastAsia="Calibri"/>
          <w:kern w:val="2"/>
          <w:lang w:eastAsia="ar-SA" w:val="pl-PL"/>
        </w:rPr>
      </w:pPr>
    </w:p>
    <w:p w:rsidRDefault="00ED175D" w:rsidP="00ED175D" w:rsidR="00ED175D" w:rsidRPr="00ED175D">
      <w:pPr>
        <w:suppressAutoHyphens/>
        <w:spacing w:lineRule="atLeast" w:line="100" w:after="80"/>
        <w:jc w:val="both"/>
        <w:rPr>
          <w:rFonts w:cs="Times New Roman" w:eastAsia="Calibri"/>
          <w:kern w:val="2"/>
          <w:lang w:eastAsia="ar-SA" w:val="pl-PL"/>
        </w:rPr>
      </w:pPr>
      <w:r w:rsidRPr="00ED175D">
        <w:rPr>
          <w:rFonts w:cs="Times New Roman" w:eastAsia="Calibri"/>
          <w:kern w:val="2"/>
          <w:lang w:eastAsia="ar-SA" w:val="pl-PL"/>
        </w:rPr>
        <w:t>Prodaja nekretnina- po mogućnosti dovršiti postupak prodaje.</w:t>
      </w:r>
    </w:p>
    <w:p w:rsidRDefault="00ED175D" w:rsidP="00ED175D" w:rsidR="00ED175D" w:rsidRPr="00ED175D">
      <w:pPr>
        <w:suppressAutoHyphens/>
        <w:spacing w:lineRule="atLeast" w:line="100" w:after="80"/>
        <w:jc w:val="both"/>
        <w:rPr>
          <w:rFonts w:cs="Times New Roman" w:eastAsia="Calibri"/>
          <w:kern w:val="2"/>
          <w:lang w:eastAsia="ar-SA" w:val="pl-PL"/>
        </w:rPr>
      </w:pPr>
      <w:r w:rsidRPr="00ED175D">
        <w:rPr>
          <w:rFonts w:cs="Times New Roman" w:eastAsia="Calibri"/>
          <w:kern w:val="2"/>
          <w:lang w:eastAsia="ar-SA" w:val="pl-PL"/>
        </w:rPr>
        <w:t>Nastaviti są unovčenjem nenaplaćenih potraživanja.</w:t>
      </w:r>
    </w:p>
    <w:p w:rsidRDefault="00ED175D" w:rsidP="00ED175D" w:rsidR="00ED175D" w:rsidRPr="00ED175D">
      <w:pPr>
        <w:suppressAutoHyphens/>
        <w:spacing w:lineRule="atLeast" w:line="100" w:after="80"/>
        <w:jc w:val="both"/>
        <w:rPr>
          <w:rFonts w:cs="Times New Roman" w:eastAsia="Calibri"/>
          <w:kern w:val="2"/>
          <w:lang w:eastAsia="ar-SA" w:val="pl-PL"/>
        </w:rPr>
      </w:pPr>
    </w:p>
    <w:p w:rsidRDefault="00ED175D" w:rsidP="00ED175D" w:rsidR="00ED175D" w:rsidRPr="00ED175D">
      <w:pPr>
        <w:suppressAutoHyphens/>
        <w:spacing w:lineRule="atLeast" w:line="100" w:after="80"/>
        <w:jc w:val="both"/>
        <w:rPr>
          <w:rFonts w:cs="Times New Roman" w:eastAsia="Calibri"/>
          <w:kern w:val="2"/>
          <w:lang w:eastAsia="ar-SA" w:val="pl-PL"/>
        </w:rPr>
      </w:pPr>
      <w:r w:rsidRPr="00ED175D">
        <w:rPr>
          <w:rFonts w:cs="Times New Roman" w:eastAsia="Calibri"/>
          <w:kern w:val="2"/>
          <w:lang w:eastAsia="ar-SA" w:val="pl-PL"/>
        </w:rPr>
        <w:t>Ako stečajni upravitelj izvješće podnosi radi donošenja odluka pojedinog tijela stečajnoga postupka, izvješće sadrži i prijedlog odluka.</w:t>
      </w:r>
    </w:p>
    <w:p w:rsidRDefault="00ED175D" w:rsidP="00ED175D" w:rsidR="00ED175D" w:rsidRPr="00ED175D">
      <w:pPr>
        <w:suppressAutoHyphens/>
        <w:spacing w:lineRule="atLeast" w:line="100" w:after="80"/>
        <w:ind w:left="360"/>
        <w:rPr>
          <w:rFonts w:cs="Times New Roman" w:eastAsia="Calibri"/>
          <w:kern w:val="2"/>
          <w:lang w:eastAsia="ar-SA" w:val="pl-PL"/>
        </w:rPr>
      </w:pPr>
    </w:p>
    <w:p w:rsidRDefault="00ED175D" w:rsidP="00ED175D" w:rsidR="00ED175D" w:rsidRPr="00ED175D">
      <w:pPr>
        <w:suppressAutoHyphens/>
        <w:spacing w:lineRule="atLeast" w:line="100" w:after="80"/>
        <w:rPr>
          <w:rFonts w:cs="Times New Roman" w:eastAsia="Calibri"/>
          <w:kern w:val="2"/>
          <w:lang w:eastAsia="ar-SA" w:val="pl-PL"/>
        </w:rPr>
      </w:pPr>
      <w:r w:rsidRPr="00ED175D">
        <w:rPr>
          <w:rFonts w:cs="Times New Roman" w:eastAsia="Calibri"/>
          <w:kern w:val="2"/>
          <w:lang w:eastAsia="ar-SA" w:val="pl-PL"/>
        </w:rPr>
        <w:t xml:space="preserve">Mjesto i datum </w:t>
      </w:r>
      <w:r w:rsidRPr="00ED175D">
        <w:rPr>
          <w:rFonts w:cs="Times New Roman" w:eastAsia="Calibri"/>
          <w:kern w:val="2"/>
          <w:lang w:eastAsia="ar-SA" w:val="pl-PL"/>
        </w:rPr>
        <w:tab/>
      </w:r>
      <w:r w:rsidRPr="00ED175D">
        <w:rPr>
          <w:rFonts w:cs="Times New Roman" w:eastAsia="Calibri"/>
          <w:kern w:val="2"/>
          <w:lang w:eastAsia="ar-SA" w:val="pl-PL"/>
        </w:rPr>
        <w:tab/>
      </w:r>
      <w:r w:rsidRPr="00ED175D">
        <w:rPr>
          <w:rFonts w:cs="Times New Roman" w:eastAsia="Calibri"/>
          <w:kern w:val="2"/>
          <w:lang w:eastAsia="ar-SA" w:val="pl-PL"/>
        </w:rPr>
        <w:tab/>
      </w:r>
      <w:r w:rsidRPr="00ED175D">
        <w:rPr>
          <w:rFonts w:cs="Times New Roman" w:eastAsia="Calibri"/>
          <w:kern w:val="2"/>
          <w:lang w:eastAsia="ar-SA" w:val="pl-PL"/>
        </w:rPr>
        <w:tab/>
      </w:r>
      <w:r w:rsidRPr="00ED175D">
        <w:rPr>
          <w:rFonts w:cs="Times New Roman" w:eastAsia="Calibri"/>
          <w:kern w:val="2"/>
          <w:lang w:eastAsia="ar-SA" w:val="pl-PL"/>
        </w:rPr>
        <w:tab/>
      </w:r>
      <w:r w:rsidRPr="00ED175D">
        <w:rPr>
          <w:rFonts w:cs="Times New Roman" w:eastAsia="Calibri"/>
          <w:kern w:val="2"/>
          <w:lang w:eastAsia="ar-SA" w:val="pl-PL"/>
        </w:rPr>
        <w:tab/>
        <w:t>Stečajni upravitelj</w:t>
      </w:r>
    </w:p>
    <w:p w:rsidRDefault="00ED175D" w:rsidP="00ED175D" w:rsidR="00ED175D" w:rsidRPr="00ED175D">
      <w:pPr>
        <w:suppressAutoHyphens/>
        <w:spacing w:lineRule="atLeast" w:line="100" w:after="80"/>
        <w:rPr>
          <w:rFonts w:cs="Times New Roman" w:eastAsia="Calibri"/>
          <w:kern w:val="2"/>
          <w:lang w:eastAsia="ar-SA" w:val="pl-PL"/>
        </w:rPr>
      </w:pPr>
      <w:r w:rsidRPr="00ED175D">
        <w:rPr>
          <w:rFonts w:cs="Times New Roman" w:eastAsia="Calibri"/>
          <w:kern w:val="2"/>
          <w:lang w:eastAsia="ar-SA" w:val="pl-PL"/>
        </w:rPr>
        <w:t>Koprivnici, 12.09.2017.</w:t>
      </w:r>
      <w:r w:rsidRPr="00ED175D">
        <w:rPr>
          <w:rFonts w:cs="Times New Roman" w:eastAsia="Calibri"/>
          <w:kern w:val="2"/>
          <w:lang w:eastAsia="ar-SA" w:val="pl-PL"/>
        </w:rPr>
        <w:tab/>
      </w:r>
      <w:r w:rsidRPr="00ED175D">
        <w:rPr>
          <w:rFonts w:cs="Times New Roman" w:eastAsia="Calibri"/>
          <w:kern w:val="2"/>
          <w:lang w:eastAsia="ar-SA" w:val="pl-PL"/>
        </w:rPr>
        <w:tab/>
      </w:r>
      <w:r w:rsidRPr="00ED175D">
        <w:rPr>
          <w:rFonts w:cs="Times New Roman" w:eastAsia="Calibri"/>
          <w:kern w:val="2"/>
          <w:lang w:eastAsia="ar-SA" w:val="pl-PL"/>
        </w:rPr>
        <w:tab/>
      </w:r>
      <w:r w:rsidRPr="00ED175D">
        <w:rPr>
          <w:rFonts w:cs="Times New Roman" w:eastAsia="Calibri"/>
          <w:kern w:val="2"/>
          <w:lang w:eastAsia="ar-SA" w:val="pl-PL"/>
        </w:rPr>
        <w:tab/>
      </w:r>
      <w:r w:rsidRPr="00ED175D">
        <w:rPr>
          <w:rFonts w:cs="Times New Roman" w:eastAsia="Calibri"/>
          <w:kern w:val="2"/>
          <w:lang w:eastAsia="ar-SA" w:val="pl-PL"/>
        </w:rPr>
        <w:tab/>
        <w:t>____________________</w:t>
      </w:r>
    </w:p>
    <w:p w:rsidRDefault="00ED175D" w:rsidP="00ED175D" w:rsidR="00ED175D" w:rsidRPr="00ED175D">
      <w:pPr>
        <w:suppressAutoHyphens/>
        <w:spacing w:lineRule="atLeast" w:line="100" w:after="80"/>
        <w:ind w:left="360"/>
        <w:rPr>
          <w:rFonts w:cs="Times New Roman" w:eastAsia="Calibri"/>
          <w:kern w:val="2"/>
          <w:lang w:eastAsia="ar-SA" w:val="pl-PL"/>
        </w:rPr>
      </w:pPr>
    </w:p>
    <w:p w:rsidRDefault="00ED175D" w:rsidP="00ED175D" w:rsidR="00ED175D" w:rsidRPr="00ED175D">
      <w:pPr>
        <w:suppressAutoHyphens/>
        <w:spacing w:lineRule="atLeast" w:line="100" w:after="80"/>
        <w:rPr>
          <w:rFonts w:cs="Times New Roman" w:eastAsia="Calibri" w:hAnsi="Calibri" w:ascii="Calibri"/>
          <w:kern w:val="2"/>
          <w:sz w:val="22"/>
          <w:szCs w:val="22"/>
          <w:lang w:eastAsia="ar-SA"/>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0000001"/>
    <w:multiLevelType w:val="multilevel"/>
    <w:tmpl w:val="00000001"/>
    <w:name w:val="WWNum1"/>
    <w:lvl w:ilvl="0">
      <w:start w:val="1"/>
      <w:numFmt w:val="decimal"/>
      <w:lvlText w:val="%1."/>
      <w:lvlJc w:val="left"/>
      <w:pPr>
        <w:tabs>
          <w:tab w:pos="720" w:val="num"/>
        </w:tabs>
        <w:ind w:hanging="360" w:left="720"/>
      </w:pPr>
      <w:rPr>
        <w:rFonts w:cs="Times New Roman"/>
      </w:rPr>
    </w:lvl>
    <w:lvl w:ilvl="1">
      <w:start w:val="1"/>
      <w:numFmt w:val="lowerLetter"/>
      <w:lvlText w:val="%2."/>
      <w:lvlJc w:val="left"/>
      <w:pPr>
        <w:tabs>
          <w:tab w:pos="1440" w:val="num"/>
        </w:tabs>
        <w:ind w:hanging="360" w:left="1440"/>
      </w:pPr>
      <w:rPr>
        <w:rFonts w:cs="Times New Roman"/>
      </w:rPr>
    </w:lvl>
    <w:lvl w:ilvl="2">
      <w:start w:val="1"/>
      <w:numFmt w:val="lowerRoman"/>
      <w:lvlText w:val="%2.%3."/>
      <w:lvlJc w:val="right"/>
      <w:pPr>
        <w:tabs>
          <w:tab w:pos="2160" w:val="num"/>
        </w:tabs>
        <w:ind w:hanging="180" w:left="2160"/>
      </w:pPr>
      <w:rPr>
        <w:rFonts w:cs="Times New Roman"/>
      </w:rPr>
    </w:lvl>
    <w:lvl w:ilvl="3">
      <w:start w:val="1"/>
      <w:numFmt w:val="decimal"/>
      <w:lvlText w:val="%2.%3.%4."/>
      <w:lvlJc w:val="left"/>
      <w:pPr>
        <w:tabs>
          <w:tab w:pos="2880" w:val="num"/>
        </w:tabs>
        <w:ind w:hanging="360" w:left="2880"/>
      </w:pPr>
      <w:rPr>
        <w:rFonts w:cs="Times New Roman"/>
      </w:rPr>
    </w:lvl>
    <w:lvl w:ilvl="4">
      <w:start w:val="1"/>
      <w:numFmt w:val="lowerLetter"/>
      <w:lvlText w:val="%2.%3.%4.%5."/>
      <w:lvlJc w:val="left"/>
      <w:pPr>
        <w:tabs>
          <w:tab w:pos="3600" w:val="num"/>
        </w:tabs>
        <w:ind w:hanging="360" w:left="3600"/>
      </w:pPr>
      <w:rPr>
        <w:rFonts w:cs="Times New Roman"/>
      </w:rPr>
    </w:lvl>
    <w:lvl w:ilvl="5">
      <w:start w:val="1"/>
      <w:numFmt w:val="lowerRoman"/>
      <w:lvlText w:val="%2.%3.%4.%5.%6."/>
      <w:lvlJc w:val="right"/>
      <w:pPr>
        <w:tabs>
          <w:tab w:pos="4320" w:val="num"/>
        </w:tabs>
        <w:ind w:hanging="180" w:left="4320"/>
      </w:pPr>
      <w:rPr>
        <w:rFonts w:cs="Times New Roman"/>
      </w:rPr>
    </w:lvl>
    <w:lvl w:ilvl="6">
      <w:start w:val="1"/>
      <w:numFmt w:val="decimal"/>
      <w:lvlText w:val="%2.%3.%4.%5.%6.%7."/>
      <w:lvlJc w:val="left"/>
      <w:pPr>
        <w:tabs>
          <w:tab w:pos="5040" w:val="num"/>
        </w:tabs>
        <w:ind w:hanging="360" w:left="5040"/>
      </w:pPr>
      <w:rPr>
        <w:rFonts w:cs="Times New Roman"/>
      </w:rPr>
    </w:lvl>
    <w:lvl w:ilvl="7">
      <w:start w:val="1"/>
      <w:numFmt w:val="lowerLetter"/>
      <w:lvlText w:val="%2.%3.%4.%5.%6.%7.%8."/>
      <w:lvlJc w:val="left"/>
      <w:pPr>
        <w:tabs>
          <w:tab w:pos="5760" w:val="num"/>
        </w:tabs>
        <w:ind w:hanging="360" w:left="5760"/>
      </w:pPr>
      <w:rPr>
        <w:rFonts w:cs="Times New Roman"/>
      </w:rPr>
    </w:lvl>
    <w:lvl w:ilvl="8">
      <w:start w:val="1"/>
      <w:numFmt w:val="lowerRoman"/>
      <w:lvlText w:val="%2.%3.%4.%5.%6.%7.%8.%9."/>
      <w:lvlJc w:val="right"/>
      <w:pPr>
        <w:tabs>
          <w:tab w:pos="6480" w:val="num"/>
        </w:tabs>
        <w:ind w:hanging="180" w:left="6480"/>
      </w:pPr>
      <w:rPr>
        <w:rFonts w:cs="Times New Roman"/>
      </w:r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2"/>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10"/>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175D"/>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8896297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2017.</izvorni_sadrzaj>
    <derivirana_varijabla naziv="DomainObject.DatumDonosenjaOdluke_1">19.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St-175/2016-41</izvorni_sadrzaj>
    <derivirana_varijabla naziv="DomainObject.Oznaka_1">St-175/2016-41</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izvorni_sadrzaj>
    <derivirana_varijabla naziv="DomainObject.Predmet.Broj_1">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St-175/2016</izvorni_sadrzaj>
    <derivirana_varijabla naziv="DomainObject.Predmet.OznakaBroj_1">St-175/2016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INFO TIM društvo s ograničenom odgovornošću za proizvodnju, trgovinu i usluge, Bjelovar zastupanog po punomoćniku Boris Blum</izvorni_sadrzaj>
    <derivirana_varijabla naziv="DomainObject.Predmet.ProtustrankaFormated_1">  INFO TIM društvo s ograničenom odgovornošću za proizvodnju, trgovinu i usluge, Bjelovar zastupanog po punomoćniku Boris Blum</derivirana_varijabla>
  </DomainObject.Predmet.ProtustrankaFormated>
  <DomainObject.Predmet.ProtustrankaFormatedOIB>
    <izvorni_sadrzaj>  INFO TIM društvo s ograničenom odgovornošću za proizvodnju, trgovinu i usluge, Bjelovar, OIB 07097009801 zastupanog po punomoćniku Boris Blum</izvorni_sadrzaj>
    <derivirana_varijabla naziv="DomainObject.Predmet.ProtustrankaFormatedOIB_1">  INFO TIM društvo s ograničenom odgovornošću za proizvodnju, trgovinu i usluge, Bjelovar, OIB 07097009801 zastupanog po punomoćniku Boris Blum</derivirana_varijabla>
  </DomainObject.Predmet.ProtustrankaFormatedOIB>
  <DomainObject.Predmet.ProtustrankaFormatedWithAdress>
    <izvorni_sadrzaj> INFO TIM društvo s ograničenom odgovornošću za proizvodnju, trgovinu i usluge, Bjelovar, Naselje kralja Zvonimira 2//2, 43000 Bjelovar zastupanog po punomoćniku Boris Blum</izvorni_sadrzaj>
    <derivirana_varijabla naziv="DomainObject.Predmet.ProtustrankaFormatedWithAdress_1"> INFO TIM društvo s ograničenom odgovornošću za proizvodnju, trgovinu i usluge, Bjelovar, Naselje kralja Zvonimira 2//2, 43000 Bjelovar zastupanog po punomoćniku Boris Blum</derivirana_varijabla>
  </DomainObject.Predmet.ProtustrankaFormatedWithAdress>
  <DomainObject.Predmet.ProtustrankaFormatedWithAdressOIB>
    <izvorni_sadrzaj> INFO TIM društvo s ograničenom odgovornošću za proizvodnju, trgovinu i usluge, Bjelovar, OIB 07097009801, Naselje kralja Zvonimira 2//2, 43000 Bjelovar zastupanog po punomoćniku Boris Blum</izvorni_sadrzaj>
    <derivirana_varijabla naziv="DomainObject.Predmet.ProtustrankaFormatedWithAdressOIB_1"> INFO TIM društvo s ograničenom odgovornošću za proizvodnju, trgovinu i usluge, Bjelovar, OIB 07097009801, Naselje kralja Zvonimira 2//2, 43000 Bjelovar zastupanog po punomoćniku Boris Blum</derivirana_varijabla>
  </DomainObject.Predmet.ProtustrankaFormatedWithAdressOIB>
  <DomainObject.Predmet.ProtustrankaWithAdress>
    <izvorni_sadrzaj>INFO TIM društvo s ograničenom odgovornošću za proizvodnju, trgovinu i usluge, Bjelovar Naselje kralja Zvonimira 2//2, 43000 Bjelovar</izvorni_sadrzaj>
    <derivirana_varijabla naziv="DomainObject.Predmet.ProtustrankaWithAdress_1">INFO TIM društvo s ograničenom odgovornošću za proizvodnju, trgovinu i usluge, Bjelovar Naselje kralja Zvonimira 2//2, 43000 Bjelovar</derivirana_varijabla>
  </DomainObject.Predmet.ProtustrankaWithAdress>
  <DomainObject.Predmet.ProtustrankaWithAdressOIB>
    <izvorni_sadrzaj>INFO TIM društvo s ograničenom odgovornošću za proizvodnju, trgovinu i usluge, Bjelovar, OIB 07097009801, Naselje kralja Zvonimira 2//2, 43000 Bjelovar</izvorni_sadrzaj>
    <derivirana_varijabla naziv="DomainObject.Predmet.ProtustrankaWithAdressOIB_1">INFO TIM društvo s ograničenom odgovornošću za proizvodnju, trgovinu i usluge, Bjelovar, OIB 07097009801, Naselje kralja Zvonimira 2//2, 43000 Bjelovar</derivirana_varijabla>
  </DomainObject.Predmet.ProtustrankaWithAdressOIB>
  <DomainObject.Predmet.ProtustrankaNazivFormated>
    <izvorni_sadrzaj>INFO TIM društvo s ograničenom odgovornošću za proizvodnju, trgovinu i usluge, Bjelovar</izvorni_sadrzaj>
    <derivirana_varijabla naziv="DomainObject.Predmet.ProtustrankaNazivFormated_1">INFO TIM društvo s ograničenom odgovornošću za proizvodnju, trgovinu i usluge, Bjelovar</derivirana_varijabla>
  </DomainObject.Predmet.ProtustrankaNazivFormated>
  <DomainObject.Predmet.ProtustrankaNazivFormatedOIB>
    <izvorni_sadrzaj>INFO TIM društvo s ograničenom odgovornošću za proizvodnju, trgovinu i usluge, Bjelovar, OIB 07097009801</izvorni_sadrzaj>
    <derivirana_varijabla naziv="DomainObject.Predmet.ProtustrankaNazivFormatedOIB_1">INFO TIM društvo s ograničenom odgovornošću za proizvodnju, trgovinu i usluge, Bjelovar, OIB 07097009801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INFO TIM društvo s ograničenom odgovornošću za proizvodnju, trgovinu i usluge, Bjelovar zastupanog po punomoćniku Boris Blum</item>
    </izvorni_sadrzaj>
    <derivirana_varijabla naziv="DomainObject.Predmet.ProtuStrankaListFormated_1">
      <item>INFO TIM društvo s ograničenom odgovornošću za proizvodnju, trgovinu i usluge, Bjelovar zastupanog po punomoćniku Boris Blum</item>
    </derivirana_varijabla>
  </DomainObject.Predmet.ProtuStrankaListFormated>
  <DomainObject.Predmet.ProtuStrankaListFormatedOIB>
    <izvorni_sadrzaj>
      <item>INFO TIM društvo s ograničenom odgovornošću za proizvodnju, trgovinu i usluge, Bjelovar, OIB 07097009801 zastupanog po punomoćniku Boris Blum</item>
    </izvorni_sadrzaj>
    <derivirana_varijabla naziv="DomainObject.Predmet.ProtuStrankaListFormatedOIB_1">
      <item>INFO TIM društvo s ograničenom odgovornošću za proizvodnju, trgovinu i usluge, Bjelovar, OIB 07097009801 zastupanog po punomoćniku Boris Blum</item>
    </derivirana_varijabla>
  </DomainObject.Predmet.ProtuStrankaListFormatedOIB>
  <DomainObject.Predmet.ProtuStrankaListFormatedWithAdress>
    <izvorni_sadrzaj>
      <item>INFO TIM društvo s ograničenom odgovornošću za proizvodnju, trgovinu i usluge, Bjelovar, Naselje kralja Zvonimira 2//2, 43000 Bjelovar zastupanog po punomoćniku Boris Blum</item>
    </izvorni_sadrzaj>
    <derivirana_varijabla naziv="DomainObject.Predmet.ProtuStrankaListFormatedWithAdress_1">
      <item>INFO TIM društvo s ograničenom odgovornošću za proizvodnju, trgovinu i usluge, Bjelovar, Naselje kralja Zvonimira 2//2, 43000 Bjelovar zastupanog po punomoćniku Boris Blum</item>
    </derivirana_varijabla>
  </DomainObject.Predmet.ProtuStrankaListFormatedWithAdress>
  <DomainObject.Predmet.ProtuStrankaListFormatedWithAdressOIB>
    <izvorni_sadrzaj>
      <item>INFO TIM društvo s ograničenom odgovornošću za proizvodnju, trgovinu i usluge, Bjelovar, OIB 07097009801, Naselje kralja Zvonimira 2//2, 43000 Bjelovar zastupanog po punomoćniku Boris Blum</item>
    </izvorni_sadrzaj>
    <derivirana_varijabla naziv="DomainObject.Predmet.ProtuStrankaListFormatedWithAdressOIB_1">
      <item>INFO TIM društvo s ograničenom odgovornošću za proizvodnju, trgovinu i usluge, Bjelovar, OIB 07097009801, Naselje kralja Zvonimira 2//2, 43000 Bjelovar zastupanog po punomoćniku Boris Blum</item>
    </derivirana_varijabla>
  </DomainObject.Predmet.ProtuStrankaListFormatedWithAdressOIB>
  <DomainObject.Predmet.ProtuStrankaListNazivFormated>
    <izvorni_sadrzaj>
      <item>INFO TIM društvo s ograničenom odgovornošću za proizvodnju, trgovinu i usluge, Bjelovar</item>
    </izvorni_sadrzaj>
    <derivirana_varijabla naziv="DomainObject.Predmet.ProtuStrankaListNazivFormated_1">
      <item>INFO TIM društvo s ograničenom odgovornošću za proizvodnju, trgovinu i usluge, Bjelovar</item>
    </derivirana_varijabla>
  </DomainObject.Predmet.ProtuStrankaListNazivFormated>
  <DomainObject.Predmet.ProtuStrankaListNazivFormatedOIB>
    <izvorni_sadrzaj>
      <item>INFO TIM društvo s ograničenom odgovornošću za proizvodnju, trgovinu i usluge, Bjelovar, OIB 07097009801</item>
    </izvorni_sadrzaj>
    <derivirana_varijabla naziv="DomainObject.Predmet.ProtuStrankaListNazivFormatedOIB_1">
      <item>INFO TIM društvo s ograničenom odgovornošću za proizvodnju, trgovinu i usluge, Bjelovar, OIB 07097009801</item>
    </derivirana_varijabla>
  </DomainObject.Predmet.ProtuStrankaListNazivFormatedOIB>
  <DomainObject.Predmet.OstaliListFormated>
    <izvorni_sadrzaj>
      <item>Boris Blum punomoćnik sudionika u postupku INFO TIM društvo s ograničenom odgovornošću za proizvodnju, trgovinu i usluge, Bjelovar</item>
      <item>Odvjetničko društvo Mađarić &amp; Lui</item>
      <item>Zagrebačka banka d.d.</item>
      <item>Nenad Homar</item>
      <item>Županijsko državno odvjetništvo u Bjelovaru</item>
    </izvorni_sadrzaj>
    <derivirana_varijabla naziv="DomainObject.Predmet.OstaliListFormated_1">
      <item>Boris Blum punomoćnik sudionika u postupku INFO TIM društvo s ograničenom odgovornošću za proizvodnju, trgovinu i usluge, Bjelovar</item>
      <item>Odvjetničko društvo Mađarić &amp; Lui</item>
      <item>Zagrebačka banka d.d.</item>
      <item>Nenad Homar</item>
      <item>Županijsko državno odvjetništvo u Bjelovaru</item>
    </derivirana_varijabla>
  </DomainObject.Predmet.OstaliListFormated>
  <DomainObject.Predmet.OstaliListFormatedOIB>
    <izvorni_sadrzaj>
      <item>Boris Blum, OIB 04257897674 punomoćnik sudionika u postupku INFO TIM društvo s ograničenom odgovornošću za proizvodnju, trgovinu i usluge, Bjelovar</item>
      <item>Odvjetničko društvo Mađarić &amp; Lui</item>
      <item>Zagrebačka banka d.d.</item>
      <item>Nenad Homar, OIB 11719729882</item>
      <item>Županijsko državno odvjetništvo u Bjelovaru</item>
    </izvorni_sadrzaj>
    <derivirana_varijabla naziv="DomainObject.Predmet.OstaliListFormatedOIB_1">
      <item>Boris Blum, OIB 04257897674 punomoćnik sudionika u postupku INFO TIM društvo s ograničenom odgovornošću za proizvodnju, trgovinu i usluge, Bjelovar</item>
      <item>Odvjetničko društvo Mađarić &amp; Lui</item>
      <item>Zagrebačka banka d.d.</item>
      <item>Nenad Homar, OIB 11719729882</item>
      <item>Županijsko državno odvjetništvo u Bjelovaru</item>
    </derivirana_varijabla>
  </DomainObject.Predmet.OstaliListFormatedOIB>
  <DomainObject.Predmet.OstaliListFormatedWithAdress>
    <izvorni_sadrzaj>
      <item>Boris Blum, Naselje Kralja Zvonimira 2//2, 43000 Bjelovar punomoćnik sudionika u postupku INFO TIM društvo s ograničenom odgovornošću za proizvodnju, trgovinu i usluge, Bjelovar</item>
      <item>Odvjetničko društvo Mađarić &amp; Lui, Ilica 191f, 10000 Zagreb</item>
      <item>Zagrebačka banka d.d., Trg bana Josipa Jelačića 10, 10000 Zagreb</item>
      <item>Nenad Homar, Dravska 1, 48000 Koprivnica</item>
      <item>Županijsko državno odvjetništvo u Bjelovaru</item>
    </izvorni_sadrzaj>
    <derivirana_varijabla naziv="DomainObject.Predmet.OstaliListFormatedWithAdress_1">
      <item>Boris Blum, Naselje Kralja Zvonimira 2//2, 43000 Bjelovar punomoćnik sudionika u postupku INFO TIM društvo s ograničenom odgovornošću za proizvodnju, trgovinu i usluge, Bjelovar</item>
      <item>Odvjetničko društvo Mađarić &amp; Lui, Ilica 191f, 10000 Zagreb</item>
      <item>Zagrebačka banka d.d., Trg bana Josipa Jelačića 10, 10000 Zagreb</item>
      <item>Nenad Homar, Dravska 1, 48000 Koprivnica</item>
      <item>Županijsko državno odvjetništvo u Bjelovaru</item>
    </derivirana_varijabla>
  </DomainObject.Predmet.OstaliListFormatedWithAdress>
  <DomainObject.Predmet.OstaliListFormatedWithAdressOIB>
    <izvorni_sadrzaj>
      <item>Boris Blum, OIB 04257897674, Naselje Kralja Zvonimira 2//2, 43000 Bjelovar punomoćnik sudionika u postupku INFO TIM društvo s ograničenom odgovornošću za proizvodnju, trgovinu i usluge, Bjelovar</item>
      <item>Odvjetničko društvo Mađarić &amp; Lui, Ilica 191f, 10000 Zagreb</item>
      <item>Zagrebačka banka d.d., Trg bana Josipa Jelačića 10, 10000 Zagreb</item>
      <item>Nenad Homar, OIB 11719729882, Dravska 1, 48000 Koprivnica</item>
      <item>Županijsko državno odvjetništvo u Bjelovaru</item>
    </izvorni_sadrzaj>
    <derivirana_varijabla naziv="DomainObject.Predmet.OstaliListFormatedWithAdressOIB_1">
      <item>Boris Blum, OIB 04257897674, Naselje Kralja Zvonimira 2//2, 43000 Bjelovar punomoćnik sudionika u postupku INFO TIM društvo s ograničenom odgovornošću za proizvodnju, trgovinu i usluge, Bjelovar</item>
      <item>Odvjetničko društvo Mađarić &amp; Lui, Ilica 191f, 10000 Zagreb</item>
      <item>Zagrebačka banka d.d., Trg bana Josipa Jelačića 10, 10000 Zagreb</item>
      <item>Nenad Homar, OIB 11719729882, Dravska 1, 48000 Koprivnica</item>
      <item>Županijsko državno odvjetništvo u Bjelovaru</item>
    </derivirana_varijabla>
  </DomainObject.Predmet.OstaliListFormatedWithAdressOIB>
  <DomainObject.Predmet.OstaliListNazivFormated>
    <izvorni_sadrzaj>
      <item>Boris Blum</item>
      <item>Odvjetničko društvo Mađarić &amp; Lui</item>
      <item>Zagrebačka banka d.d.</item>
      <item>Nenad Homar</item>
      <item>Županijsko državno odvjetništvo u Bjelovaru</item>
    </izvorni_sadrzaj>
    <derivirana_varijabla naziv="DomainObject.Predmet.OstaliListNazivFormated_1">
      <item>Boris Blum</item>
      <item>Odvjetničko društvo Mađarić &amp; Lui</item>
      <item>Zagrebačka banka d.d.</item>
      <item>Nenad Homar</item>
      <item>Županijsko državno odvjetništvo u Bjelovaru</item>
    </derivirana_varijabla>
  </DomainObject.Predmet.OstaliListNazivFormated>
  <DomainObject.Predmet.OstaliListNazivFormatedOIB>
    <izvorni_sadrzaj>
      <item>Boris Blum, OIB 04257897674</item>
      <item>Odvjetničko društvo Mađarić &amp; Lui</item>
      <item>Zagrebačka banka d.d.</item>
      <item>Nenad Homar, OIB 11719729882</item>
      <item>Županijsko državno odvjetništvo u Bjelovaru</item>
    </izvorni_sadrzaj>
    <derivirana_varijabla naziv="DomainObject.Predmet.OstaliListNazivFormatedOIB_1">
      <item>Boris Blum, OIB 04257897674</item>
      <item>Odvjetničko društvo Mađarić &amp; Lui</item>
      <item>Zagrebačka banka d.d.</item>
      <item>Nenad Homar, OIB 11719729882</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2017.</izvorni_sadrzaj>
    <derivirana_varijabla naziv="DomainObject.Datum_1">19. rujna 2017.</derivirana_varijabla>
  </DomainObject.Datum>
  <DomainObject.PoslovniBrojDokumenta>
    <izvorni_sadrzaj>St-175/2016-41</izvorni_sadrzaj>
    <derivirana_varijabla naziv="DomainObject.PoslovniBrojDokumenta_1">St-175/2016-41</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INFO TIM društvo s ograničenom odgovornošću za proizvodnju, trgovinu i usluge, Bjelovar</izvorni_sadrzaj>
    <derivirana_varijabla naziv="DomainObject.Predmet.ProtustrankaIDrugi_1">INFO TIM društvo s ograničenom odgovornošću za proizvodnju, trgovinu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INFO TIM društvo s ograničenom odgovornošću za proizvodnju, trgovinu i usluge, Bjelovar, OIB 07097009801, Naselje kralja Zvonimira 2//2, 43000 Bjelovar</izvorni_sadrzaj>
    <derivirana_varijabla naziv="DomainObject.Predmet.ProtustrankaIDrugiAdressOIB_1">INFO TIM društvo s ograničenom odgovornošću za proizvodnju, trgovinu i usluge, Bjelovar, OIB 07097009801, Naselje kralja Zvonimira 2//2,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INFO TIM društvo s ograničenom odgovornošću za proizvodnju, trgovinu i usluge, Bjelovar</item>
      <item>Boris Blum</item>
      <item>Odvjetničko društvo Mađarić &amp; Lui</item>
      <item>Zagrebačka banka d.d.</item>
      <item>Nenad Homar</item>
      <item>Županijsko državno odvjetništvo u Bjelovaru</item>
    </izvorni_sadrzaj>
    <derivirana_varijabla naziv="DomainObject.Predmet.SudioniciListNaziv_1">
      <item>FINA, RC ZAGREB, Podružnica Bjelovar</item>
      <item>INFO TIM društvo s ograničenom odgovornošću za proizvodnju, trgovinu i usluge, Bjelovar</item>
      <item>Boris Blum</item>
      <item>Odvjetničko društvo Mađarić &amp; Lui</item>
      <item>Zagrebačka banka d.d.</item>
      <item>Nenad Homar</item>
      <item>Županijsko državno odvjetništvo u Bjelovaru</item>
    </derivirana_varijabla>
  </DomainObject.Predmet.SudioniciListNaziv>
  <DomainObject.Predmet.SudioniciListAdressOIB>
    <izvorni_sadrzaj>
      <item>FINA, RC ZAGREB, Podružnica Bjelovar, OIB 85821130368, F. Supila 4,43000 Bjelovar</item>
      <item>INFO TIM društvo s ograničenom odgovornošću za proizvodnju, trgovinu i usluge, Bjelovar, OIB 07097009801, Naselje kralja Zvonimira 2//2,43000 Bjelovar</item>
      <item>Boris Blum, OIB 04257897674, Naselje Kralja Zvonimira 2//2,43000 Bjelovar</item>
      <item>Odvjetničko društvo Mađarić &amp; Lui, Ilica 191f,10000 Zagreb</item>
      <item>Zagrebačka banka d.d., Trg bana Josipa Jelačića 10,10000 Zagreb</item>
      <item>Nenad Homar, OIB 11719729882, Dravska 1,48000 Koprivnica</item>
      <item>Županijsko državno odvjetništvo u Bjelovaru</item>
    </izvorni_sadrzaj>
    <derivirana_varijabla naziv="DomainObject.Predmet.SudioniciListAdressOIB_1">
      <item>FINA, RC ZAGREB, Podružnica Bjelovar, OIB 85821130368, F. Supila 4,43000 Bjelovar</item>
      <item>INFO TIM društvo s ograničenom odgovornošću za proizvodnju, trgovinu i usluge, Bjelovar, OIB 07097009801, Naselje kralja Zvonimira 2//2,43000 Bjelovar</item>
      <item>Boris Blum, OIB 04257897674, Naselje Kralja Zvonimira 2//2,43000 Bjelovar</item>
      <item>Odvjetničko društvo Mađarić &amp; Lui, Ilica 191f,10000 Zagreb</item>
      <item>Zagrebačka banka d.d., Trg bana Josipa Jelačića 10,10000 Zagreb</item>
      <item>Nenad Homar, OIB 11719729882, Dravska 1,48000 Koprivnica</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7B9774-2F68-4834-AB72-0030E21880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1012</properties:Words>
  <properties:Characters>6041</properties:Characters>
  <properties:Lines>175</properties:Lines>
  <properties:Paragraphs>91</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6987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2017-09-19T11:45:00Z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St-175/2016-41 / Odluka - Dopis - dostava oglasa radi javne objave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