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cuID" Type="http://schemas.microsoft.com/office/2006/relationships/ui/extensibility" Target="customUI/customUI.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d32190" w14:paraId="9d32190" w:rsidRDefault="00170492" w:rsidP="00E67D40" w:rsidR="00170492">
      <w:pPr>
        <w:pStyle w:val="SudNaziv"/>
        <w15:collapsed w:val="false"/>
        <w:rPr>
          <w:rStyle w:val="PozadinaSvijetloZelena"/>
          <w:b w:val="false"/>
        </w:rPr>
      </w:pPr>
      <w:bookmarkStart w:name="_GoBack" w:id="0"/>
      <w:bookmarkEnd w:id="0"/>
      <w:r w:rsidRPr="00AD32DA">
        <w:rPr>
          <w:b w:val="false"/>
          <w:lang w:eastAsia="hr-HR"/>
        </w:rPr>
        <w:drawing>
          <wp:anchor allowOverlap="true" layoutInCell="true" locked="false" behindDoc="false" relativeHeight="251658240" simplePos="false" distR="114300" distL="114300" distB="0" distT="0">
            <wp:simplePos y="0" x="0"/>
            <wp:positionH relativeFrom="page">
              <wp:posOffset>1929753</wp:posOffset>
            </wp:positionH>
            <wp:positionV relativeFrom="page">
              <wp:posOffset>824865</wp:posOffset>
            </wp:positionV>
            <wp:extent cy="698960" cx="523411"/>
            <wp:effectExtent b="635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98960" cx="523411"/>
                    </a:xfrm>
                    <a:prstGeom prst="rect">
                      <a:avLst/>
                    </a:prstGeom>
                  </pic:spPr>
                </pic:pic>
              </a:graphicData>
            </a:graphic>
          </wp:anchor>
        </w:drawing>
      </w:r>
    </w:p>
    <w:p w:rsidRDefault="004C60ED" w:rsidP="00E67D40" w:rsidR="004C60ED">
      <w:pPr>
        <w:pStyle w:val="SudNaziv"/>
        <w:rPr>
          <w:rStyle w:val="PozadinaSvijetloZelena"/>
          <w:b w:val="false"/>
        </w:rPr>
      </w:pPr>
    </w:p>
    <w:p w:rsidRDefault="004C60ED" w:rsidP="00E67D40" w:rsidR="004C60ED">
      <w:pPr>
        <w:pStyle w:val="SudNaziv"/>
        <w:rPr>
          <w:rStyle w:val="PozadinaSvijetloZelena"/>
          <w:b w:val="false"/>
        </w:rPr>
      </w:pPr>
    </w:p>
    <w:p w:rsidRDefault="004C60ED" w:rsidP="00E67D40" w:rsidR="004C60ED" w:rsidRPr="00AD32DA">
      <w:pPr>
        <w:pStyle w:val="SudNaziv"/>
        <w:rPr>
          <w:rStyle w:val="PozadinaSvijetloZelena"/>
          <w:b w:val="false"/>
        </w:rPr>
      </w:pPr>
    </w:p>
    <w:p w:rsidRDefault="00174B2E" w:rsidP="00AD32DA" w:rsidR="00170492">
      <w:pPr>
        <w:pStyle w:val="SudNaziv"/>
        <w:ind w:firstLine="720"/>
        <w:contextualSpacing/>
        <w:rPr>
          <w:rStyle w:val="PozadinaSvijetloZelena"/>
        </w:rPr>
      </w:pPr>
      <w:sdt>
        <w:sdtPr>
          <w:rPr>
            <w:rStyle w:val="eSPISCCParagraphDefaultFont"/>
            <w:rFonts w:eastAsiaTheme="minorHAnsi"/>
          </w:rPr>
          <w:alias w:val="Republika Hrvatska"/>
          <w:tag w:val="Republika Hrvatska"/>
          <w:id w:val="-40675261"/>
          <w:lock w:val="sdtLocked"/>
          <w:placeholder>
            <w:docPart w:val="0A3BF5C17DE948178EF6D64909A97797"/>
          </w:placeholder>
          <w:text/>
        </w:sdtPr>
        <w:sdtEndPr>
          <w:rPr>
            <w:rStyle w:val="eSPISCCParagraphDefaultFont"/>
          </w:rPr>
        </w:sdtEndPr>
        <w:sdtContent>
          <w:r w:rsidR="00170492" w:rsidRPr="00174B2E">
            <w:rPr>
              <w:rStyle w:val="eSPISCCParagraphDefaultFont"/>
              <w:rFonts w:eastAsiaTheme="minorHAnsi"/>
            </w:rPr>
            <w:t>REPUBLIKA HRVATSKA</w:t>
          </w:r>
        </w:sdtContent>
      </w:sdt>
    </w:p>
    <w:p w:rsidRDefault="00174B2E" w:rsidP="00E67D40" w:rsidR="00AE649C" w:rsidRPr="00AD32DA">
      <w:pPr>
        <w:pStyle w:val="SudNaziv"/>
        <w:rPr>
          <w:b w:val="false"/>
        </w:rPr>
      </w:pPr>
      <w:sdt>
        <w:sdtPr>
          <w:rPr>
            <w:rStyle w:val="eSPISCCParagraphDefaultFont"/>
            <w:rFonts w:eastAsiaTheme="minorHAnsi"/>
          </w:rPr>
          <w:alias w:val="Naziv suda (po potrebi naziv Stalne službe)"/>
          <w:tag w:val="DomainObject.Predmet.Sud.Naziv_1"/>
          <w:id w:val="-1602014739"/>
          <w:lock w:val="sdtLocked"/>
          <w:placeholder>
            <w:docPart w:val="B10D299FF6B04F2980CA59984DD52830"/>
          </w:placeholder>
          <w:dataBinding w:storeItemID="{100293BC-3C9C-4740-99C7-73F5E9006100}" w:xpath="/icms/DomainObject.Predmet.Sud.Naziv/derivirana_varijabla[@naziv='DomainObject.Predmet.Sud.Naziv_1']"/>
          <w:text w:multiLine="true"/>
        </w:sdtPr>
        <w:sdtEndPr>
          <w:rPr>
            <w:rStyle w:val="eSPISCCParagraphDefaultFont"/>
          </w:rPr>
        </w:sdtEndPr>
        <w:sdtContent>
          <w:r w:rsidR="00C76A12" w:rsidRPr="00174B2E">
            <w:rPr>
              <w:rStyle w:val="eSPISCCParagraphDefaultFont"/>
              <w:rFonts w:eastAsiaTheme="minorHAnsi"/>
            </w:rPr>
            <w:t>Visoki trgovački sud Republike Hrvatske</w:t>
          </w:r>
        </w:sdtContent>
      </w:sdt>
    </w:p>
    <w:p w:rsidRDefault="00174B2E" w:rsidP="005E2148" w:rsidR="00170492">
      <w:pPr>
        <w:pStyle w:val="SudSjedite"/>
        <w:ind w:firstLine="851"/>
        <w:rPr>
          <w:rStyle w:val="PozadinaSvijetloZelena"/>
        </w:rPr>
      </w:pPr>
      <w:sdt>
        <w:sdtPr>
          <w:rPr>
            <w:rStyle w:val="eSPISCCParagraphDefaultFont"/>
          </w:rPr>
          <w:alias w:val="Adresa suda (ulica i kbr) - po potrebi adresa Stalne službe"/>
          <w:tag w:val="DomainObject.Predmet.Sud.Adresa.UlicaIKBR_1"/>
          <w:id w:val="769206768"/>
          <w:lock w:val="sdtLocked"/>
          <w:placeholder>
            <w:docPart w:val="A5EDB863C2F640369A45094957B356D9"/>
          </w:placeholder>
          <w:dataBinding w:storeItemID="{100293BC-3C9C-4740-99C7-73F5E9006100}" w:xpath="/icms/DomainObject.Predmet.Sud.Adresa.UlicaIKBR/derivirana_varijabla[@naziv='DomainObject.Predmet.Sud.Adresa.UlicaIKBR_1']"/>
          <w:text/>
        </w:sdtPr>
        <w:sdtEndPr>
          <w:rPr>
            <w:rStyle w:val="eSPISCCParagraphDefaultFont"/>
          </w:rPr>
        </w:sdtEndPr>
        <w:sdtContent>
          <w:r w:rsidR="00C76A12" w:rsidRPr="00174B2E">
            <w:rPr>
              <w:rStyle w:val="eSPISCCParagraphDefaultFont"/>
            </w:rPr>
            <w:t>Berislavićeva 11</w:t>
          </w:r>
        </w:sdtContent>
      </w:sdt>
      <w:r w:rsidR="0022360E" w:rsidRPr="005E2148">
        <w:rPr>
          <w:rStyle w:val="PozadinaSvijetloZelena"/>
          <w:shd w:themeFill="background1" w:fill="FFFFFF" w:color="auto" w:val="clear"/>
        </w:rPr>
        <w:t>,</w:t>
      </w:r>
      <w:r w:rsidR="00170492" w:rsidRPr="006C43C5">
        <w:t xml:space="preserve"> </w:t>
      </w:r>
      <w:sdt>
        <w:sdtPr>
          <w:rPr>
            <w:rStyle w:val="eSPISCCParagraphDefaultFont"/>
          </w:rPr>
          <w:alias w:val="Adresa suda (naselje) po potrebi za Stalnu službu"/>
          <w:tag w:val="DomainObject.Predmet.Sud.Adresa.Naselje_1"/>
          <w:id w:val="949661400"/>
          <w:lock w:val="sdtLocked"/>
          <w:placeholder>
            <w:docPart w:val="797F028671094211A6375963200B3D17"/>
          </w:placeholder>
          <w:dataBinding w:storeItemID="{100293BC-3C9C-4740-99C7-73F5E9006100}" w:xpath="/icms/DomainObject.Predmet.Sud.Adresa.Naselje/derivirana_varijabla[@naziv='DomainObject.Predmet.Sud.Adresa.Naselje_1']"/>
          <w:text/>
        </w:sdtPr>
        <w:sdtEndPr>
          <w:rPr>
            <w:rStyle w:val="eSPISCCParagraphDefaultFont"/>
          </w:rPr>
        </w:sdtEndPr>
        <w:sdtContent>
          <w:r w:rsidR="00C76A12" w:rsidRPr="00174B2E">
            <w:rPr>
              <w:rStyle w:val="eSPISCCParagraphDefaultFont"/>
            </w:rPr>
            <w:t>Zagreb</w:t>
          </w:r>
        </w:sdtContent>
      </w:sdt>
    </w:p>
    <w:p w:rsidRDefault="00AD32DA" w:rsidP="004C60ED" w:rsidR="0020453E">
      <w:pPr>
        <w:pStyle w:val="HeadereSPIS"/>
        <w:rPr>
          <w:rFonts w:cs="Times New Roman"/>
          <w:noProof/>
        </w:rPr>
      </w:pPr>
      <w:r w:rsidRPr="00C92375">
        <w:rPr>
          <w:rStyle w:val="PozadinaSvijetloCrvena"/>
          <w:noProof w:val="false"/>
          <w:shd w:fill="auto" w:color="auto" w:val="clear"/>
        </w:rPr>
        <w:t>Poslovni</w:t>
      </w:r>
      <w:r w:rsidRPr="001C4583">
        <w:rPr>
          <w:rStyle w:val="PozadinaSvijetloCrvena"/>
          <w:shd w:fill="auto" w:color="auto" w:val="clear"/>
        </w:rPr>
        <w:t xml:space="preserve"> broj:</w:t>
      </w:r>
      <w:r w:rsidR="006805A7">
        <w:rPr>
          <w:rStyle w:val="PozadinaSvijetloCrvena"/>
          <w:shd w:fill="auto" w:color="auto" w:val="clear"/>
        </w:rPr>
        <w:t xml:space="preserve"> </w:t>
      </w:r>
      <w:sdt>
        <w:sdtPr>
          <w:rPr>
            <w:rStyle w:val="eSPISCCParagraphDefaultFont"/>
          </w:rPr>
          <w:alias w:val="Oznaka referade"/>
          <w:tag w:val="DomainObject.Predmet.Referada.Oznaka_1"/>
          <w:id w:val="-1671166553"/>
          <w:lock w:val="sdtLocked"/>
          <w:placeholder>
            <w:docPart w:val="01AED7AAFE7A4DD7B63BD3291BC8DE21"/>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C76A12" w:rsidRPr="00174B2E">
            <w:rPr>
              <w:rStyle w:val="eSPISCCParagraphDefaultFont"/>
            </w:rPr>
            <w:t>54</w:t>
          </w:r>
        </w:sdtContent>
      </w:sdt>
      <w:r>
        <w:rPr>
          <w:rStyle w:val="PozadinaSvijetloCrvena"/>
          <w:shd w:fill="auto" w:color="auto" w:val="clear"/>
        </w:rPr>
        <w:t xml:space="preserve"> </w:t>
      </w:r>
      <w:sdt>
        <w:sdtPr>
          <w:rPr>
            <w:rStyle w:val="eSPISCCParagraphDefaultFont"/>
          </w:rPr>
          <w:alias w:val="Poslovni broj dokumenta"/>
          <w:tag w:val="DomainObject.PoslovniBrojDokumenta"/>
          <w:id w:val="444120572"/>
          <w:lock w:val="sdtLocked"/>
          <w:placeholder>
            <w:docPart w:val="8E889B82CA684C09A4EBEE999BCF3BD4"/>
          </w:placeholder>
          <w:dataBinding w:storeItemID="{100293BC-3C9C-4740-99C7-73F5E9006100}" w:xpath="/icms/DomainObject.PoslovniBrojDokumenta/derivirana_varijabla[@naziv='DomainObject.PoslovniBrojDokumenta_1']"/>
          <w:text/>
        </w:sdtPr>
        <w:sdtEndPr>
          <w:rPr>
            <w:rStyle w:val="eSPISCCParagraphDefaultFont"/>
          </w:rPr>
        </w:sdtEndPr>
        <w:sdtContent>
          <w:r w:rsidR="00C76A12" w:rsidRPr="00174B2E">
            <w:rPr>
              <w:rStyle w:val="eSPISCCParagraphDefaultFont"/>
            </w:rPr>
            <w:t>Pž-1351/2019-2</w:t>
          </w:r>
        </w:sdtContent>
      </w:sdt>
    </w:p>
    <w:p w:rsidRDefault="00263B19" w:rsidP="00C76A12" w:rsidR="00263B19">
      <w:pPr>
        <w:pStyle w:val="Bezproreda"/>
        <w:spacing w:after="0"/>
      </w:pPr>
    </w:p>
    <w:p w:rsidRDefault="00263B19" w:rsidP="00C76A12" w:rsidR="00263B19">
      <w:pPr>
        <w:pStyle w:val="Bezproreda"/>
        <w:spacing w:after="0"/>
      </w:pPr>
    </w:p>
    <w:p w:rsidRDefault="00263B19" w:rsidP="00C76A12" w:rsidR="00263B19">
      <w:pPr>
        <w:pStyle w:val="Bezproreda"/>
        <w:spacing w:after="0"/>
      </w:pPr>
    </w:p>
    <w:p w:rsidRDefault="00263B19" w:rsidP="00C76A12" w:rsidR="00263B19">
      <w:pPr>
        <w:pStyle w:val="Bezproreda"/>
        <w:spacing w:after="0"/>
      </w:pPr>
    </w:p>
    <w:p w:rsidRDefault="00C76A12" w:rsidP="00C76A12" w:rsidR="00C76A12" w:rsidRPr="00C76A12">
      <w:pPr>
        <w:spacing w:after="0"/>
        <w:jc w:val="center"/>
        <w:rPr>
          <w:rFonts w:cs="Times New Roman" w:eastAsia="Times New Roman"/>
          <w:lang w:eastAsia="hr-HR"/>
        </w:rPr>
      </w:pPr>
      <w:r w:rsidRPr="00C76A12">
        <w:rPr>
          <w:rFonts w:cs="Times New Roman" w:eastAsia="Times New Roman"/>
          <w:lang w:eastAsia="hr-HR"/>
        </w:rPr>
        <w:t xml:space="preserve">R E P U B L I K A   H R V A T S K A </w:t>
      </w:r>
    </w:p>
    <w:p w:rsidRDefault="00C76A12" w:rsidP="00C76A12" w:rsidR="00C76A12" w:rsidRPr="00C76A12">
      <w:pPr>
        <w:spacing w:after="0"/>
        <w:jc w:val="center"/>
        <w:rPr>
          <w:rFonts w:cs="Times New Roman" w:eastAsia="Times New Roman"/>
          <w:lang w:eastAsia="hr-HR"/>
        </w:rPr>
      </w:pPr>
    </w:p>
    <w:p w:rsidRDefault="00C76A12" w:rsidP="00C76A12" w:rsidR="00C76A12" w:rsidRPr="00C76A12">
      <w:pPr>
        <w:spacing w:after="0"/>
        <w:jc w:val="center"/>
        <w:rPr>
          <w:rFonts w:cs="Times New Roman" w:eastAsia="Times New Roman"/>
          <w:lang w:eastAsia="hr-HR"/>
        </w:rPr>
      </w:pPr>
      <w:r w:rsidRPr="00C76A12">
        <w:rPr>
          <w:rFonts w:cs="Times New Roman" w:eastAsia="Times New Roman"/>
          <w:lang w:eastAsia="hr-HR"/>
        </w:rPr>
        <w:t>R J E Š E NJ E</w:t>
      </w:r>
    </w:p>
    <w:p w:rsidRDefault="00C76A12" w:rsidP="00C76A12" w:rsidR="00C76A12">
      <w:pPr>
        <w:spacing w:after="0"/>
        <w:jc w:val="both"/>
        <w:rPr>
          <w:rFonts w:cs="Times New Roman" w:eastAsia="Times New Roman"/>
          <w:lang w:eastAsia="hr-HR"/>
        </w:rPr>
      </w:pPr>
    </w:p>
    <w:p w:rsidRDefault="00263B19" w:rsidP="00C76A12" w:rsidR="00263B19" w:rsidRPr="00C76A12">
      <w:pPr>
        <w:spacing w:after="0"/>
        <w:jc w:val="both"/>
        <w:rPr>
          <w:rFonts w:cs="Times New Roman" w:eastAsia="Times New Roman"/>
          <w:lang w:eastAsia="hr-HR"/>
        </w:rPr>
      </w:pPr>
    </w:p>
    <w:p w:rsidRDefault="00C76A12" w:rsidP="00C76A12" w:rsidR="00C76A12" w:rsidRPr="00C76A12">
      <w:pPr>
        <w:spacing w:after="0"/>
        <w:jc w:val="both"/>
        <w:rPr>
          <w:rFonts w:cs="Times New Roman" w:eastAsia="Times New Roman"/>
          <w:lang w:eastAsia="hr-HR"/>
        </w:rPr>
      </w:pPr>
      <w:r w:rsidRPr="00C76A12">
        <w:rPr>
          <w:rFonts w:cs="Times New Roman" w:eastAsia="Times New Roman"/>
          <w:lang w:eastAsia="hr-HR"/>
        </w:rPr>
        <w:tab/>
        <w:t xml:space="preserve">Visoki trgovački sud Republike Hrvatske, u vijeću sastavljenom od sudaca Raoula Dubravca, predsjednika vijeća, Draženke Deladio, suca izvjestitelja i Josipa Turkalja, člana vijeća, u stečajnom postupku nad dužnikom KERUM d.o.o. u stečaju, Split, Zrinsko Frankopanska 68, OIB 66124057408, odlučujući o žalbama vjerovnika KANAAN d.o.o., Donji Miholjac, Industrijska zona Janjevci 4, OIB 88741652581, kojeg zastupa punomoćnik Marko Kuna, odvjetnik u Valpovu, Kolodvorska 16, te CRO-GO d.o.o., Solin, Don Frane Bulića 64, OIB 79478632402, i KGH TEHNIKA d.o.o., Split, Špinutska 10, OIB 77498607505, koje zastupa punomoćnik Ante Kukoč, odvjetnik u Splitu, Trg </w:t>
      </w:r>
      <w:r>
        <w:rPr>
          <w:rFonts w:cs="Times New Roman" w:eastAsia="Times New Roman"/>
          <w:lang w:eastAsia="hr-HR"/>
        </w:rPr>
        <w:t>h</w:t>
      </w:r>
      <w:r w:rsidRPr="00C76A12">
        <w:rPr>
          <w:rFonts w:cs="Times New Roman" w:eastAsia="Times New Roman"/>
          <w:lang w:eastAsia="hr-HR"/>
        </w:rPr>
        <w:t>vatske bratske zajednice 3, protiv rješenja Trgovačkog suda u Splitu poslovni broj St-2/</w:t>
      </w:r>
      <w:r>
        <w:rPr>
          <w:rFonts w:cs="Times New Roman" w:eastAsia="Times New Roman"/>
          <w:lang w:eastAsia="hr-HR"/>
        </w:rPr>
        <w:t>20</w:t>
      </w:r>
      <w:r w:rsidR="00263B19">
        <w:rPr>
          <w:rFonts w:cs="Times New Roman" w:eastAsia="Times New Roman"/>
          <w:lang w:eastAsia="hr-HR"/>
        </w:rPr>
        <w:t>13</w:t>
      </w:r>
      <w:r w:rsidRPr="00C76A12">
        <w:rPr>
          <w:rFonts w:cs="Times New Roman" w:eastAsia="Times New Roman"/>
          <w:lang w:eastAsia="hr-HR"/>
        </w:rPr>
        <w:t>-83 od 30. siječnja 2019., u sjednici vijeća održanoj 2. travnja 2019.</w:t>
      </w:r>
    </w:p>
    <w:p w:rsidRDefault="00C76A12" w:rsidP="00C76A12" w:rsidR="00C76A12" w:rsidRPr="00C76A12">
      <w:pPr>
        <w:spacing w:after="0"/>
        <w:jc w:val="both"/>
        <w:rPr>
          <w:rFonts w:cs="Times New Roman" w:eastAsia="Times New Roman"/>
          <w:lang w:eastAsia="hr-HR"/>
        </w:rPr>
      </w:pPr>
    </w:p>
    <w:p w:rsidRDefault="00C76A12" w:rsidP="00C76A12" w:rsidR="00C76A12" w:rsidRPr="00C76A12">
      <w:pPr>
        <w:spacing w:after="0"/>
        <w:jc w:val="center"/>
        <w:rPr>
          <w:rFonts w:cs="Times New Roman" w:eastAsia="Times New Roman"/>
          <w:lang w:eastAsia="hr-HR"/>
        </w:rPr>
      </w:pPr>
      <w:r w:rsidRPr="00C76A12">
        <w:rPr>
          <w:rFonts w:cs="Times New Roman" w:eastAsia="Times New Roman"/>
          <w:lang w:eastAsia="hr-HR"/>
        </w:rPr>
        <w:t>r i j e š i o   j e</w:t>
      </w:r>
    </w:p>
    <w:p w:rsidRDefault="00C76A12" w:rsidP="00C76A12" w:rsidR="00C76A12" w:rsidRPr="00C76A12">
      <w:pPr>
        <w:spacing w:after="0"/>
        <w:jc w:val="both"/>
        <w:rPr>
          <w:rFonts w:cs="Times New Roman" w:eastAsia="Times New Roman"/>
          <w:lang w:eastAsia="hr-HR"/>
        </w:rPr>
      </w:pPr>
    </w:p>
    <w:p w:rsidRDefault="00C76A12" w:rsidP="00C76A12" w:rsidR="00C76A12" w:rsidRPr="00C76A12">
      <w:pPr>
        <w:spacing w:after="0"/>
        <w:jc w:val="both"/>
        <w:rPr>
          <w:rFonts w:cs="Times New Roman" w:eastAsia="Times New Roman"/>
          <w:lang w:eastAsia="hr-HR"/>
        </w:rPr>
      </w:pPr>
      <w:r w:rsidRPr="00C76A12">
        <w:rPr>
          <w:rFonts w:cs="Times New Roman" w:eastAsia="Times New Roman"/>
          <w:lang w:eastAsia="hr-HR"/>
        </w:rPr>
        <w:tab/>
        <w:t>Odbijaju se žalbe vjerovnika Kanaan d.o.o., Cro-Go d.o.o. i Kgh Tehnika d.o.o. kao neosnovane te potvrđuje rješenje Trgovačkog suda u Splitu poslovni broj St-2/</w:t>
      </w:r>
      <w:r>
        <w:rPr>
          <w:rFonts w:cs="Times New Roman" w:eastAsia="Times New Roman"/>
          <w:lang w:eastAsia="hr-HR"/>
        </w:rPr>
        <w:t>20</w:t>
      </w:r>
      <w:r w:rsidRPr="00C76A12">
        <w:rPr>
          <w:rFonts w:cs="Times New Roman" w:eastAsia="Times New Roman"/>
          <w:lang w:eastAsia="hr-HR"/>
        </w:rPr>
        <w:t xml:space="preserve">13-83 od 30. siječnja 2019. </w:t>
      </w:r>
    </w:p>
    <w:p w:rsidRDefault="00C76A12" w:rsidP="00C76A12" w:rsidR="00C76A12" w:rsidRPr="00C76A12">
      <w:pPr>
        <w:spacing w:after="0"/>
        <w:jc w:val="both"/>
        <w:rPr>
          <w:rFonts w:cs="Times New Roman" w:eastAsia="Times New Roman"/>
          <w:lang w:eastAsia="hr-HR"/>
        </w:rPr>
      </w:pPr>
    </w:p>
    <w:p w:rsidRDefault="00C76A12" w:rsidP="00C76A12" w:rsidR="00C76A12" w:rsidRPr="00C76A12">
      <w:pPr>
        <w:spacing w:after="0"/>
        <w:jc w:val="center"/>
        <w:rPr>
          <w:rFonts w:cs="Times New Roman" w:eastAsia="Times New Roman"/>
          <w:lang w:eastAsia="hr-HR"/>
        </w:rPr>
      </w:pPr>
      <w:r w:rsidRPr="00C76A12">
        <w:rPr>
          <w:rFonts w:cs="Times New Roman" w:eastAsia="Times New Roman"/>
          <w:lang w:eastAsia="hr-HR"/>
        </w:rPr>
        <w:t>Obrazloženje</w:t>
      </w:r>
    </w:p>
    <w:p w:rsidRDefault="00C76A12" w:rsidP="00C76A12" w:rsidR="00C76A12" w:rsidRPr="00C76A12">
      <w:pPr>
        <w:spacing w:after="0"/>
        <w:jc w:val="both"/>
        <w:rPr>
          <w:rFonts w:cs="Times New Roman" w:eastAsia="Times New Roman"/>
          <w:lang w:eastAsia="hr-HR"/>
        </w:rPr>
      </w:pPr>
    </w:p>
    <w:p w:rsidRDefault="00C76A12" w:rsidP="00C76A12" w:rsidR="00C76A12" w:rsidRPr="00C76A12">
      <w:pPr>
        <w:spacing w:after="0"/>
        <w:ind w:firstLine="720"/>
        <w:jc w:val="both"/>
        <w:rPr>
          <w:rFonts w:cs="Times New Roman" w:eastAsia="Times New Roman"/>
          <w:bCs/>
          <w:lang w:eastAsia="hr-HR"/>
        </w:rPr>
      </w:pPr>
      <w:r w:rsidRPr="00C76A12">
        <w:rPr>
          <w:rFonts w:cs="Times New Roman" w:eastAsia="Times New Roman"/>
          <w:bCs/>
          <w:lang w:eastAsia="hr-HR"/>
        </w:rPr>
        <w:t>Pobijanim rješenjem Mirjana Zuzija, dipl. ekonomist iz Velik</w:t>
      </w:r>
      <w:r>
        <w:rPr>
          <w:rFonts w:cs="Times New Roman" w:eastAsia="Times New Roman"/>
          <w:bCs/>
          <w:lang w:eastAsia="hr-HR"/>
        </w:rPr>
        <w:t>e Gorice, Slavka Kolara 25, OIB</w:t>
      </w:r>
      <w:r w:rsidRPr="00C76A12">
        <w:rPr>
          <w:rFonts w:cs="Times New Roman" w:eastAsia="Times New Roman"/>
          <w:bCs/>
          <w:lang w:eastAsia="hr-HR"/>
        </w:rPr>
        <w:t xml:space="preserve"> 26497768352, razriješena je dužnosti stečajnog upravitelja u stečajnom postupku nad dužnikom Kerum d.o.o. u stečaju, Split, Zrinsko Frankopanska 68, OIB 66124057408 (točka I. izreke). Za novog stečajnog upravitelja dužnika Kerum d.o.o. u stečaju, Split, Zrinsko Frankopanska 68, OIB 66124057408, imenovana je Natalija Mladineo, dipl. eko</w:t>
      </w:r>
      <w:r>
        <w:rPr>
          <w:rFonts w:cs="Times New Roman" w:eastAsia="Times New Roman"/>
          <w:bCs/>
          <w:lang w:eastAsia="hr-HR"/>
        </w:rPr>
        <w:t xml:space="preserve">nomist iz Splita, Viška 24, OIB </w:t>
      </w:r>
      <w:r w:rsidR="00263B19">
        <w:rPr>
          <w:rFonts w:cs="Times New Roman" w:eastAsia="Times New Roman"/>
          <w:bCs/>
          <w:lang w:eastAsia="hr-HR"/>
        </w:rPr>
        <w:t>6</w:t>
      </w:r>
      <w:r w:rsidRPr="00C76A12">
        <w:rPr>
          <w:rFonts w:cs="Times New Roman" w:eastAsia="Times New Roman"/>
          <w:bCs/>
          <w:lang w:eastAsia="hr-HR"/>
        </w:rPr>
        <w:t>2875698528 (točka II. izreke). Naloženo je dotadašnjoj stečajnoj upraviteljici Mirjani Zuziji da u roku od tri dana od dostave tog rješenja preda svoje dužnosti novoj stečajnoj upraviteljici Nataliji Mladineo (točka III. izreke).</w:t>
      </w:r>
    </w:p>
    <w:p w:rsidRDefault="00C76A12" w:rsidP="00C76A12" w:rsidR="00C76A12" w:rsidRPr="00C76A12">
      <w:pPr>
        <w:spacing w:after="0"/>
        <w:ind w:firstLine="720"/>
        <w:jc w:val="both"/>
        <w:rPr>
          <w:rFonts w:cs="Times New Roman" w:eastAsia="Times New Roman"/>
          <w:bCs/>
          <w:lang w:eastAsia="hr-HR"/>
        </w:rPr>
      </w:pPr>
    </w:p>
    <w:p w:rsidRDefault="00C76A12" w:rsidP="00C76A12" w:rsidR="00C76A12" w:rsidRPr="00C76A12">
      <w:pPr>
        <w:spacing w:after="0"/>
        <w:ind w:firstLine="720"/>
        <w:jc w:val="both"/>
        <w:rPr>
          <w:rFonts w:cs="Times New Roman" w:eastAsia="Times New Roman"/>
          <w:bCs/>
          <w:lang w:eastAsia="hr-HR"/>
        </w:rPr>
      </w:pPr>
      <w:r w:rsidRPr="00C76A12">
        <w:rPr>
          <w:rFonts w:cs="Times New Roman" w:eastAsia="Times New Roman"/>
          <w:bCs/>
          <w:lang w:eastAsia="hr-HR"/>
        </w:rPr>
        <w:t xml:space="preserve">U obrazloženju rješenja sud navodi da se u konkretnom slučaju radi o složenom stečajnom postupku s velikim brojem vjerovnika, visokim iznosima tražbina i imovinom znatnije vrijednosti pa stoga ukoliko je stečajna upraviteljica imala bilo kakvih problema, poteškoća i opravdanih razloga koji bi otežavali njeno postupanje vezano uz  ispitivanje prijavljenih tražbina te utvrđivanje imovine i obveza dužnika, mogla je i bila dužna o tome obavijestiti sud na vrijeme, obrazloženim podneskom te eventualno zatražiti dodatan rok, a ne </w:t>
      </w:r>
      <w:r w:rsidRPr="00C76A12">
        <w:rPr>
          <w:rFonts w:cs="Times New Roman" w:eastAsia="Times New Roman"/>
          <w:bCs/>
          <w:lang w:eastAsia="hr-HR"/>
        </w:rPr>
        <w:lastRenderedPageBreak/>
        <w:t>podneskom svega tri dana prije zakazanog ispitnog i izvještajnog ročišta podnositi sudu prijedlog za odgodu tih ročišta, navodeći pritom da je za pravilno ispitivanje prijavljenih tražbina te potpuno utvrđivanje imovine i obveza dužnika stečajnoj upraviteljici potreban dodatan rok od 30 dana, sve to nakon što su tablice prijavljenih tražbina s izjašnjenjem stečajne upraviteljice o tim tražbinama, kao i ostala dokumentacija, već podnesene sudu. Sud želi naglasiti da je tijekom mjeseca siječnja 2019. u više navrata telefonskim putem kontaktirao stečajnu upraviteljicu raspitujući se o tijeku postupka i upozoravajući na zakonom određene rokove za dostavu potrebne dokumentacije i objavu iste na oglasnoj ploči suda, a stečajna upraviteljica u niti jednom od tih razgovora nije izvijestila sud da bi postojali bilo kakvi problemi ili zapreke vezani uz ispitivanje tražbina te utvrđivanje imovine i obveza dužnika, već je navodila da se na tome radi te da će sve biti dostavljeno na vrijeme. Prema odredbama čl. 27. st. 2. mjerodavnog Stečajnog zakona (</w:t>
      </w:r>
      <w:r>
        <w:rPr>
          <w:rFonts w:cs="Times New Roman" w:eastAsia="Times New Roman"/>
          <w:bCs/>
          <w:lang w:eastAsia="hr-HR"/>
        </w:rPr>
        <w:t>„</w:t>
      </w:r>
      <w:r w:rsidRPr="00C76A12">
        <w:rPr>
          <w:rFonts w:cs="Times New Roman" w:eastAsia="Times New Roman"/>
          <w:bCs/>
          <w:lang w:eastAsia="hr-HR"/>
        </w:rPr>
        <w:t>Narodne novine</w:t>
      </w:r>
      <w:r>
        <w:rPr>
          <w:rFonts w:cs="Times New Roman" w:eastAsia="Times New Roman"/>
          <w:bCs/>
          <w:lang w:eastAsia="hr-HR"/>
        </w:rPr>
        <w:t>“</w:t>
      </w:r>
      <w:r w:rsidRPr="00C76A12">
        <w:rPr>
          <w:rFonts w:cs="Times New Roman" w:eastAsia="Times New Roman"/>
          <w:bCs/>
          <w:lang w:eastAsia="hr-HR"/>
        </w:rPr>
        <w:t xml:space="preserve"> broj: 44/96, 29/99, 129/00, 123/03, 82/06, 116/10, 25/12, 133/12 i 45/13</w:t>
      </w:r>
      <w:r>
        <w:rPr>
          <w:rFonts w:cs="Times New Roman" w:eastAsia="Times New Roman"/>
          <w:bCs/>
          <w:lang w:eastAsia="hr-HR"/>
        </w:rPr>
        <w:t xml:space="preserve">; </w:t>
      </w:r>
      <w:r w:rsidRPr="00C76A12">
        <w:rPr>
          <w:rFonts w:cs="Times New Roman" w:eastAsia="Times New Roman"/>
          <w:bCs/>
          <w:lang w:eastAsia="hr-HR"/>
        </w:rPr>
        <w:t>dalje</w:t>
      </w:r>
      <w:r>
        <w:rPr>
          <w:rFonts w:cs="Times New Roman" w:eastAsia="Times New Roman"/>
          <w:bCs/>
          <w:lang w:eastAsia="hr-HR"/>
        </w:rPr>
        <w:t xml:space="preserve">: </w:t>
      </w:r>
      <w:r w:rsidRPr="00C76A12">
        <w:rPr>
          <w:rFonts w:cs="Times New Roman" w:eastAsia="Times New Roman"/>
          <w:bCs/>
          <w:lang w:eastAsia="hr-HR"/>
        </w:rPr>
        <w:t>SZ), stečajni sudac može po službenoj dužnosti razriješiti stečajnog upravitelja i prije isteka rokova iz stavka 1. ovog članka (godinu i pol dana od dana održavanja izvještajnog ročišta) ako svoju dužnost ne obavlja uspješno ili iz drugih važnih razloga. Sukladno odredbama čl. 27. st. 8. SZ-a zajedno s rješenjem o razrješenju stečajnog upravitelja stečajni će sudac donijeti rješenje o imenovanju novog stečajnog upravitelja. Uzimajući u obzir sve naprijed navedeno, a posebno činjenicu da stečajna upraviteljica nakon dostave izvješća o gospodarskom položaju dužnika te tablica prijavljenih tražbina vjerovnika u kojima daje svoje očitovanje o tim tražbinama (o priznavanju i osporavanju istih), naknadnim podneskom od 29. siječnja 2019. podnosi sudu zahtjev za odgodu ispitnog i izvještajnog ročišta kako bi mogla pravilno ispitati prijavljene tražbine te potpuno utvrditi imovinu i obveze dužnika, sud smatra da opisano postupanje stečajne upraviteljice Mirjane Zuzije ne predstavlja uspješno obavljanje službe stečajnog upravitelja te da zapravo predstavlja opravdane razloge za donošenje odluke o njenom razrješenju od dužnosti stečajne upraviteljice u ovom predmetu.</w:t>
      </w:r>
    </w:p>
    <w:p w:rsidRDefault="00C76A12" w:rsidP="00C76A12" w:rsidR="00C76A12" w:rsidRPr="00C76A12">
      <w:pPr>
        <w:spacing w:after="0"/>
        <w:ind w:firstLine="720"/>
        <w:jc w:val="both"/>
        <w:rPr>
          <w:rFonts w:cs="Times New Roman" w:eastAsia="Times New Roman"/>
          <w:bCs/>
          <w:lang w:eastAsia="hr-HR"/>
        </w:rPr>
      </w:pPr>
    </w:p>
    <w:p w:rsidRDefault="00C76A12" w:rsidP="00C76A12" w:rsidR="00C76A12" w:rsidRPr="00C76A12">
      <w:pPr>
        <w:spacing w:after="0"/>
        <w:ind w:firstLine="720"/>
        <w:jc w:val="both"/>
        <w:rPr>
          <w:rFonts w:cs="Times New Roman" w:eastAsia="Times New Roman"/>
          <w:lang w:eastAsia="hr-HR"/>
        </w:rPr>
      </w:pPr>
      <w:r w:rsidRPr="00C76A12">
        <w:rPr>
          <w:rFonts w:cs="Times New Roman" w:eastAsia="Times New Roman"/>
          <w:lang w:eastAsia="hr-HR"/>
        </w:rPr>
        <w:t xml:space="preserve">Vjerovnik Kanaan d.o.o. u žalbi navodi da se ovdje radi o vrlo složenom i opsežnom predmetu pa ne čudi što stečajna upraviteljica u ostavljenom roku nije uspjela obaviti sve poslove koji su joj naloženi. To prije svega iz razloga jer je stečajni dužnik očito pripremao ovaj stečaj te je bitna dokumentacija o poslovanju dužnika navodno izgorjela u </w:t>
      </w:r>
      <w:r>
        <w:rPr>
          <w:rFonts w:cs="Times New Roman" w:eastAsia="Times New Roman"/>
          <w:lang w:eastAsia="hr-HR"/>
        </w:rPr>
        <w:t>„</w:t>
      </w:r>
      <w:r w:rsidRPr="00C76A12">
        <w:rPr>
          <w:rFonts w:cs="Times New Roman" w:eastAsia="Times New Roman"/>
          <w:lang w:eastAsia="hr-HR"/>
        </w:rPr>
        <w:t>slučajnom</w:t>
      </w:r>
      <w:r>
        <w:rPr>
          <w:rFonts w:cs="Times New Roman" w:eastAsia="Times New Roman"/>
          <w:lang w:eastAsia="hr-HR"/>
        </w:rPr>
        <w:t>“</w:t>
      </w:r>
      <w:r w:rsidRPr="00C76A12">
        <w:rPr>
          <w:rFonts w:cs="Times New Roman" w:eastAsia="Times New Roman"/>
          <w:lang w:eastAsia="hr-HR"/>
        </w:rPr>
        <w:t xml:space="preserve"> požaru. Tablica obrađenih tražbina predana je sudu na vrijeme, kao konačna verzija stečajne upraviteljice, ali ta završna tablica koja je trebala biti razmatrana na ročištu od 1. veljače 2019., nije uopće objavljena na oglasnoj ploči suda. Također je vjerovnik mišljenja da je skupštinu vjerovnika trebalo konzultirati kod donošenja odluke o razrješenju. Sud nije uputio niti jedno pisano upozorenje stečajnoj upraviteljici pa su tvrdnje kako ju je više puta u siječnju 2019. usmeno nazivao, paušalne.</w:t>
      </w:r>
    </w:p>
    <w:p w:rsidRDefault="00C76A12" w:rsidP="00C76A12" w:rsidR="00C76A12" w:rsidRPr="00C76A12">
      <w:pPr>
        <w:spacing w:after="0"/>
        <w:ind w:firstLine="720"/>
        <w:jc w:val="both"/>
        <w:rPr>
          <w:rFonts w:cs="Times New Roman" w:eastAsia="Times New Roman"/>
          <w:lang w:eastAsia="hr-HR"/>
        </w:rPr>
      </w:pPr>
    </w:p>
    <w:p w:rsidRDefault="00C76A12" w:rsidP="00C76A12" w:rsidR="00C76A12" w:rsidRPr="00C76A12">
      <w:pPr>
        <w:spacing w:after="0"/>
        <w:ind w:firstLine="720"/>
        <w:jc w:val="both"/>
        <w:rPr>
          <w:rFonts w:cs="Times New Roman" w:eastAsia="Times New Roman"/>
          <w:lang w:eastAsia="hr-HR"/>
        </w:rPr>
      </w:pPr>
      <w:r w:rsidRPr="00C76A12">
        <w:rPr>
          <w:rFonts w:cs="Times New Roman" w:eastAsia="Times New Roman"/>
          <w:lang w:eastAsia="hr-HR"/>
        </w:rPr>
        <w:t>Vjerovnici Cro-Go d.o.o. i Kgh Tehnika d.o.o. u žalbi navode da rok za prijavu tražbina od 30 dana nije istekao 3. prosinca 2018., kako to u pobijanom rješenju navodi prvostupanjski sud, već 10. prosinca 2018. Nadalje, stečajna upraviteljica je zasigurno počela raditi kompletnu financijsku analizu stečajnog dužnika i prije proteka roka za prijavu tražbina. Navodi prvostupanjskog suda da je stečajnu upraviteljicu požurivao telefonom su apsurdni, a sud nije postupio niti po odredbi čl. 27. st. 3. mjerodavnog SZ-a.</w:t>
      </w:r>
    </w:p>
    <w:p w:rsidRDefault="00C76A12" w:rsidP="00C76A12" w:rsidR="00C76A12">
      <w:pPr>
        <w:spacing w:after="0"/>
        <w:jc w:val="both"/>
        <w:rPr>
          <w:rFonts w:cs="Times New Roman" w:eastAsia="Times New Roman"/>
          <w:lang w:eastAsia="hr-HR"/>
        </w:rPr>
      </w:pPr>
    </w:p>
    <w:p w:rsidRDefault="00C76A12" w:rsidP="00C76A12" w:rsidR="00C76A12" w:rsidRPr="00C76A12">
      <w:pPr>
        <w:spacing w:after="0"/>
        <w:jc w:val="both"/>
        <w:rPr>
          <w:rFonts w:cs="Times New Roman" w:eastAsia="Times New Roman"/>
          <w:lang w:eastAsia="hr-HR"/>
        </w:rPr>
      </w:pPr>
      <w:r w:rsidRPr="00C76A12">
        <w:rPr>
          <w:rFonts w:cs="Times New Roman" w:eastAsia="Times New Roman"/>
          <w:lang w:eastAsia="hr-HR"/>
        </w:rPr>
        <w:tab/>
        <w:t xml:space="preserve">Žalbe nisu osnovane. </w:t>
      </w:r>
    </w:p>
    <w:p w:rsidRDefault="00C76A12" w:rsidP="00C76A12" w:rsidR="00C76A12" w:rsidRPr="00C76A12">
      <w:pPr>
        <w:spacing w:after="0"/>
        <w:jc w:val="both"/>
        <w:rPr>
          <w:rFonts w:cs="Times New Roman" w:eastAsia="Times New Roman"/>
          <w:lang w:eastAsia="hr-HR"/>
        </w:rPr>
      </w:pPr>
    </w:p>
    <w:p w:rsidRDefault="00C76A12" w:rsidP="00C76A12" w:rsidR="00C76A12" w:rsidRPr="00C76A12">
      <w:pPr>
        <w:spacing w:after="0"/>
        <w:jc w:val="both"/>
        <w:rPr>
          <w:rFonts w:cs="Times New Roman" w:eastAsia="Times New Roman"/>
          <w:lang w:eastAsia="hr-HR"/>
        </w:rPr>
      </w:pPr>
      <w:r w:rsidRPr="00C76A12">
        <w:rPr>
          <w:rFonts w:cs="Times New Roman" w:eastAsia="Times New Roman"/>
          <w:lang w:eastAsia="hr-HR"/>
        </w:rPr>
        <w:tab/>
        <w:t xml:space="preserve">Ispitavši pobijano rješenje na temelju odredaba čl. 365. st. 1. i 2. i čl. 381. </w:t>
      </w:r>
      <w:r w:rsidRPr="00C76A12">
        <w:rPr>
          <w:rFonts w:cs="Arial" w:eastAsia="Times New Roman"/>
          <w:lang w:eastAsia="hr-HR"/>
        </w:rPr>
        <w:t xml:space="preserve">Zakona o parničnom </w:t>
      </w:r>
      <w:r>
        <w:rPr>
          <w:rFonts w:cs="Arial" w:eastAsia="Times New Roman"/>
          <w:lang w:eastAsia="hr-HR"/>
        </w:rPr>
        <w:t>postupku („Narodne novine“ broj</w:t>
      </w:r>
      <w:r w:rsidRPr="00C76A12">
        <w:rPr>
          <w:rFonts w:cs="Arial" w:eastAsia="Times New Roman"/>
          <w:lang w:eastAsia="hr-HR"/>
        </w:rPr>
        <w:t xml:space="preserve"> 1</w:t>
      </w:r>
      <w:r>
        <w:rPr>
          <w:rFonts w:cs="Arial" w:eastAsia="Times New Roman"/>
          <w:lang w:eastAsia="hr-HR"/>
        </w:rPr>
        <w:t xml:space="preserve">48/11-počišćeni tekst i 25/13; </w:t>
      </w:r>
      <w:r w:rsidRPr="00C76A12">
        <w:rPr>
          <w:rFonts w:cs="Arial" w:eastAsia="Times New Roman"/>
          <w:lang w:eastAsia="hr-HR"/>
        </w:rPr>
        <w:t>dalje</w:t>
      </w:r>
      <w:r>
        <w:rPr>
          <w:rFonts w:cs="Arial" w:eastAsia="Times New Roman"/>
          <w:lang w:eastAsia="hr-HR"/>
        </w:rPr>
        <w:t>: Z</w:t>
      </w:r>
      <w:r w:rsidRPr="00C76A12">
        <w:rPr>
          <w:rFonts w:cs="Arial" w:eastAsia="Times New Roman"/>
          <w:lang w:eastAsia="hr-HR"/>
        </w:rPr>
        <w:t>PP)</w:t>
      </w:r>
      <w:r w:rsidRPr="00C76A12">
        <w:rPr>
          <w:rFonts w:cs="Times New Roman" w:eastAsia="Times New Roman"/>
          <w:lang w:eastAsia="hr-HR"/>
        </w:rPr>
        <w:t xml:space="preserve"> u vezi s čl. 6. SZ-a, u granicama razloga navedenih u žalb</w:t>
      </w:r>
      <w:r w:rsidR="00263B19">
        <w:rPr>
          <w:rFonts w:cs="Times New Roman" w:eastAsia="Times New Roman"/>
          <w:lang w:eastAsia="hr-HR"/>
        </w:rPr>
        <w:t>ama</w:t>
      </w:r>
      <w:r w:rsidRPr="00C76A12">
        <w:rPr>
          <w:rFonts w:cs="Times New Roman" w:eastAsia="Times New Roman"/>
          <w:lang w:eastAsia="hr-HR"/>
        </w:rPr>
        <w:t xml:space="preserve">, pazeći po službenoj dužnosti na bitne povrede odredaba postupka iz čl. 354. st. 2. t. 2., 4., 8., 9., 11., 13. i 14. ZPP-a i na pravilnu primjenu materijalnog prava, ovaj sud je </w:t>
      </w:r>
      <w:r w:rsidR="00263B19">
        <w:rPr>
          <w:rFonts w:cs="Times New Roman" w:eastAsia="Times New Roman"/>
          <w:lang w:eastAsia="hr-HR"/>
        </w:rPr>
        <w:t>utvrdio</w:t>
      </w:r>
      <w:r w:rsidRPr="00C76A12">
        <w:rPr>
          <w:rFonts w:cs="Times New Roman" w:eastAsia="Times New Roman"/>
          <w:lang w:eastAsia="hr-HR"/>
        </w:rPr>
        <w:t xml:space="preserve"> da ne postoje razlozi zbog kojih se rješenje pobija, a ni razlozi na koje drugostupanjski sud pazi po službenoj dužnosti.</w:t>
      </w:r>
    </w:p>
    <w:p w:rsidRDefault="00C76A12" w:rsidP="00C76A12" w:rsidR="00C76A12" w:rsidRPr="00C76A12">
      <w:pPr>
        <w:spacing w:after="0"/>
        <w:jc w:val="both"/>
        <w:rPr>
          <w:rFonts w:cs="Times New Roman" w:eastAsia="Times New Roman"/>
          <w:lang w:eastAsia="hr-HR"/>
        </w:rPr>
      </w:pPr>
    </w:p>
    <w:p w:rsidRDefault="00C76A12" w:rsidP="00C76A12" w:rsidR="00C76A12" w:rsidRPr="00C76A12">
      <w:pPr>
        <w:spacing w:after="0"/>
        <w:jc w:val="both"/>
        <w:rPr>
          <w:rFonts w:cs="Times New Roman" w:eastAsia="Times New Roman"/>
          <w:lang w:eastAsia="hr-HR"/>
        </w:rPr>
      </w:pPr>
      <w:r w:rsidRPr="00C76A12">
        <w:rPr>
          <w:rFonts w:cs="Times New Roman" w:eastAsia="Times New Roman"/>
          <w:lang w:eastAsia="hr-HR"/>
        </w:rPr>
        <w:tab/>
        <w:t>Iz spisa proizlazi da je rješenje o otvaranju ovoga stečajnog postupka od 2. studenoga 2018. objavljeno na mrežnoj stranici e-Oglasna ploča sudova, istoga dana, pa je doista rok za prijavu tražbina od 30 dana (iz čl. 54. st. 3. SZ-a) istekao 10. prosinca 2018., primjenom odredaba čl. 12. Stečajnog zakona (</w:t>
      </w:r>
      <w:r>
        <w:rPr>
          <w:rFonts w:cs="Times New Roman" w:eastAsia="Times New Roman"/>
          <w:lang w:eastAsia="hr-HR"/>
        </w:rPr>
        <w:t>„</w:t>
      </w:r>
      <w:r w:rsidRPr="00C76A12">
        <w:rPr>
          <w:rFonts w:cs="Times New Roman" w:eastAsia="Times New Roman"/>
          <w:lang w:eastAsia="hr-HR"/>
        </w:rPr>
        <w:t>Narodne novine</w:t>
      </w:r>
      <w:r>
        <w:rPr>
          <w:rFonts w:cs="Times New Roman" w:eastAsia="Times New Roman"/>
          <w:lang w:eastAsia="hr-HR"/>
        </w:rPr>
        <w:t>“ broj 71/15 i</w:t>
      </w:r>
      <w:r w:rsidRPr="00C76A12">
        <w:rPr>
          <w:rFonts w:cs="Times New Roman" w:eastAsia="Times New Roman"/>
          <w:lang w:eastAsia="hr-HR"/>
        </w:rPr>
        <w:t xml:space="preserve"> 104/17) koj</w:t>
      </w:r>
      <w:r>
        <w:rPr>
          <w:rFonts w:cs="Times New Roman" w:eastAsia="Times New Roman"/>
          <w:lang w:eastAsia="hr-HR"/>
        </w:rPr>
        <w:t>e se, po čl. 441. st. 2. tog</w:t>
      </w:r>
      <w:r w:rsidRPr="00C76A12">
        <w:rPr>
          <w:rFonts w:cs="Times New Roman" w:eastAsia="Times New Roman"/>
          <w:lang w:eastAsia="hr-HR"/>
        </w:rPr>
        <w:t xml:space="preserve"> Zakona, primjenjuju i na postupke u tijeku. Tim rješenjem su, sukladno odredbama čl. 55. st. 1. SZ-a, ispitno i izvještajno ročište zakazani za 1. veljače 2019. </w:t>
      </w:r>
    </w:p>
    <w:p w:rsidRDefault="00C76A12" w:rsidP="00C76A12" w:rsidR="00C76A12" w:rsidRPr="00C76A12">
      <w:pPr>
        <w:spacing w:after="0"/>
        <w:jc w:val="both"/>
        <w:rPr>
          <w:rFonts w:cs="Times New Roman" w:eastAsia="Times New Roman"/>
          <w:lang w:eastAsia="hr-HR"/>
        </w:rPr>
      </w:pPr>
    </w:p>
    <w:p w:rsidRDefault="00C76A12" w:rsidP="00C76A12" w:rsidR="00C76A12" w:rsidRPr="00C76A12">
      <w:pPr>
        <w:spacing w:after="0"/>
        <w:jc w:val="both"/>
        <w:rPr>
          <w:rFonts w:cs="Times New Roman" w:eastAsia="Times New Roman"/>
          <w:lang w:eastAsia="hr-HR"/>
        </w:rPr>
      </w:pPr>
      <w:r w:rsidRPr="00C76A12">
        <w:rPr>
          <w:rFonts w:cs="Times New Roman" w:eastAsia="Times New Roman"/>
          <w:lang w:eastAsia="hr-HR"/>
        </w:rPr>
        <w:tab/>
        <w:t>Iz spisa proizlazi i da je stečajna upraviteljica Mirjana Zuzija 16. siječnja 2019. poslala preporučenom poštom prvostupanjskom sudu (nepotpuno) izvješće o gospodarskom položaju dužnika i njegovim uzrocima, da je navedeno izvješće fizički zaprimljeno na prvostupanjskom sudu 22. siječnja 2019. i da je 23. siječnja 2019. objavljeno na mrežnoj stranici e-Oglasna ploča sudova. Nadalje, tablice iz čl. 174. SZ-a dostavila je prvostupanjskom sudu elektroničkom poštom 24. siječnja 2019. te su one istoga dana objavljene na mrežnoj stranici e-Oglasna ploča sudova. Iz navedenog bi proizlazilo da je stečajna upraviteljica dostavila navedene isprave u rokovima iz čl. 174. st. 4. SZ-a i čl. 227. st. 1. Stečajnog zakona (</w:t>
      </w:r>
      <w:r>
        <w:rPr>
          <w:rFonts w:cs="Times New Roman" w:eastAsia="Times New Roman"/>
          <w:lang w:eastAsia="hr-HR"/>
        </w:rPr>
        <w:t>„</w:t>
      </w:r>
      <w:r w:rsidRPr="00C76A12">
        <w:rPr>
          <w:rFonts w:cs="Times New Roman" w:eastAsia="Times New Roman"/>
          <w:lang w:eastAsia="hr-HR"/>
        </w:rPr>
        <w:t>Narodne novine</w:t>
      </w:r>
      <w:r>
        <w:rPr>
          <w:rFonts w:cs="Times New Roman" w:eastAsia="Times New Roman"/>
          <w:lang w:eastAsia="hr-HR"/>
        </w:rPr>
        <w:t>“ broj</w:t>
      </w:r>
      <w:r w:rsidRPr="00C76A12">
        <w:rPr>
          <w:rFonts w:cs="Times New Roman" w:eastAsia="Times New Roman"/>
          <w:lang w:eastAsia="hr-HR"/>
        </w:rPr>
        <w:t xml:space="preserve"> 71/15</w:t>
      </w:r>
      <w:r>
        <w:rPr>
          <w:rFonts w:cs="Times New Roman" w:eastAsia="Times New Roman"/>
          <w:lang w:eastAsia="hr-HR"/>
        </w:rPr>
        <w:t xml:space="preserve"> i</w:t>
      </w:r>
      <w:r w:rsidRPr="00C76A12">
        <w:rPr>
          <w:rFonts w:cs="Times New Roman" w:eastAsia="Times New Roman"/>
          <w:lang w:eastAsia="hr-HR"/>
        </w:rPr>
        <w:t xml:space="preserve"> 104/17) koja se odredba, po čl. 441. st. 2. toga Zakona, također primjenjuje i na postupke u tijeku.  </w:t>
      </w:r>
    </w:p>
    <w:p w:rsidRDefault="00C76A12" w:rsidP="00C76A12" w:rsidR="00C76A12" w:rsidRPr="00C76A12">
      <w:pPr>
        <w:spacing w:after="0"/>
        <w:jc w:val="both"/>
        <w:rPr>
          <w:rFonts w:cs="Times New Roman" w:eastAsia="Times New Roman"/>
          <w:lang w:eastAsia="hr-HR"/>
        </w:rPr>
      </w:pPr>
    </w:p>
    <w:p w:rsidRDefault="00C76A12" w:rsidP="00C76A12" w:rsidR="00C76A12" w:rsidRPr="00C76A12">
      <w:pPr>
        <w:spacing w:after="0"/>
        <w:jc w:val="both"/>
        <w:rPr>
          <w:rFonts w:cs="Times New Roman" w:eastAsia="Times New Roman"/>
          <w:lang w:eastAsia="hr-HR"/>
        </w:rPr>
      </w:pPr>
      <w:r w:rsidRPr="00C76A12">
        <w:rPr>
          <w:rFonts w:cs="Times New Roman" w:eastAsia="Times New Roman"/>
          <w:lang w:eastAsia="hr-HR"/>
        </w:rPr>
        <w:tab/>
        <w:t>No, nakon toga je navedena stečajna upraviteljica zakašnjelo, 25. siječnja 2019., dostavila dopunu izvješć</w:t>
      </w:r>
      <w:r w:rsidR="00263B19">
        <w:rPr>
          <w:rFonts w:cs="Times New Roman" w:eastAsia="Times New Roman"/>
          <w:lang w:eastAsia="hr-HR"/>
        </w:rPr>
        <w:t>a</w:t>
      </w:r>
      <w:r w:rsidRPr="00C76A12">
        <w:rPr>
          <w:rFonts w:cs="Times New Roman" w:eastAsia="Times New Roman"/>
          <w:lang w:eastAsia="hr-HR"/>
        </w:rPr>
        <w:t xml:space="preserve"> o gospodarskom položaju dužnika i njegovim uzrocima, da bi 29. siječnja 2019. predložila odgodu ispitnog i izvještajnog ročišta za minimalno 30 dana navodeći, između ostalog, da je rok za dostavu prijava tražbina vjerovnicima istekao 3. siječnja 2019. te da je stoga rok od 27 dana (do održavanja ispitnog i izvještajnog ročišta) izrazito premali rok u kojem je moguće kvalitetno i sveobuhvatno ispitati zaprimljene prijave tražbina te utvrditi imovinu i obveze stečajnog dužnika, da </w:t>
      </w:r>
      <w:r>
        <w:rPr>
          <w:rFonts w:cs="Times New Roman" w:eastAsia="Times New Roman"/>
          <w:lang w:eastAsia="hr-HR"/>
        </w:rPr>
        <w:t>„</w:t>
      </w:r>
      <w:r w:rsidRPr="00C76A12">
        <w:rPr>
          <w:rFonts w:cs="Times New Roman" w:eastAsia="Times New Roman"/>
          <w:lang w:eastAsia="hr-HR"/>
        </w:rPr>
        <w:t>stari</w:t>
      </w:r>
      <w:r>
        <w:rPr>
          <w:rFonts w:cs="Times New Roman" w:eastAsia="Times New Roman"/>
          <w:lang w:eastAsia="hr-HR"/>
        </w:rPr>
        <w:t>“</w:t>
      </w:r>
      <w:r w:rsidRPr="00C76A12">
        <w:rPr>
          <w:rFonts w:cs="Times New Roman" w:eastAsia="Times New Roman"/>
          <w:lang w:eastAsia="hr-HR"/>
        </w:rPr>
        <w:t xml:space="preserve"> S</w:t>
      </w:r>
      <w:r>
        <w:rPr>
          <w:rFonts w:cs="Times New Roman" w:eastAsia="Times New Roman"/>
          <w:lang w:eastAsia="hr-HR"/>
        </w:rPr>
        <w:t>tečajni zakon</w:t>
      </w:r>
      <w:r w:rsidRPr="00C76A12">
        <w:rPr>
          <w:rFonts w:cs="Times New Roman" w:eastAsia="Times New Roman"/>
          <w:lang w:eastAsia="hr-HR"/>
        </w:rPr>
        <w:t xml:space="preserve"> dopušta podnošenje prijava tražbina i nakon isteka dodijeljenog roka te da joj je potrebno dodatno vrijeme kako bi pravilno ispitala prijavljene tražbine. </w:t>
      </w:r>
    </w:p>
    <w:p w:rsidRDefault="00C76A12" w:rsidP="00C76A12" w:rsidR="00C76A12" w:rsidRPr="00C76A12">
      <w:pPr>
        <w:spacing w:after="0"/>
        <w:jc w:val="both"/>
        <w:rPr>
          <w:rFonts w:cs="Times New Roman" w:eastAsia="Times New Roman"/>
          <w:lang w:eastAsia="hr-HR"/>
        </w:rPr>
      </w:pPr>
    </w:p>
    <w:p w:rsidRDefault="00C76A12" w:rsidP="00C76A12" w:rsidR="00C76A12" w:rsidRPr="00C76A12">
      <w:pPr>
        <w:spacing w:after="0"/>
        <w:jc w:val="both"/>
        <w:rPr>
          <w:rFonts w:cs="Times New Roman" w:eastAsia="Times New Roman"/>
          <w:lang w:eastAsia="hr-HR"/>
        </w:rPr>
      </w:pPr>
      <w:r w:rsidRPr="00C76A12">
        <w:rPr>
          <w:rFonts w:cs="Times New Roman" w:eastAsia="Times New Roman"/>
          <w:lang w:eastAsia="hr-HR"/>
        </w:rPr>
        <w:tab/>
        <w:t>Stoga je prvostupanjski sud, pravilnom primjenom odredaba čl. 27. SZ-a, razriješio stečajnu upravitelj</w:t>
      </w:r>
      <w:r w:rsidR="00C871BC">
        <w:rPr>
          <w:rFonts w:cs="Times New Roman" w:eastAsia="Times New Roman"/>
          <w:lang w:eastAsia="hr-HR"/>
        </w:rPr>
        <w:t>icu Mirjanu Zuzija</w:t>
      </w:r>
      <w:r w:rsidRPr="00C76A12">
        <w:rPr>
          <w:rFonts w:cs="Times New Roman" w:eastAsia="Times New Roman"/>
          <w:lang w:eastAsia="hr-HR"/>
        </w:rPr>
        <w:t xml:space="preserve"> zbog sljedećih razloga, jer je:</w:t>
      </w:r>
    </w:p>
    <w:p w:rsidRDefault="00C76A12" w:rsidP="00C76A12" w:rsidR="00C76A12" w:rsidRPr="00C76A12">
      <w:pPr>
        <w:spacing w:after="0"/>
        <w:jc w:val="both"/>
        <w:rPr>
          <w:rFonts w:cs="Times New Roman" w:eastAsia="Times New Roman"/>
          <w:lang w:eastAsia="hr-HR"/>
        </w:rPr>
      </w:pPr>
      <w:r w:rsidRPr="00C76A12">
        <w:rPr>
          <w:rFonts w:cs="Times New Roman" w:eastAsia="Times New Roman"/>
          <w:lang w:eastAsia="hr-HR"/>
        </w:rPr>
        <w:tab/>
        <w:t>- netočno da je imala samo 27 dana za utvrđenje imovine stečajnog dužnika budući da je tu imovinu mogla početi utvrđivati već od primitka rješenja o otvaranju stečajnog postupka, 10. studenog 2018., što uostalom i vjerovnici Cro-Go d.o.o. i Kgh Tehnika d.o.o., navode u žalbi,</w:t>
      </w:r>
    </w:p>
    <w:p w:rsidRDefault="00C76A12" w:rsidP="00C76A12" w:rsidR="00C76A12">
      <w:pPr>
        <w:spacing w:after="0"/>
        <w:jc w:val="both"/>
        <w:rPr>
          <w:rFonts w:cs="Times New Roman" w:eastAsia="Times New Roman"/>
          <w:lang w:eastAsia="hr-HR"/>
        </w:rPr>
      </w:pPr>
      <w:r w:rsidRPr="00C76A12">
        <w:rPr>
          <w:rFonts w:cs="Times New Roman" w:eastAsia="Times New Roman"/>
          <w:lang w:eastAsia="hr-HR"/>
        </w:rPr>
        <w:tab/>
        <w:t>- netočno i da je imala samo 27 dana za ispitivanje zaprimljenih prijava tražbina budući da je rok za prijavu tražbinu istekao 10. prosinca 2018. (a ne 3. siječnja 2019.) i budući da na ispitnom ročištu od 1. veljače 2019. nije morala ispitati tražbine prijavljene nakon isteka roka, imajući u vidu da je navedeno mogla učiniti i na jednom ili više posebnih ispitnih ročišta (čl. 176. st. 2. SZ-a),</w:t>
      </w:r>
    </w:p>
    <w:p w:rsidRDefault="00263B19" w:rsidP="00C76A12" w:rsidR="00263B19" w:rsidRPr="00C76A12">
      <w:pPr>
        <w:spacing w:after="0"/>
        <w:jc w:val="both"/>
        <w:rPr>
          <w:rFonts w:cs="Times New Roman" w:eastAsia="Times New Roman"/>
          <w:lang w:eastAsia="hr-HR"/>
        </w:rPr>
      </w:pPr>
    </w:p>
    <w:p w:rsidRDefault="00263B19" w:rsidP="00C76A12" w:rsidR="00263B19">
      <w:pPr>
        <w:spacing w:after="0"/>
        <w:jc w:val="both"/>
        <w:rPr>
          <w:rFonts w:cs="Times New Roman" w:eastAsia="Times New Roman"/>
          <w:lang w:eastAsia="hr-HR"/>
        </w:rPr>
      </w:pPr>
    </w:p>
    <w:p w:rsidRDefault="00263B19" w:rsidP="00C76A12" w:rsidR="00263B19">
      <w:pPr>
        <w:spacing w:after="0"/>
        <w:jc w:val="both"/>
        <w:rPr>
          <w:rFonts w:cs="Times New Roman" w:eastAsia="Times New Roman"/>
          <w:lang w:eastAsia="hr-HR"/>
        </w:rPr>
      </w:pPr>
    </w:p>
    <w:p w:rsidRDefault="00263B19" w:rsidP="00C76A12" w:rsidR="00263B19">
      <w:pPr>
        <w:spacing w:after="0"/>
        <w:jc w:val="both"/>
        <w:rPr>
          <w:rFonts w:cs="Times New Roman" w:eastAsia="Times New Roman"/>
          <w:lang w:eastAsia="hr-HR"/>
        </w:rPr>
      </w:pPr>
    </w:p>
    <w:p w:rsidRDefault="00C76A12" w:rsidP="00C76A12" w:rsidR="00C76A12" w:rsidRPr="00C76A12">
      <w:pPr>
        <w:spacing w:after="0"/>
        <w:jc w:val="both"/>
        <w:rPr>
          <w:rFonts w:cs="Times New Roman" w:eastAsia="Times New Roman"/>
          <w:lang w:eastAsia="hr-HR"/>
        </w:rPr>
      </w:pPr>
      <w:r w:rsidRPr="00C76A12">
        <w:rPr>
          <w:rFonts w:cs="Times New Roman" w:eastAsia="Times New Roman"/>
          <w:lang w:eastAsia="hr-HR"/>
        </w:rPr>
        <w:tab/>
        <w:t>- zakašnjelo, 25. siječnja 2019., dostavila potpuno izvješće o gospodarskom položaju dužnika i njegovim uzrocima budući da je navedeno bila dužna učiniti najkasnije 15 dana prije izvještajnog ročišta (čl. 227. st. 1. Stečajnog zakona</w:t>
      </w:r>
      <w:r>
        <w:rPr>
          <w:rFonts w:cs="Times New Roman" w:eastAsia="Times New Roman"/>
          <w:lang w:eastAsia="hr-HR"/>
        </w:rPr>
        <w:t xml:space="preserve"> -</w:t>
      </w:r>
      <w:r w:rsidRPr="00C76A12">
        <w:rPr>
          <w:rFonts w:cs="Times New Roman" w:eastAsia="Times New Roman"/>
          <w:lang w:eastAsia="hr-HR"/>
        </w:rPr>
        <w:t xml:space="preserve"> </w:t>
      </w:r>
      <w:r>
        <w:rPr>
          <w:rFonts w:cs="Times New Roman" w:eastAsia="Times New Roman"/>
          <w:lang w:eastAsia="hr-HR"/>
        </w:rPr>
        <w:t>„</w:t>
      </w:r>
      <w:r w:rsidRPr="00C76A12">
        <w:rPr>
          <w:rFonts w:cs="Times New Roman" w:eastAsia="Times New Roman"/>
          <w:lang w:eastAsia="hr-HR"/>
        </w:rPr>
        <w:t>Narodne novine</w:t>
      </w:r>
      <w:r>
        <w:rPr>
          <w:rFonts w:cs="Times New Roman" w:eastAsia="Times New Roman"/>
          <w:lang w:eastAsia="hr-HR"/>
        </w:rPr>
        <w:t>“</w:t>
      </w:r>
      <w:r w:rsidRPr="00C76A12">
        <w:rPr>
          <w:rFonts w:cs="Times New Roman" w:eastAsia="Times New Roman"/>
          <w:lang w:eastAsia="hr-HR"/>
        </w:rPr>
        <w:t xml:space="preserve"> broj 71/15</w:t>
      </w:r>
      <w:r>
        <w:rPr>
          <w:rFonts w:cs="Times New Roman" w:eastAsia="Times New Roman"/>
          <w:lang w:eastAsia="hr-HR"/>
        </w:rPr>
        <w:t xml:space="preserve"> i</w:t>
      </w:r>
      <w:r w:rsidRPr="00C76A12">
        <w:rPr>
          <w:rFonts w:cs="Times New Roman" w:eastAsia="Times New Roman"/>
          <w:lang w:eastAsia="hr-HR"/>
        </w:rPr>
        <w:t xml:space="preserve"> 104/17),</w:t>
      </w:r>
    </w:p>
    <w:p w:rsidRDefault="00C76A12" w:rsidP="00C76A12" w:rsidR="00C76A12" w:rsidRPr="00C76A12">
      <w:pPr>
        <w:spacing w:after="0"/>
        <w:jc w:val="both"/>
        <w:rPr>
          <w:rFonts w:cs="Times New Roman" w:eastAsia="Times New Roman"/>
          <w:lang w:eastAsia="hr-HR"/>
        </w:rPr>
      </w:pPr>
      <w:r w:rsidRPr="00C76A12">
        <w:rPr>
          <w:rFonts w:cs="Times New Roman" w:eastAsia="Times New Roman"/>
          <w:lang w:eastAsia="hr-HR"/>
        </w:rPr>
        <w:tab/>
        <w:t xml:space="preserve">- zakašnjelo, 31. siječnja 2019., dostavila potpune tablice iz čl. 174. SZ-a, na koje se poziva žalitelj Kanaan d.o.o., budući da je navedeno bila dužna učiniti najkasnije osam dana prije održavanja ispitnog ročišta (čl. 174. st. 4. SZ-a), </w:t>
      </w:r>
    </w:p>
    <w:p w:rsidRDefault="00C76A12" w:rsidP="00C76A12" w:rsidR="00C76A12" w:rsidRPr="00C76A12">
      <w:pPr>
        <w:spacing w:after="0"/>
        <w:jc w:val="both"/>
        <w:rPr>
          <w:rFonts w:cs="Times New Roman" w:eastAsia="Times New Roman"/>
          <w:lang w:eastAsia="hr-HR"/>
        </w:rPr>
      </w:pPr>
      <w:r w:rsidRPr="00C76A12">
        <w:rPr>
          <w:rFonts w:cs="Times New Roman" w:eastAsia="Times New Roman"/>
          <w:lang w:eastAsia="hr-HR"/>
        </w:rPr>
        <w:tab/>
        <w:t>- zakašnjelo, 29. siječnja 2019., i protivno odredbama čl. 55. st. 1. t. 1. i 2. SZ-a, predložila odgodu ispitnog i izvještajnog ročišta od 1. veljače 2019. za minimalno 30 dana, budući da je zakonski rok za održavanje ispitnog ročišta isticao 10. veljače 2019., a za održavanje izvještajnog ročišta 25. veljače 2019.</w:t>
      </w:r>
    </w:p>
    <w:p w:rsidRDefault="00C76A12" w:rsidP="00C76A12" w:rsidR="00C76A12" w:rsidRPr="00C76A12">
      <w:pPr>
        <w:spacing w:after="0"/>
        <w:jc w:val="both"/>
        <w:rPr>
          <w:rFonts w:cs="Times New Roman" w:eastAsia="Times New Roman"/>
          <w:lang w:eastAsia="hr-HR"/>
        </w:rPr>
      </w:pPr>
    </w:p>
    <w:p w:rsidRDefault="00C76A12" w:rsidP="00C76A12" w:rsidR="00C76A12" w:rsidRPr="00C76A12">
      <w:pPr>
        <w:spacing w:after="0"/>
        <w:jc w:val="both"/>
        <w:rPr>
          <w:rFonts w:cs="Times New Roman" w:eastAsia="Times New Roman"/>
          <w:lang w:eastAsia="hr-HR"/>
        </w:rPr>
      </w:pPr>
      <w:r w:rsidRPr="00C76A12">
        <w:rPr>
          <w:rFonts w:cs="Times New Roman" w:eastAsia="Times New Roman"/>
          <w:lang w:eastAsia="hr-HR"/>
        </w:rPr>
        <w:tab/>
        <w:t xml:space="preserve">S potonjim u vezi valja dodati i da je točno da se ovdje radi o složenom stečajnom postupku s velikim brojem vjerovnika, visokim iznosima tražbina i imovinom znatnije vrijednosti te da je moguće da su postojale prepreke zbog kojih stečajna upraviteljica nije mogla poduzeti sve potrebne radnje u zakonskim rokovima. No, s tim u vezi je prvostupanjski sud jasno, logično i detaljno obrazložio kako ga je stečajna upraviteljica trebala o tome obavijestiti pravodobno, što nesporno nije učinila i što je stoga bio odlučni, i na zakonu osnovani, razlog donošenja pobijanog rješenja. </w:t>
      </w:r>
    </w:p>
    <w:p w:rsidRDefault="00C76A12" w:rsidP="00C76A12" w:rsidR="00C76A12" w:rsidRPr="00C76A12">
      <w:pPr>
        <w:spacing w:after="0"/>
        <w:jc w:val="both"/>
        <w:rPr>
          <w:rFonts w:cs="Times New Roman" w:eastAsia="Times New Roman"/>
          <w:lang w:eastAsia="hr-HR"/>
        </w:rPr>
      </w:pPr>
    </w:p>
    <w:p w:rsidRDefault="00C76A12" w:rsidP="00C76A12" w:rsidR="00C76A12" w:rsidRPr="00C76A12">
      <w:pPr>
        <w:spacing w:after="0"/>
        <w:jc w:val="both"/>
        <w:rPr>
          <w:rFonts w:cs="Times New Roman" w:eastAsia="Times New Roman"/>
          <w:lang w:eastAsia="hr-HR"/>
        </w:rPr>
      </w:pPr>
      <w:r w:rsidRPr="00C76A12">
        <w:rPr>
          <w:rFonts w:cs="Times New Roman" w:eastAsia="Times New Roman"/>
          <w:lang w:eastAsia="hr-HR"/>
        </w:rPr>
        <w:tab/>
        <w:t>Nadalje, netočan je navod žalitelja Kanaan d.o.o. da je tablica obrađenih tražbina predana sudu na vrijeme, kao konačna verzija stečajne upraviteljice, budući da je ta tablica predana sudu tek 31. siječnja 2019. pa je jasno da nije mogla biti objavljena na mrežnoj stranici e-Oglasna ploča sudova u zakonom propisanom roku.</w:t>
      </w:r>
    </w:p>
    <w:p w:rsidRDefault="00C76A12" w:rsidP="00C76A12" w:rsidR="00C76A12" w:rsidRPr="00C76A12">
      <w:pPr>
        <w:spacing w:after="0"/>
        <w:jc w:val="both"/>
        <w:rPr>
          <w:rFonts w:cs="Times New Roman" w:eastAsia="Times New Roman"/>
          <w:lang w:eastAsia="hr-HR"/>
        </w:rPr>
      </w:pPr>
    </w:p>
    <w:p w:rsidRDefault="00C76A12" w:rsidP="00C76A12" w:rsidR="00C76A12" w:rsidRPr="00C76A12">
      <w:pPr>
        <w:spacing w:after="0"/>
        <w:jc w:val="both"/>
        <w:rPr>
          <w:rFonts w:cs="Times New Roman" w:eastAsia="Times New Roman"/>
          <w:lang w:eastAsia="hr-HR"/>
        </w:rPr>
      </w:pPr>
      <w:r w:rsidRPr="00C76A12">
        <w:rPr>
          <w:rFonts w:cs="Times New Roman" w:eastAsia="Times New Roman"/>
          <w:lang w:eastAsia="hr-HR"/>
        </w:rPr>
        <w:tab/>
        <w:t>Neosnovano navedeni žalitelj drži i da je sud, prije donošenja pobijanog rješenja, trebao uputiti pisano upozorenje stečajnoj upraviteljici dok iz činjenice da je pobijano rješenje doneseno dva dana prije zakazanog ročišta koje je u konačnici zbog svih iznesenih razloga ipak moralo biti odgođeno, proizlazi i da su postojali važni razlozi za nedavanje mogućnosti očitovanja razriješenoj stečajnoj upraviteljici. Osim toga, stečajna upraviteljica se već u podnesku od 29. siječnja 2019. očitovala zašto nije postupala u zakonom propisanim rokovima te je prvostupanjski sud te razloge uzeo u obzir prilikom donošenja pobijanog rješenja.</w:t>
      </w:r>
    </w:p>
    <w:p w:rsidRDefault="00C76A12" w:rsidP="00C76A12" w:rsidR="00C76A12" w:rsidRPr="00C76A12">
      <w:pPr>
        <w:spacing w:after="0"/>
        <w:jc w:val="both"/>
        <w:rPr>
          <w:rFonts w:cs="Times New Roman" w:eastAsia="Times New Roman"/>
          <w:lang w:eastAsia="hr-HR"/>
        </w:rPr>
      </w:pPr>
    </w:p>
    <w:p w:rsidRDefault="00C76A12" w:rsidP="00C76A12" w:rsidR="00C76A12">
      <w:pPr>
        <w:spacing w:after="0"/>
        <w:jc w:val="both"/>
        <w:rPr>
          <w:rFonts w:cs="Times New Roman" w:eastAsia="Times New Roman"/>
          <w:lang w:eastAsia="hr-HR"/>
        </w:rPr>
      </w:pPr>
      <w:r w:rsidRPr="00C76A12">
        <w:rPr>
          <w:rFonts w:cs="Times New Roman" w:eastAsia="Times New Roman"/>
          <w:lang w:eastAsia="hr-HR"/>
        </w:rPr>
        <w:tab/>
        <w:t>Pogrešno je i shvaćanje žalitelja da je kod donošenja pobijanog rješenja trebalo konzultirati skupštinu vjerovnika. Naime, zajedno s rješenjem o razrješenju stečajnog upravitelja stečajni će sudac donijeti rješenje o imenovanju novoga stečajnog upravitelja. Na prvom narednom ili kojem kasnijem ročištu skupština vjerovnika može izabrati neku drugu osobu za stečajnog upravitelja, pri čemu će se odgovarajuće primijeniti odredbe članka 23. ovoga Zakona (čl. 27. st. 8. SZ-a). Dakle, skupština vjerovnika može u nastavku postupka izabrati za stečajnog upravitelja koga hoće (uz uvjet poštivanja mjerodavnih odredaba S</w:t>
      </w:r>
      <w:r>
        <w:rPr>
          <w:rFonts w:cs="Times New Roman" w:eastAsia="Times New Roman"/>
          <w:lang w:eastAsia="hr-HR"/>
        </w:rPr>
        <w:t>tečajnog zakona</w:t>
      </w:r>
      <w:r w:rsidRPr="00C76A12">
        <w:rPr>
          <w:rFonts w:cs="Times New Roman" w:eastAsia="Times New Roman"/>
          <w:lang w:eastAsia="hr-HR"/>
        </w:rPr>
        <w:t>).</w:t>
      </w:r>
    </w:p>
    <w:p w:rsidRDefault="00263B19" w:rsidP="00C76A12" w:rsidR="00263B19">
      <w:pPr>
        <w:spacing w:after="0"/>
        <w:jc w:val="both"/>
        <w:rPr>
          <w:rFonts w:cs="Times New Roman" w:eastAsia="Times New Roman"/>
          <w:lang w:eastAsia="hr-HR"/>
        </w:rPr>
      </w:pPr>
    </w:p>
    <w:p w:rsidRDefault="00C76A12" w:rsidP="00C76A12" w:rsidR="00C76A12" w:rsidRPr="00C76A12">
      <w:pPr>
        <w:spacing w:after="0"/>
        <w:jc w:val="both"/>
        <w:rPr>
          <w:rFonts w:cs="Times New Roman" w:eastAsia="Times New Roman"/>
          <w:lang w:eastAsia="hr-HR"/>
        </w:rPr>
      </w:pPr>
    </w:p>
    <w:p w:rsidRDefault="00C76A12" w:rsidP="00C76A12" w:rsidR="00C76A12" w:rsidRPr="00C76A12">
      <w:pPr>
        <w:spacing w:after="0"/>
        <w:jc w:val="both"/>
        <w:rPr>
          <w:rFonts w:cs="Times New Roman" w:eastAsia="Times New Roman"/>
          <w:lang w:eastAsia="hr-HR"/>
        </w:rPr>
      </w:pPr>
      <w:r w:rsidRPr="00C76A12">
        <w:rPr>
          <w:rFonts w:cs="Times New Roman" w:eastAsia="Times New Roman"/>
          <w:lang w:eastAsia="hr-HR"/>
        </w:rPr>
        <w:tab/>
        <w:t xml:space="preserve">Zato je prvostupanjski sud, pravilnom primjenom odredaba čl. 27. SZ-a, donio pobijano rješenje pa je, primjenom čl. 380. t. 2. ZPP-a u vezi s čl. 6. SZ-a, odlučeno kao u izreci.   </w:t>
      </w:r>
    </w:p>
    <w:p w:rsidRDefault="00C76A12" w:rsidP="00C76A12" w:rsidR="00C76A12" w:rsidRPr="00C76A12">
      <w:pPr>
        <w:spacing w:after="0"/>
        <w:jc w:val="both"/>
        <w:rPr>
          <w:rFonts w:cs="Times New Roman" w:eastAsia="Times New Roman"/>
          <w:lang w:eastAsia="hr-HR"/>
        </w:rPr>
      </w:pPr>
    </w:p>
    <w:p w:rsidRDefault="00C76A12" w:rsidP="00C76A12" w:rsidR="00C76A12" w:rsidRPr="00C76A12">
      <w:pPr>
        <w:spacing w:after="0"/>
        <w:jc w:val="center"/>
        <w:rPr>
          <w:rFonts w:cs="Times New Roman" w:eastAsia="Times New Roman"/>
          <w:lang w:eastAsia="hr-HR"/>
        </w:rPr>
      </w:pPr>
      <w:r w:rsidRPr="00C76A12">
        <w:rPr>
          <w:rFonts w:cs="Times New Roman" w:eastAsia="Times New Roman"/>
          <w:lang w:eastAsia="hr-HR"/>
        </w:rPr>
        <w:t>Zagreb, 2. travnja 2019.</w:t>
      </w:r>
    </w:p>
    <w:p w:rsidRDefault="00C76A12" w:rsidP="00C76A12" w:rsidR="00C76A12" w:rsidRPr="00C76A12">
      <w:pPr>
        <w:spacing w:after="0"/>
        <w:jc w:val="center"/>
        <w:rPr>
          <w:rFonts w:cs="Times New Roman" w:eastAsia="Times New Roman"/>
          <w:lang w:eastAsia="hr-HR"/>
        </w:rPr>
      </w:pPr>
    </w:p>
    <w:p w:rsidRDefault="00263B19" w:rsidP="001C0BDA" w:rsidR="00263B19" w:rsidRPr="001C0BDA">
      <w:pPr>
        <w:pStyle w:val="Bezproreda"/>
        <w:ind w:left="4536"/>
        <w:jc w:val="center"/>
      </w:pPr>
      <w:r>
        <w:t>Predsjednik vijeća</w:t>
      </w:r>
    </w:p>
    <w:p w:rsidRDefault="00263B19" w:rsidP="001C0BDA" w:rsidR="00263B19">
      <w:pPr>
        <w:pStyle w:val="Bezproreda"/>
        <w:ind w:left="4536"/>
        <w:jc w:val="center"/>
      </w:pPr>
      <w:r w:rsidRPr="00C76A12">
        <w:t>Raoul Dubravec</w:t>
      </w:r>
      <w:r>
        <w:t>,</w:t>
      </w:r>
      <w:r w:rsidRPr="001C0BDA">
        <w:t xml:space="preserve"> v. r.</w:t>
      </w:r>
    </w:p>
    <w:p w:rsidRDefault="00263B19" w:rsidP="001C0BDA" w:rsidR="00263B19" w:rsidRPr="001C0BDA">
      <w:pPr>
        <w:pStyle w:val="Bezproreda"/>
        <w:ind w:left="4536"/>
        <w:jc w:val="center"/>
      </w:pPr>
    </w:p>
    <w:p w:rsidRDefault="00263B19" w:rsidP="001C0BDA" w:rsidR="00263B19" w:rsidRPr="001C0BDA">
      <w:pPr>
        <w:pStyle w:val="Bezproreda"/>
        <w:ind w:left="4536"/>
        <w:jc w:val="center"/>
      </w:pPr>
      <w:r w:rsidRPr="001C0BDA">
        <w:t>Za točnost otpravka – ovlašteni službenik</w:t>
      </w:r>
    </w:p>
    <w:p w:rsidRDefault="00263B19" w:rsidP="001C0BDA" w:rsidR="00263B19" w:rsidRPr="001C0BDA">
      <w:pPr>
        <w:pStyle w:val="Bezproreda"/>
        <w:ind w:left="4536"/>
        <w:jc w:val="center"/>
      </w:pPr>
      <w:r w:rsidRPr="001C0BDA">
        <w:t>Brankica Curman</w:t>
      </w:r>
    </w:p>
    <w:sectPr w:rsidSect="00263B19" w:rsidR="00263B19" w:rsidRPr="001C0BDA">
      <w:headerReference w:type="default" r:id="rId11"/>
      <w:footerReference w:type="default" r:id="rId12"/>
      <w:pgSz w:code="9" w:h="16839" w:w="11907"/>
      <w:pgMar w:gutter="0" w:footer="720" w:header="1435" w:left="1418" w:bottom="1077" w:right="1418" w:top="1418"/>
      <w:paperSrc w:other="2" w:first="1"/>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18D4" w:rsidP="00537B78" w:rsidR="00C518D4">
      <w:r>
        <w:separator/>
      </w:r>
    </w:p>
  </w:endnote>
  <w:endnote w:id="0" w:type="continuationSeparator">
    <w:p w:rsidRDefault="00C518D4" w:rsidP="00537B78" w:rsidR="00C518D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43C5" w:rsidP="00170492" w:rsidR="006C43C5">
    <w:pPr>
      <w:pStyle w:val="Stranica"/>
      <w:jc w:val="left"/>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18D4" w:rsidP="00537B78" w:rsidR="00C518D4">
      <w:r>
        <w:separator/>
      </w:r>
    </w:p>
  </w:footnote>
  <w:footnote w:id="0" w:type="continuationSeparator">
    <w:p w:rsidRDefault="00C518D4" w:rsidP="00537B78" w:rsidR="00C518D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eastAsiaTheme="minorHAnsi"/>
        <w:noProof/>
        <w:lang w:eastAsia="en-US"/>
      </w:rPr>
      <w:id w:val="1836728219"/>
      <w:docPartObj>
        <w:docPartGallery w:val="Page Numbers (Top of Page)"/>
        <w:docPartUnique/>
      </w:docPartObj>
    </w:sdtPr>
    <w:sdtEndPr/>
    <w:sdtContent>
      <w:p w:rsidRDefault="00170492" w:rsidP="004C60ED" w:rsidR="00170492">
        <w:pPr>
          <w:pStyle w:val="HeadereSPIS"/>
        </w:pPr>
        <w:r w:rsidRPr="00C92375">
          <w:rPr>
            <w:rStyle w:val="PozadinaSvijetloCrvena"/>
            <w:noProof w:val="false"/>
            <w:shd w:fill="auto" w:color="auto" w:val="clear"/>
          </w:rPr>
          <w:t>Poslovni</w:t>
        </w:r>
        <w:r w:rsidRPr="001C4583">
          <w:rPr>
            <w:rStyle w:val="PozadinaSvijetloCrvena"/>
            <w:shd w:fill="auto" w:color="auto" w:val="clear"/>
          </w:rPr>
          <w:t xml:space="preserve"> broj:</w:t>
        </w:r>
        <w:r w:rsidR="006805A7">
          <w:rPr>
            <w:rStyle w:val="PozadinaSvijetloCrvena"/>
            <w:shd w:fill="auto" w:color="auto" w:val="clear"/>
          </w:rPr>
          <w:t xml:space="preserve"> </w:t>
        </w:r>
        <w:sdt>
          <w:sdtPr>
            <w:rPr>
              <w:rStyle w:val="eSPISCCParagraphDefaultFont"/>
            </w:rPr>
            <w:alias w:val="Oznaka referade"/>
            <w:tag w:val="DomainObject.Predmet.Referada.Oznaka_1"/>
            <w:id w:val="-1627689717"/>
            <w:dataBinding w:storeItemID="{100293BC-3C9C-4740-99C7-73F5E9006100}" w:xpath="/icms/DomainObject.Predmet.Referada.Oznaka/derivirana_varijabla[@naziv='DomainObject.Predmet.Referada.Oznaka_1']"/>
            <w:text/>
          </w:sdtPr>
          <w:sdtEndPr>
            <w:rPr>
              <w:rStyle w:val="eSPISCCParagraphDefaultFont"/>
            </w:rPr>
          </w:sdtEndPr>
          <w:sdtContent>
            <w:r w:rsidR="00C76A12" w:rsidRPr="00174B2E">
              <w:rPr>
                <w:rStyle w:val="eSPISCCParagraphDefaultFont"/>
              </w:rPr>
              <w:t>54</w:t>
            </w:r>
          </w:sdtContent>
        </w:sdt>
        <w:r>
          <w:rPr>
            <w:rStyle w:val="PozadinaSvijetloCrvena"/>
            <w:shd w:fill="auto" w:color="auto" w:val="clear"/>
          </w:rPr>
          <w:t xml:space="preserve"> </w:t>
        </w:r>
        <w:sdt>
          <w:sdtPr>
            <w:rPr>
              <w:rStyle w:val="eSPISCCParagraphDefaultFont"/>
            </w:rPr>
            <w:alias w:val="Poslovni broj dokumenta"/>
            <w:tag w:val="DomainObject.PoslovniBrojDokumenta"/>
            <w:id w:val="-1809619816"/>
            <w:dataBinding w:storeItemID="{100293BC-3C9C-4740-99C7-73F5E9006100}" w:xpath="/icms/DomainObject.PoslovniBrojDokumenta/derivirana_varijabla[@naziv='DomainObject.PoslovniBrojDokumenta_1']"/>
            <w:text/>
          </w:sdtPr>
          <w:sdtEndPr>
            <w:rPr>
              <w:rStyle w:val="eSPISCCParagraphDefaultFont"/>
            </w:rPr>
          </w:sdtEndPr>
          <w:sdtContent>
            <w:r w:rsidR="00C76A12" w:rsidRPr="00174B2E">
              <w:rPr>
                <w:rStyle w:val="eSPISCCParagraphDefaultFont"/>
              </w:rPr>
              <w:t>Pž-1351/2019-2</w:t>
            </w:r>
          </w:sdtContent>
        </w:sdt>
      </w:p>
      <w:p w:rsidRDefault="00170492" w:rsidP="00170492" w:rsidR="00170492">
        <w:pPr>
          <w:pStyle w:val="Zaglavlje"/>
          <w:spacing w:after="0"/>
          <w:jc w:val="center"/>
        </w:pPr>
        <w:r>
          <w:fldChar w:fldCharType="begin"/>
        </w:r>
        <w:r>
          <w:instrText>PAGE   \* MERGEFORMAT</w:instrText>
        </w:r>
        <w:r>
          <w:fldChar w:fldCharType="separate"/>
        </w:r>
        <w:r w:rsidR="00174B2E">
          <w:t>5</w:t>
        </w:r>
        <w:r>
          <w:fldChar w:fldCharType="end"/>
        </w:r>
        <w:r w:rsidR="0022360E">
          <w:br/>
        </w: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1021"/>
  <w:stylePaneSortMethod w:val="0000"/>
  <w:documentProtection w:enforcement="false" w:edit="readOnly"/>
  <w:defaultTabStop w:val="709"/>
  <w:hyphenationZone w:val="425"/>
  <w:doNotHyphenateCaps/>
  <w:characterSpacingControl w:val="doNotCompress"/>
  <w:savePreviewPicture/>
  <w:hdrShapeDefaults>
    <o:shapedefaults v:ext="edit" spidmax="10241"/>
  </w:hdrShapeDefaults>
  <w:footnotePr>
    <w:footnote w:id="-1"/>
    <w:footnote w:id="0"/>
  </w:footnotePr>
  <w:endnotePr>
    <w:endnote w:id="-1"/>
    <w:endnote w:id="0"/>
  </w:endnotePr>
  <w:compat>
    <w:layoutTableRowsApart/>
    <w:growAutofit/>
    <w:compatSetting w:val="14" w:uri="http://schemas.microsoft.com/office/word" w:name="compatibilityMode"/>
  </w:compat>
  <w:docVars>
    <w:docVar w:val="15. srpanj 2013." w:name="StartDate"/>
    <w:docVar w:val="2013-07-15" w:name="StartDateISO"/>
    <w:docVar w:val="06:46:23" w:name="StartTime"/>
  </w:docVars>
  <w:rsids>
    <w:rsidRoot w:val="00870587"/>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7F2"/>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22"/>
    <w:rsid w:val="000E2587"/>
    <w:rsid w:val="000E2D23"/>
    <w:rsid w:val="000E30E6"/>
    <w:rsid w:val="000E522F"/>
    <w:rsid w:val="000E7426"/>
    <w:rsid w:val="000F1529"/>
    <w:rsid w:val="000F1E5D"/>
    <w:rsid w:val="000F1EEC"/>
    <w:rsid w:val="000F202D"/>
    <w:rsid w:val="000F29D1"/>
    <w:rsid w:val="000F2C64"/>
    <w:rsid w:val="000F2F65"/>
    <w:rsid w:val="00100E9B"/>
    <w:rsid w:val="00101BA5"/>
    <w:rsid w:val="00102FE5"/>
    <w:rsid w:val="00104558"/>
    <w:rsid w:val="0010469C"/>
    <w:rsid w:val="001048D4"/>
    <w:rsid w:val="00106D9B"/>
    <w:rsid w:val="001074EE"/>
    <w:rsid w:val="00107889"/>
    <w:rsid w:val="0011091F"/>
    <w:rsid w:val="00110C58"/>
    <w:rsid w:val="00111D3A"/>
    <w:rsid w:val="001128A1"/>
    <w:rsid w:val="00113867"/>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60A"/>
    <w:rsid w:val="001317DD"/>
    <w:rsid w:val="00134AA6"/>
    <w:rsid w:val="00135827"/>
    <w:rsid w:val="00135E70"/>
    <w:rsid w:val="00136174"/>
    <w:rsid w:val="00137AA7"/>
    <w:rsid w:val="0014018B"/>
    <w:rsid w:val="00140A03"/>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3DD"/>
    <w:rsid w:val="00155D9A"/>
    <w:rsid w:val="001560E7"/>
    <w:rsid w:val="001564D5"/>
    <w:rsid w:val="001573EA"/>
    <w:rsid w:val="00160343"/>
    <w:rsid w:val="0016129D"/>
    <w:rsid w:val="001620E5"/>
    <w:rsid w:val="00162F07"/>
    <w:rsid w:val="00163D6E"/>
    <w:rsid w:val="0016585C"/>
    <w:rsid w:val="00165C03"/>
    <w:rsid w:val="001662E1"/>
    <w:rsid w:val="00170022"/>
    <w:rsid w:val="00170492"/>
    <w:rsid w:val="001711C1"/>
    <w:rsid w:val="00171CD9"/>
    <w:rsid w:val="001739C1"/>
    <w:rsid w:val="001748CA"/>
    <w:rsid w:val="00174B2E"/>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A78CC"/>
    <w:rsid w:val="001B2974"/>
    <w:rsid w:val="001B3421"/>
    <w:rsid w:val="001B6650"/>
    <w:rsid w:val="001B66AB"/>
    <w:rsid w:val="001B672C"/>
    <w:rsid w:val="001C1E72"/>
    <w:rsid w:val="001C2A1A"/>
    <w:rsid w:val="001C2B24"/>
    <w:rsid w:val="001C2DDA"/>
    <w:rsid w:val="001C36D5"/>
    <w:rsid w:val="001C3B87"/>
    <w:rsid w:val="001C4583"/>
    <w:rsid w:val="001C554E"/>
    <w:rsid w:val="001C57F0"/>
    <w:rsid w:val="001C6A3E"/>
    <w:rsid w:val="001C7214"/>
    <w:rsid w:val="001C739E"/>
    <w:rsid w:val="001C76E4"/>
    <w:rsid w:val="001D1883"/>
    <w:rsid w:val="001D40EC"/>
    <w:rsid w:val="001D41FF"/>
    <w:rsid w:val="001D5128"/>
    <w:rsid w:val="001D5AD7"/>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453E"/>
    <w:rsid w:val="002059E1"/>
    <w:rsid w:val="002066A8"/>
    <w:rsid w:val="0020670B"/>
    <w:rsid w:val="0020671B"/>
    <w:rsid w:val="00207A46"/>
    <w:rsid w:val="00207F3F"/>
    <w:rsid w:val="002146AD"/>
    <w:rsid w:val="00217901"/>
    <w:rsid w:val="00217B1D"/>
    <w:rsid w:val="00220F17"/>
    <w:rsid w:val="0022360E"/>
    <w:rsid w:val="00226502"/>
    <w:rsid w:val="00230588"/>
    <w:rsid w:val="00232861"/>
    <w:rsid w:val="00233507"/>
    <w:rsid w:val="0023422C"/>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3B19"/>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4A96"/>
    <w:rsid w:val="003462B7"/>
    <w:rsid w:val="00346F5C"/>
    <w:rsid w:val="00350105"/>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17A6"/>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09FC"/>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4AE"/>
    <w:rsid w:val="004C0C30"/>
    <w:rsid w:val="004C251B"/>
    <w:rsid w:val="004C307E"/>
    <w:rsid w:val="004C33B1"/>
    <w:rsid w:val="004C35D6"/>
    <w:rsid w:val="004C4E17"/>
    <w:rsid w:val="004C53A1"/>
    <w:rsid w:val="004C5C5C"/>
    <w:rsid w:val="004C60ED"/>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2277"/>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148"/>
    <w:rsid w:val="005E2780"/>
    <w:rsid w:val="005E3361"/>
    <w:rsid w:val="005E62E2"/>
    <w:rsid w:val="005E687F"/>
    <w:rsid w:val="005E6E2E"/>
    <w:rsid w:val="005E75A2"/>
    <w:rsid w:val="005E7831"/>
    <w:rsid w:val="005F083D"/>
    <w:rsid w:val="005F139B"/>
    <w:rsid w:val="005F21C1"/>
    <w:rsid w:val="005F3378"/>
    <w:rsid w:val="005F46D0"/>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355A"/>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5A7"/>
    <w:rsid w:val="006806FD"/>
    <w:rsid w:val="00682910"/>
    <w:rsid w:val="00683332"/>
    <w:rsid w:val="00683B51"/>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3318"/>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1D74"/>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540"/>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C64EA"/>
    <w:rsid w:val="007D08D9"/>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1C55"/>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587"/>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ACB"/>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4A38"/>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22AE"/>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0D2D"/>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6334"/>
    <w:rsid w:val="00AC79D6"/>
    <w:rsid w:val="00AD147B"/>
    <w:rsid w:val="00AD177E"/>
    <w:rsid w:val="00AD1AAF"/>
    <w:rsid w:val="00AD32DA"/>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04379"/>
    <w:rsid w:val="00B10371"/>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122A"/>
    <w:rsid w:val="00B52FC4"/>
    <w:rsid w:val="00B54655"/>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28"/>
    <w:rsid w:val="00C22284"/>
    <w:rsid w:val="00C23588"/>
    <w:rsid w:val="00C24E5D"/>
    <w:rsid w:val="00C2541A"/>
    <w:rsid w:val="00C25896"/>
    <w:rsid w:val="00C277C3"/>
    <w:rsid w:val="00C30B7D"/>
    <w:rsid w:val="00C30C2C"/>
    <w:rsid w:val="00C316F9"/>
    <w:rsid w:val="00C32080"/>
    <w:rsid w:val="00C32EFA"/>
    <w:rsid w:val="00C3573B"/>
    <w:rsid w:val="00C3713F"/>
    <w:rsid w:val="00C40103"/>
    <w:rsid w:val="00C452A8"/>
    <w:rsid w:val="00C4675C"/>
    <w:rsid w:val="00C47090"/>
    <w:rsid w:val="00C47F70"/>
    <w:rsid w:val="00C501FE"/>
    <w:rsid w:val="00C518D4"/>
    <w:rsid w:val="00C5238E"/>
    <w:rsid w:val="00C53930"/>
    <w:rsid w:val="00C53CC2"/>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76A12"/>
    <w:rsid w:val="00C80EE1"/>
    <w:rsid w:val="00C81731"/>
    <w:rsid w:val="00C817C4"/>
    <w:rsid w:val="00C8190F"/>
    <w:rsid w:val="00C81B43"/>
    <w:rsid w:val="00C831AD"/>
    <w:rsid w:val="00C83C6C"/>
    <w:rsid w:val="00C8570D"/>
    <w:rsid w:val="00C85D2B"/>
    <w:rsid w:val="00C85E94"/>
    <w:rsid w:val="00C871BC"/>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CA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5E92"/>
    <w:rsid w:val="00D57CE7"/>
    <w:rsid w:val="00D608D4"/>
    <w:rsid w:val="00D60CBE"/>
    <w:rsid w:val="00D61F7D"/>
    <w:rsid w:val="00D62161"/>
    <w:rsid w:val="00D64A24"/>
    <w:rsid w:val="00D64D99"/>
    <w:rsid w:val="00D65BCE"/>
    <w:rsid w:val="00D72E39"/>
    <w:rsid w:val="00D72EFA"/>
    <w:rsid w:val="00D73058"/>
    <w:rsid w:val="00D73BDF"/>
    <w:rsid w:val="00D741D0"/>
    <w:rsid w:val="00D74232"/>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1D53"/>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57DCC"/>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6D72"/>
    <w:rsid w:val="00E87481"/>
    <w:rsid w:val="00E876C2"/>
    <w:rsid w:val="00E919A4"/>
    <w:rsid w:val="00E94032"/>
    <w:rsid w:val="00E96434"/>
    <w:rsid w:val="00EA12A7"/>
    <w:rsid w:val="00EA1715"/>
    <w:rsid w:val="00EA1A65"/>
    <w:rsid w:val="00EA1C6D"/>
    <w:rsid w:val="00EA29F4"/>
    <w:rsid w:val="00EA2F47"/>
    <w:rsid w:val="00EA39E4"/>
    <w:rsid w:val="00EA4D31"/>
    <w:rsid w:val="00EA4EAC"/>
    <w:rsid w:val="00EA620A"/>
    <w:rsid w:val="00EB0D4C"/>
    <w:rsid w:val="00EB0FEE"/>
    <w:rsid w:val="00EB1284"/>
    <w:rsid w:val="00EB1F9D"/>
    <w:rsid w:val="00EB39DC"/>
    <w:rsid w:val="00EB421F"/>
    <w:rsid w:val="00EB53F6"/>
    <w:rsid w:val="00EB5CB3"/>
    <w:rsid w:val="00EB619C"/>
    <w:rsid w:val="00EC008A"/>
    <w:rsid w:val="00EC1474"/>
    <w:rsid w:val="00EC256C"/>
    <w:rsid w:val="00EC351C"/>
    <w:rsid w:val="00EC4577"/>
    <w:rsid w:val="00EC58B2"/>
    <w:rsid w:val="00EC59F6"/>
    <w:rsid w:val="00EC6029"/>
    <w:rsid w:val="00EC6799"/>
    <w:rsid w:val="00ED00B7"/>
    <w:rsid w:val="00ED0238"/>
    <w:rsid w:val="00ED09C0"/>
    <w:rsid w:val="00ED11D0"/>
    <w:rsid w:val="00ED24E2"/>
    <w:rsid w:val="00ED2729"/>
    <w:rsid w:val="00ED2E4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2900"/>
    <w:rsid w:val="00F333D8"/>
    <w:rsid w:val="00F35297"/>
    <w:rsid w:val="00F35543"/>
    <w:rsid w:val="00F36E6F"/>
    <w:rsid w:val="00F37221"/>
    <w:rsid w:val="00F37489"/>
    <w:rsid w:val="00F376E6"/>
    <w:rsid w:val="00F378E4"/>
    <w:rsid w:val="00F37DC8"/>
    <w:rsid w:val="00F4054C"/>
    <w:rsid w:val="00F411F3"/>
    <w:rsid w:val="00F416FD"/>
    <w:rsid w:val="00F423F5"/>
    <w:rsid w:val="00F45E16"/>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0BE"/>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F45E16"/>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F45E16"/>
    <w:pPr>
      <w:keepNext/>
      <w:outlineLvl w:val="1"/>
    </w:pPr>
    <w:rPr>
      <w:b/>
      <w:sz w:val="28"/>
      <w:szCs w:val="20"/>
    </w:rPr>
  </w:style>
  <w:style w:styleId="Naslov3" w:type="paragraph">
    <w:name w:val="heading 3"/>
    <w:basedOn w:val="Normal"/>
    <w:next w:val="Normal"/>
    <w:link w:val="Naslov3Char"/>
    <w:uiPriority w:val="9"/>
    <w:unhideWhenUsed/>
    <w:rsid w:val="00F45E16"/>
    <w:pPr>
      <w:keepNext/>
      <w:keepLines/>
      <w:spacing w:before="200"/>
      <w:outlineLvl w:val="2"/>
    </w:pPr>
    <w:rPr>
      <w:rFonts w:cstheme="majorBidi" w:eastAsiaTheme="majorEastAsia"/>
      <w:b/>
      <w:bCs/>
    </w:rPr>
  </w:style>
  <w:style w:styleId="Naslov4" w:type="paragraph">
    <w:name w:val="heading 4"/>
    <w:basedOn w:val="Normal"/>
    <w:next w:val="Normal"/>
    <w:link w:val="Naslov4Char"/>
    <w:uiPriority w:val="9"/>
    <w:unhideWhenUsed/>
    <w:rsid w:val="00F45E16"/>
    <w:pPr>
      <w:keepNext/>
      <w:keepLines/>
      <w:spacing w:before="200"/>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F45E16"/>
    <w:p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F45E16"/>
    <w:p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F45E16"/>
    <w:p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F45E16"/>
    <w:p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F45E16"/>
    <w:p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F45E16"/>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F45E16"/>
    <w:rPr>
      <w:rFonts w:hAnsi="Times New Roman" w:ascii="Times New Roman"/>
      <w:b/>
      <w:sz w:val="28"/>
      <w:szCs w:val="20"/>
      <w:lang w:val="hr-HR"/>
    </w:rPr>
  </w:style>
  <w:style w:customStyle="true" w:styleId="Naslov3Char" w:type="character">
    <w:name w:val="Naslov 3 Char"/>
    <w:basedOn w:val="Zadanifontodlomka"/>
    <w:link w:val="Naslov3"/>
    <w:uiPriority w:val="9"/>
    <w:rsid w:val="00F45E16"/>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F45E16"/>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4C60ED"/>
    <w:pPr>
      <w:spacing w:after="0"/>
      <w:ind w:firstLine="0"/>
      <w:jc w:val="right"/>
    </w:pPr>
  </w:style>
  <w:style w:customStyle="true" w:styleId="Stil1" w:type="character">
    <w:name w:val="Stil1"/>
    <w:basedOn w:val="Zadanifontodlomka"/>
    <w:uiPriority w:val="1"/>
    <w:rsid w:val="00683B51"/>
    <w:rPr>
      <w:bdr w:space="0" w:sz="0" w:color="auto" w:val="non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F45E16"/>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F45E16"/>
    <w:pPr>
      <w:keepNext/>
      <w:outlineLvl w:val="1"/>
    </w:pPr>
    <w:rPr>
      <w:b/>
      <w:sz w:val="28"/>
      <w:szCs w:val="20"/>
    </w:rPr>
  </w:style>
  <w:style w:styleId="Naslov3" w:type="paragraph">
    <w:name w:val="heading 3"/>
    <w:basedOn w:val="Normal"/>
    <w:next w:val="Normal"/>
    <w:link w:val="Naslov3Char"/>
    <w:uiPriority w:val="9"/>
    <w:unhideWhenUsed/>
    <w:rsid w:val="00F45E16"/>
    <w:pPr>
      <w:keepNext/>
      <w:keepLines/>
      <w:spacing w:before="200"/>
      <w:outlineLvl w:val="2"/>
    </w:pPr>
    <w:rPr>
      <w:rFonts w:cstheme="majorBidi" w:eastAsiaTheme="majorEastAsia"/>
      <w:b/>
      <w:bCs/>
    </w:rPr>
  </w:style>
  <w:style w:styleId="Naslov4" w:type="paragraph">
    <w:name w:val="heading 4"/>
    <w:basedOn w:val="Normal"/>
    <w:next w:val="Normal"/>
    <w:link w:val="Naslov4Char"/>
    <w:uiPriority w:val="9"/>
    <w:unhideWhenUsed/>
    <w:rsid w:val="00F45E16"/>
    <w:pPr>
      <w:keepNext/>
      <w:keepLines/>
      <w:spacing w:before="200"/>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F45E16"/>
    <w:p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F45E16"/>
    <w:p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F45E16"/>
    <w:p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F45E16"/>
    <w:p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F45E16"/>
    <w:p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F45E16"/>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F45E16"/>
    <w:rPr>
      <w:rFonts w:ascii="Times New Roman" w:hAnsi="Times New Roman"/>
      <w:b/>
      <w:sz w:val="28"/>
      <w:szCs w:val="20"/>
      <w:lang w:val="hr-HR"/>
    </w:rPr>
  </w:style>
  <w:style w:customStyle="1" w:styleId="Naslov3Char" w:type="character">
    <w:name w:val="Naslov 3 Char"/>
    <w:basedOn w:val="Zadanifontodlomka"/>
    <w:link w:val="Naslov3"/>
    <w:uiPriority w:val="9"/>
    <w:rsid w:val="00F45E16"/>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F45E16"/>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4C60ED"/>
    <w:pPr>
      <w:spacing w:after="0"/>
      <w:ind w:firstLine="0"/>
      <w:jc w:val="right"/>
    </w:pPr>
  </w:style>
  <w:style w:customStyle="1" w:styleId="Stil1" w:type="character">
    <w:name w:val="Stil1"/>
    <w:basedOn w:val="Zadanifontodlomka"/>
    <w:uiPriority w:val="1"/>
    <w:rsid w:val="00683B51"/>
    <w:rPr>
      <w:bdr w:color="auto" w:space="0" w:sz="0" w:val="non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92257484">
      <w:bodyDiv w:val="true"/>
      <w:marLeft w:val="0"/>
      <w:marRight w:val="0"/>
      <w:marTop w:val="0"/>
      <w:marBottom w:val="0"/>
      <w:divBdr>
        <w:top w:space="0" w:sz="0" w:color="auto" w:val="none"/>
        <w:left w:space="0" w:sz="0" w:color="auto" w:val="none"/>
        <w:bottom w:space="0" w:sz="0" w:color="auto" w:val="none"/>
        <w:right w:space="0" w:sz="0" w:color="auto" w:val="none"/>
      </w:divBdr>
    </w:div>
    <w:div w:id="84856079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glossaryDocument" Target="glossary/document.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B10D299FF6B04F2980CA59984DD52830"/>
        <w:category>
          <w:name w:val="Općenito"/>
          <w:gallery w:val="placeholder"/>
        </w:category>
        <w:types>
          <w:type w:val="bbPlcHdr"/>
        </w:types>
        <w:behaviors>
          <w:behavior w:val="content"/>
        </w:behaviors>
        <w:guid w:val="{585B076E-7416-4C25-94B9-0076F5BE9716}"/>
      </w:docPartPr>
      <w:docPartBody>
        <w:p w:rsidRDefault="000714FB" w:rsidP="000714FB" w:rsidR="00F71AFA">
          <w:pPr>
            <w:pStyle w:val="B10D299FF6B04F2980CA59984DD528302"/>
          </w:pPr>
          <w:r w:rsidRPr="001C2DDA">
            <w:rPr>
              <w:rStyle w:val="Tekstrezerviranogmjesta"/>
            </w:rPr>
            <w:t>.._.._.._.._.._.._.._..</w:t>
          </w:r>
        </w:p>
      </w:docPartBody>
    </w:docPart>
    <w:docPart>
      <w:docPartPr>
        <w:name w:val="0A3BF5C17DE948178EF6D64909A97797"/>
        <w:category>
          <w:name w:val="Općenito"/>
          <w:gallery w:val="placeholder"/>
        </w:category>
        <w:types>
          <w:type w:val="bbPlcHdr"/>
        </w:types>
        <w:behaviors>
          <w:behavior w:val="content"/>
        </w:behaviors>
        <w:guid w:val="{2233B69D-BDD5-40EE-BF02-66AA4A08F51D}"/>
      </w:docPartPr>
      <w:docPartBody>
        <w:p w:rsidRDefault="00C4409E" w:rsidP="00C4409E" w:rsidR="00F71AFA">
          <w:pPr>
            <w:pStyle w:val="0A3BF5C17DE948178EF6D64909A97797"/>
          </w:pPr>
          <w:r w:rsidRPr="000B13D0">
            <w:rPr>
              <w:rStyle w:val="Tekstrezerviranogmjesta"/>
            </w:rPr>
            <w:t>Click here to enter text.</w:t>
          </w:r>
        </w:p>
      </w:docPartBody>
    </w:docPart>
    <w:docPart>
      <w:docPartPr>
        <w:name w:val="A5EDB863C2F640369A45094957B356D9"/>
        <w:category>
          <w:name w:val="Općenito"/>
          <w:gallery w:val="placeholder"/>
        </w:category>
        <w:types>
          <w:type w:val="bbPlcHdr"/>
        </w:types>
        <w:behaviors>
          <w:behavior w:val="content"/>
        </w:behaviors>
        <w:guid w:val="{9D34067B-98B5-4494-87BC-708F3AB50068}"/>
      </w:docPartPr>
      <w:docPartBody>
        <w:p w:rsidRDefault="000714FB" w:rsidP="000714FB" w:rsidR="00F71AFA">
          <w:pPr>
            <w:pStyle w:val="A5EDB863C2F640369A45094957B356D92"/>
          </w:pPr>
          <w:r w:rsidRPr="001C2DDA">
            <w:rPr>
              <w:rStyle w:val="Tekstrezerviranogmjesta"/>
            </w:rPr>
            <w:t>.._.._.._.._.._.._.._..</w:t>
          </w:r>
        </w:p>
      </w:docPartBody>
    </w:docPart>
    <w:docPart>
      <w:docPartPr>
        <w:name w:val="797F028671094211A6375963200B3D17"/>
        <w:category>
          <w:name w:val="Općenito"/>
          <w:gallery w:val="placeholder"/>
        </w:category>
        <w:types>
          <w:type w:val="bbPlcHdr"/>
        </w:types>
        <w:behaviors>
          <w:behavior w:val="content"/>
        </w:behaviors>
        <w:guid w:val="{10890738-BD7C-4FDF-A2E8-BEB01D2D800E}"/>
      </w:docPartPr>
      <w:docPartBody>
        <w:p w:rsidRDefault="000714FB" w:rsidP="000714FB" w:rsidR="00F71AFA">
          <w:pPr>
            <w:pStyle w:val="797F028671094211A6375963200B3D172"/>
          </w:pPr>
          <w:r w:rsidRPr="001C2DDA">
            <w:rPr>
              <w:rStyle w:val="Tekstrezerviranogmjesta"/>
            </w:rPr>
            <w:t>.._.._.._.._.._.._.._..</w:t>
          </w:r>
        </w:p>
      </w:docPartBody>
    </w:docPart>
    <w:docPart>
      <w:docPartPr>
        <w:name w:val="01AED7AAFE7A4DD7B63BD3291BC8DE21"/>
        <w:category>
          <w:name w:val="Općenito"/>
          <w:gallery w:val="placeholder"/>
        </w:category>
        <w:types>
          <w:type w:val="bbPlcHdr"/>
        </w:types>
        <w:behaviors>
          <w:behavior w:val="content"/>
        </w:behaviors>
        <w:guid w:val="{5A1786FB-8A69-4BF3-B069-B6B2A9C4E255}"/>
      </w:docPartPr>
      <w:docPartBody>
        <w:p w:rsidRDefault="000714FB" w:rsidP="000714FB" w:rsidR="00F71AFA">
          <w:pPr>
            <w:pStyle w:val="01AED7AAFE7A4DD7B63BD3291BC8DE212"/>
          </w:pPr>
          <w:r w:rsidRPr="001C2DDA">
            <w:rPr>
              <w:rStyle w:val="Tekstrezerviranogmjesta"/>
            </w:rPr>
            <w:t>.._.._.._.._.._.._.._..</w:t>
          </w:r>
        </w:p>
      </w:docPartBody>
    </w:docPart>
    <w:docPart>
      <w:docPartPr>
        <w:name w:val="8E889B82CA684C09A4EBEE999BCF3BD4"/>
        <w:category>
          <w:name w:val="Općenito"/>
          <w:gallery w:val="placeholder"/>
        </w:category>
        <w:types>
          <w:type w:val="bbPlcHdr"/>
        </w:types>
        <w:behaviors>
          <w:behavior w:val="content"/>
        </w:behaviors>
        <w:guid w:val="{6DB68A57-6667-447D-BB6A-2009C8A34771}"/>
      </w:docPartPr>
      <w:docPartBody>
        <w:p w:rsidRDefault="000714FB" w:rsidP="000714FB" w:rsidR="00F71AFA">
          <w:pPr>
            <w:pStyle w:val="8E889B82CA684C09A4EBEE999BCF3BD42"/>
          </w:pPr>
          <w:r w:rsidRPr="001C2DDA">
            <w:rPr>
              <w:rStyle w:val="Tekstrezerviranogmjesta"/>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409E"/>
    <w:rsid w:val="000714FB"/>
    <w:rsid w:val="00097387"/>
    <w:rsid w:val="00121D43"/>
    <w:rsid w:val="00201BA8"/>
    <w:rsid w:val="002C2596"/>
    <w:rsid w:val="003820FE"/>
    <w:rsid w:val="004456A8"/>
    <w:rsid w:val="00483442"/>
    <w:rsid w:val="005858C7"/>
    <w:rsid w:val="00614E4F"/>
    <w:rsid w:val="00642EBA"/>
    <w:rsid w:val="007B3F2E"/>
    <w:rsid w:val="00855D0C"/>
    <w:rsid w:val="0085783F"/>
    <w:rsid w:val="008B1279"/>
    <w:rsid w:val="008E597B"/>
    <w:rsid w:val="00C4409E"/>
    <w:rsid w:val="00F71AFA"/>
    <w:rsid w:val="00F863CC"/>
    <w:rsid w:val="00FA1E49"/>
    <w:rsid w:val="00FC4D3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0714FB"/>
    <w:rPr>
      <w:noProof/>
      <w:color w:val="808080"/>
      <w:bdr w:space="0" w:sz="0" w:color="auto" w:val="none"/>
      <w:shd w:fill="CCFFFF" w:color="auto" w:val="clear"/>
      <w:lang w:val="hr-HR"/>
    </w:rPr>
  </w:style>
  <w:style w:customStyle="true" w:styleId="B0CD4C336F954CDDB99272B08CB277BE" w:type="paragraph">
    <w:name w:val="B0CD4C336F954CDDB99272B08CB277BE"/>
  </w:style>
  <w:style w:customStyle="true" w:styleId="B10D299FF6B04F2980CA59984DD52830" w:type="paragraph">
    <w:name w:val="B10D299FF6B04F2980CA59984DD52830"/>
  </w:style>
  <w:style w:customStyle="true" w:styleId="070491135C7343F8B899B1E5528B5496" w:type="paragraph">
    <w:name w:val="070491135C7343F8B899B1E5528B5496"/>
  </w:style>
  <w:style w:customStyle="true" w:styleId="A2D3AB132FE44C9A804CB0BCE27CB1E8" w:type="paragraph">
    <w:name w:val="A2D3AB132FE44C9A804CB0BCE27CB1E8"/>
  </w:style>
  <w:style w:customStyle="true" w:styleId="67A439E68AF14DC6B7801868564B8225" w:type="paragraph">
    <w:name w:val="67A439E68AF14DC6B7801868564B8225"/>
  </w:style>
  <w:style w:customStyle="true" w:styleId="3893AC13EACA41EDB7C01A448C02A806" w:type="paragraph">
    <w:name w:val="3893AC13EACA41EDB7C01A448C02A806"/>
  </w:style>
  <w:style w:customStyle="true" w:styleId="E9711A8715A34F56AC129391156FDBFB" w:type="paragraph">
    <w:name w:val="E9711A8715A34F56AC129391156FDBFB"/>
  </w:style>
  <w:style w:customStyle="true" w:styleId="74CF45AFD5914477BC863F90DDE40AD1" w:type="paragraph">
    <w:name w:val="74CF45AFD5914477BC863F90DDE40AD1"/>
  </w:style>
  <w:style w:customStyle="true" w:styleId="AD1EE1A2E499453BA7117B7D7B2A6EDB" w:type="paragraph">
    <w:name w:val="AD1EE1A2E499453BA7117B7D7B2A6EDB"/>
  </w:style>
  <w:style w:customStyle="true" w:styleId="BB78A3202184471A856E1C1148D0FE39" w:type="paragraph">
    <w:name w:val="BB78A3202184471A856E1C1148D0FE39"/>
  </w:style>
  <w:style w:customStyle="true" w:styleId="BA562036727348ADAF95C3E6F1785AAD" w:type="paragraph">
    <w:name w:val="BA562036727348ADAF95C3E6F1785AAD"/>
  </w:style>
  <w:style w:customStyle="true" w:styleId="7327DC5479084347B4A62AC2797ECBDD" w:type="paragraph">
    <w:name w:val="7327DC5479084347B4A62AC2797ECBDD"/>
  </w:style>
  <w:style w:customStyle="true" w:styleId="BE633DF1719A4F7F9FC93FF7AC0B8AB8" w:type="paragraph">
    <w:name w:val="BE633DF1719A4F7F9FC93FF7AC0B8AB8"/>
    <w:rsid w:val="00C4409E"/>
  </w:style>
  <w:style w:customStyle="true" w:styleId="28EBA36691C148D6A5A2E6A907A2C366" w:type="paragraph">
    <w:name w:val="28EBA36691C148D6A5A2E6A907A2C366"/>
    <w:rsid w:val="00C4409E"/>
  </w:style>
  <w:style w:customStyle="true" w:styleId="0A3BF5C17DE948178EF6D64909A97797" w:type="paragraph">
    <w:name w:val="0A3BF5C17DE948178EF6D64909A97797"/>
    <w:rsid w:val="00C4409E"/>
  </w:style>
  <w:style w:customStyle="true" w:styleId="A5EDB863C2F640369A45094957B356D9" w:type="paragraph">
    <w:name w:val="A5EDB863C2F640369A45094957B356D9"/>
    <w:rsid w:val="00C4409E"/>
  </w:style>
  <w:style w:customStyle="true" w:styleId="797F028671094211A6375963200B3D17" w:type="paragraph">
    <w:name w:val="797F028671094211A6375963200B3D17"/>
    <w:rsid w:val="00C4409E"/>
  </w:style>
  <w:style w:customStyle="true" w:styleId="01AED7AAFE7A4DD7B63BD3291BC8DE21" w:type="paragraph">
    <w:name w:val="01AED7AAFE7A4DD7B63BD3291BC8DE21"/>
    <w:rsid w:val="00C4409E"/>
  </w:style>
  <w:style w:customStyle="true" w:styleId="8E889B82CA684C09A4EBEE999BCF3BD4" w:type="paragraph">
    <w:name w:val="8E889B82CA684C09A4EBEE999BCF3BD4"/>
    <w:rsid w:val="00C4409E"/>
  </w:style>
  <w:style w:customStyle="true" w:styleId="B10D299FF6B04F2980CA59984DD528301" w:type="paragraph">
    <w:name w:val="B10D299FF6B04F2980CA59984DD528301"/>
    <w:rsid w:val="00201BA8"/>
    <w:pPr>
      <w:spacing w:lineRule="auto" w:line="240" w:after="0"/>
    </w:pPr>
    <w:rPr>
      <w:rFonts w:eastAsiaTheme="minorHAnsi" w:hAnsi="Times New Roman" w:ascii="Times New Roman"/>
      <w:b/>
      <w:noProof/>
      <w:sz w:val="24"/>
      <w:szCs w:val="24"/>
      <w:lang w:eastAsia="en-US"/>
    </w:rPr>
  </w:style>
  <w:style w:customStyle="true" w:styleId="A5EDB863C2F640369A45094957B356D91" w:type="paragraph">
    <w:name w:val="A5EDB863C2F640369A45094957B356D91"/>
    <w:rsid w:val="00201BA8"/>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797F028671094211A6375963200B3D171" w:type="paragraph">
    <w:name w:val="797F028671094211A6375963200B3D171"/>
    <w:rsid w:val="00201BA8"/>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01AED7AAFE7A4DD7B63BD3291BC8DE211" w:type="paragraph">
    <w:name w:val="01AED7AAFE7A4DD7B63BD3291BC8DE211"/>
    <w:rsid w:val="00201BA8"/>
    <w:pPr>
      <w:spacing w:lineRule="auto" w:line="240" w:after="0"/>
      <w:jc w:val="right"/>
    </w:pPr>
    <w:rPr>
      <w:rFonts w:eastAsia="Times New Roman" w:hAnsi="Times New Roman" w:ascii="Times New Roman"/>
      <w:sz w:val="24"/>
      <w:szCs w:val="24"/>
    </w:rPr>
  </w:style>
  <w:style w:customStyle="true" w:styleId="8E889B82CA684C09A4EBEE999BCF3BD41" w:type="paragraph">
    <w:name w:val="8E889B82CA684C09A4EBEE999BCF3BD41"/>
    <w:rsid w:val="00201BA8"/>
    <w:pPr>
      <w:spacing w:lineRule="auto" w:line="240" w:after="0"/>
      <w:jc w:val="right"/>
    </w:pPr>
    <w:rPr>
      <w:rFonts w:eastAsia="Times New Roman" w:hAnsi="Times New Roman" w:ascii="Times New Roman"/>
      <w:sz w:val="24"/>
      <w:szCs w:val="24"/>
    </w:rPr>
  </w:style>
  <w:style w:customStyle="true" w:styleId="7F40C0097BA249BC9A5FE9CB01777649" w:type="paragraph">
    <w:name w:val="7F40C0097BA249BC9A5FE9CB01777649"/>
    <w:rsid w:val="00201BA8"/>
    <w:pPr>
      <w:spacing w:lineRule="auto" w:line="240" w:after="0"/>
      <w:jc w:val="right"/>
    </w:pPr>
    <w:rPr>
      <w:rFonts w:eastAsia="Times New Roman" w:hAnsi="Times New Roman" w:ascii="Times New Roman"/>
      <w:sz w:val="24"/>
      <w:szCs w:val="24"/>
    </w:rPr>
  </w:style>
  <w:style w:customStyle="true" w:styleId="55D09C916B014103813FC3AEB1980F99" w:type="paragraph">
    <w:name w:val="55D09C916B014103813FC3AEB1980F99"/>
    <w:rsid w:val="00201BA8"/>
    <w:pPr>
      <w:spacing w:lineRule="auto" w:line="240" w:after="0"/>
      <w:jc w:val="right"/>
    </w:pPr>
    <w:rPr>
      <w:rFonts w:eastAsia="Times New Roman" w:hAnsi="Times New Roman" w:ascii="Times New Roman"/>
      <w:sz w:val="24"/>
      <w:szCs w:val="24"/>
    </w:rPr>
  </w:style>
  <w:style w:customStyle="true" w:styleId="B10D299FF6B04F2980CA59984DD528302" w:type="paragraph">
    <w:name w:val="B10D299FF6B04F2980CA59984DD528302"/>
    <w:rsid w:val="000714FB"/>
    <w:pPr>
      <w:spacing w:lineRule="auto" w:line="240" w:after="0"/>
    </w:pPr>
    <w:rPr>
      <w:rFonts w:eastAsiaTheme="minorHAnsi" w:hAnsi="Times New Roman" w:ascii="Times New Roman"/>
      <w:b/>
      <w:noProof/>
      <w:sz w:val="24"/>
      <w:szCs w:val="24"/>
      <w:lang w:eastAsia="en-US"/>
    </w:rPr>
  </w:style>
  <w:style w:customStyle="true" w:styleId="A5EDB863C2F640369A45094957B356D92" w:type="paragraph">
    <w:name w:val="A5EDB863C2F640369A45094957B356D92"/>
    <w:rsid w:val="000714FB"/>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797F028671094211A6375963200B3D172" w:type="paragraph">
    <w:name w:val="797F028671094211A6375963200B3D172"/>
    <w:rsid w:val="000714FB"/>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01AED7AAFE7A4DD7B63BD3291BC8DE212" w:type="paragraph">
    <w:name w:val="01AED7AAFE7A4DD7B63BD3291BC8DE212"/>
    <w:rsid w:val="000714FB"/>
    <w:pPr>
      <w:spacing w:lineRule="auto" w:line="240" w:after="0"/>
      <w:jc w:val="right"/>
    </w:pPr>
    <w:rPr>
      <w:rFonts w:eastAsia="Times New Roman" w:hAnsi="Times New Roman" w:ascii="Times New Roman"/>
      <w:sz w:val="24"/>
      <w:szCs w:val="24"/>
    </w:rPr>
  </w:style>
  <w:style w:customStyle="true" w:styleId="8E889B82CA684C09A4EBEE999BCF3BD42" w:type="paragraph">
    <w:name w:val="8E889B82CA684C09A4EBEE999BCF3BD42"/>
    <w:rsid w:val="000714FB"/>
    <w:pPr>
      <w:spacing w:lineRule="auto" w:line="240" w:after="0"/>
      <w:jc w:val="right"/>
    </w:pPr>
    <w:rPr>
      <w:rFonts w:eastAsia="Times New Roman" w:hAnsi="Times New Roman" w:ascii="Times New Roman"/>
      <w:sz w:val="24"/>
      <w:szCs w:val="24"/>
    </w:rPr>
  </w:style>
  <w:style w:customStyle="true" w:styleId="50E210BC598946C59CC45DC66EE147E1" w:type="paragraph">
    <w:name w:val="50E210BC598946C59CC45DC66EE147E1"/>
    <w:rsid w:val="000714FB"/>
    <w:pPr>
      <w:spacing w:lineRule="auto" w:line="240" w:after="0"/>
      <w:jc w:val="right"/>
    </w:pPr>
    <w:rPr>
      <w:rFonts w:eastAsia="Times New Roman" w:hAnsi="Times New Roman" w:ascii="Times New Roman"/>
      <w:sz w:val="24"/>
      <w:szCs w:val="24"/>
    </w:rPr>
  </w:style>
  <w:style w:customStyle="true" w:styleId="E100744690C94E8496AF6717CFF0F122" w:type="paragraph">
    <w:name w:val="E100744690C94E8496AF6717CFF0F122"/>
    <w:rsid w:val="000714FB"/>
    <w:pPr>
      <w:spacing w:lineRule="auto" w:line="240" w:after="0"/>
      <w:jc w:val="right"/>
    </w:pPr>
    <w:rPr>
      <w:rFonts w:eastAsia="Times New Roman" w:hAnsi="Times New Roman" w:ascii="Times New Roman"/>
      <w:sz w:val="24"/>
      <w:szCs w:val="24"/>
    </w:rPr>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0714FB"/>
    <w:rPr>
      <w:noProof/>
      <w:color w:val="808080"/>
      <w:bdr w:color="auto" w:space="0" w:sz="0" w:val="none"/>
      <w:shd w:color="auto" w:fill="CCFFFF" w:val="clear"/>
      <w:lang w:val="hr-HR"/>
    </w:rPr>
  </w:style>
  <w:style w:customStyle="1" w:styleId="B0CD4C336F954CDDB99272B08CB277BE" w:type="paragraph">
    <w:name w:val="B0CD4C336F954CDDB99272B08CB277BE"/>
  </w:style>
  <w:style w:customStyle="1" w:styleId="B10D299FF6B04F2980CA59984DD52830" w:type="paragraph">
    <w:name w:val="B10D299FF6B04F2980CA59984DD52830"/>
  </w:style>
  <w:style w:customStyle="1" w:styleId="070491135C7343F8B899B1E5528B5496" w:type="paragraph">
    <w:name w:val="070491135C7343F8B899B1E5528B5496"/>
  </w:style>
  <w:style w:customStyle="1" w:styleId="A2D3AB132FE44C9A804CB0BCE27CB1E8" w:type="paragraph">
    <w:name w:val="A2D3AB132FE44C9A804CB0BCE27CB1E8"/>
  </w:style>
  <w:style w:customStyle="1" w:styleId="67A439E68AF14DC6B7801868564B8225" w:type="paragraph">
    <w:name w:val="67A439E68AF14DC6B7801868564B8225"/>
  </w:style>
  <w:style w:customStyle="1" w:styleId="3893AC13EACA41EDB7C01A448C02A806" w:type="paragraph">
    <w:name w:val="3893AC13EACA41EDB7C01A448C02A806"/>
  </w:style>
  <w:style w:customStyle="1" w:styleId="E9711A8715A34F56AC129391156FDBFB" w:type="paragraph">
    <w:name w:val="E9711A8715A34F56AC129391156FDBFB"/>
  </w:style>
  <w:style w:customStyle="1" w:styleId="74CF45AFD5914477BC863F90DDE40AD1" w:type="paragraph">
    <w:name w:val="74CF45AFD5914477BC863F90DDE40AD1"/>
  </w:style>
  <w:style w:customStyle="1" w:styleId="AD1EE1A2E499453BA7117B7D7B2A6EDB" w:type="paragraph">
    <w:name w:val="AD1EE1A2E499453BA7117B7D7B2A6EDB"/>
  </w:style>
  <w:style w:customStyle="1" w:styleId="BB78A3202184471A856E1C1148D0FE39" w:type="paragraph">
    <w:name w:val="BB78A3202184471A856E1C1148D0FE39"/>
  </w:style>
  <w:style w:customStyle="1" w:styleId="BA562036727348ADAF95C3E6F1785AAD" w:type="paragraph">
    <w:name w:val="BA562036727348ADAF95C3E6F1785AAD"/>
  </w:style>
  <w:style w:customStyle="1" w:styleId="7327DC5479084347B4A62AC2797ECBDD" w:type="paragraph">
    <w:name w:val="7327DC5479084347B4A62AC2797ECBDD"/>
  </w:style>
  <w:style w:customStyle="1" w:styleId="BE633DF1719A4F7F9FC93FF7AC0B8AB8" w:type="paragraph">
    <w:name w:val="BE633DF1719A4F7F9FC93FF7AC0B8AB8"/>
    <w:rsid w:val="00C4409E"/>
  </w:style>
  <w:style w:customStyle="1" w:styleId="28EBA36691C148D6A5A2E6A907A2C366" w:type="paragraph">
    <w:name w:val="28EBA36691C148D6A5A2E6A907A2C366"/>
    <w:rsid w:val="00C4409E"/>
  </w:style>
  <w:style w:customStyle="1" w:styleId="0A3BF5C17DE948178EF6D64909A97797" w:type="paragraph">
    <w:name w:val="0A3BF5C17DE948178EF6D64909A97797"/>
    <w:rsid w:val="00C4409E"/>
  </w:style>
  <w:style w:customStyle="1" w:styleId="A5EDB863C2F640369A45094957B356D9" w:type="paragraph">
    <w:name w:val="A5EDB863C2F640369A45094957B356D9"/>
    <w:rsid w:val="00C4409E"/>
  </w:style>
  <w:style w:customStyle="1" w:styleId="797F028671094211A6375963200B3D17" w:type="paragraph">
    <w:name w:val="797F028671094211A6375963200B3D17"/>
    <w:rsid w:val="00C4409E"/>
  </w:style>
  <w:style w:customStyle="1" w:styleId="01AED7AAFE7A4DD7B63BD3291BC8DE21" w:type="paragraph">
    <w:name w:val="01AED7AAFE7A4DD7B63BD3291BC8DE21"/>
    <w:rsid w:val="00C4409E"/>
  </w:style>
  <w:style w:customStyle="1" w:styleId="8E889B82CA684C09A4EBEE999BCF3BD4" w:type="paragraph">
    <w:name w:val="8E889B82CA684C09A4EBEE999BCF3BD4"/>
    <w:rsid w:val="00C4409E"/>
  </w:style>
  <w:style w:customStyle="1" w:styleId="B10D299FF6B04F2980CA59984DD528301" w:type="paragraph">
    <w:name w:val="B10D299FF6B04F2980CA59984DD528301"/>
    <w:rsid w:val="00201BA8"/>
    <w:pPr>
      <w:spacing w:after="0" w:line="240" w:lineRule="auto"/>
    </w:pPr>
    <w:rPr>
      <w:rFonts w:ascii="Times New Roman" w:eastAsiaTheme="minorHAnsi" w:hAnsi="Times New Roman"/>
      <w:b/>
      <w:noProof/>
      <w:sz w:val="24"/>
      <w:szCs w:val="24"/>
      <w:lang w:eastAsia="en-US"/>
    </w:rPr>
  </w:style>
  <w:style w:customStyle="1" w:styleId="A5EDB863C2F640369A45094957B356D91" w:type="paragraph">
    <w:name w:val="A5EDB863C2F640369A45094957B356D9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1" w:type="paragraph">
    <w:name w:val="797F028671094211A6375963200B3D17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1" w:type="paragraph">
    <w:name w:val="01AED7AAFE7A4DD7B63BD3291BC8DE211"/>
    <w:rsid w:val="00201BA8"/>
    <w:pPr>
      <w:spacing w:after="0" w:line="240" w:lineRule="auto"/>
      <w:jc w:val="right"/>
    </w:pPr>
    <w:rPr>
      <w:rFonts w:ascii="Times New Roman" w:eastAsia="Times New Roman" w:hAnsi="Times New Roman"/>
      <w:sz w:val="24"/>
      <w:szCs w:val="24"/>
    </w:rPr>
  </w:style>
  <w:style w:customStyle="1" w:styleId="8E889B82CA684C09A4EBEE999BCF3BD41" w:type="paragraph">
    <w:name w:val="8E889B82CA684C09A4EBEE999BCF3BD41"/>
    <w:rsid w:val="00201BA8"/>
    <w:pPr>
      <w:spacing w:after="0" w:line="240" w:lineRule="auto"/>
      <w:jc w:val="right"/>
    </w:pPr>
    <w:rPr>
      <w:rFonts w:ascii="Times New Roman" w:eastAsia="Times New Roman" w:hAnsi="Times New Roman"/>
      <w:sz w:val="24"/>
      <w:szCs w:val="24"/>
    </w:rPr>
  </w:style>
  <w:style w:customStyle="1" w:styleId="7F40C0097BA249BC9A5FE9CB01777649" w:type="paragraph">
    <w:name w:val="7F40C0097BA249BC9A5FE9CB01777649"/>
    <w:rsid w:val="00201BA8"/>
    <w:pPr>
      <w:spacing w:after="0" w:line="240" w:lineRule="auto"/>
      <w:jc w:val="right"/>
    </w:pPr>
    <w:rPr>
      <w:rFonts w:ascii="Times New Roman" w:eastAsia="Times New Roman" w:hAnsi="Times New Roman"/>
      <w:sz w:val="24"/>
      <w:szCs w:val="24"/>
    </w:rPr>
  </w:style>
  <w:style w:customStyle="1" w:styleId="55D09C916B014103813FC3AEB1980F99" w:type="paragraph">
    <w:name w:val="55D09C916B014103813FC3AEB1980F99"/>
    <w:rsid w:val="00201BA8"/>
    <w:pPr>
      <w:spacing w:after="0" w:line="240" w:lineRule="auto"/>
      <w:jc w:val="right"/>
    </w:pPr>
    <w:rPr>
      <w:rFonts w:ascii="Times New Roman" w:eastAsia="Times New Roman" w:hAnsi="Times New Roman"/>
      <w:sz w:val="24"/>
      <w:szCs w:val="24"/>
    </w:rPr>
  </w:style>
  <w:style w:customStyle="1" w:styleId="B10D299FF6B04F2980CA59984DD528302" w:type="paragraph">
    <w:name w:val="B10D299FF6B04F2980CA59984DD528302"/>
    <w:rsid w:val="000714FB"/>
    <w:pPr>
      <w:spacing w:after="0" w:line="240" w:lineRule="auto"/>
    </w:pPr>
    <w:rPr>
      <w:rFonts w:ascii="Times New Roman" w:eastAsiaTheme="minorHAnsi" w:hAnsi="Times New Roman"/>
      <w:b/>
      <w:noProof/>
      <w:sz w:val="24"/>
      <w:szCs w:val="24"/>
      <w:lang w:eastAsia="en-US"/>
    </w:rPr>
  </w:style>
  <w:style w:customStyle="1" w:styleId="A5EDB863C2F640369A45094957B356D92" w:type="paragraph">
    <w:name w:val="A5EDB863C2F640369A45094957B356D9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2" w:type="paragraph">
    <w:name w:val="797F028671094211A6375963200B3D17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2" w:type="paragraph">
    <w:name w:val="01AED7AAFE7A4DD7B63BD3291BC8DE212"/>
    <w:rsid w:val="000714FB"/>
    <w:pPr>
      <w:spacing w:after="0" w:line="240" w:lineRule="auto"/>
      <w:jc w:val="right"/>
    </w:pPr>
    <w:rPr>
      <w:rFonts w:ascii="Times New Roman" w:eastAsia="Times New Roman" w:hAnsi="Times New Roman"/>
      <w:sz w:val="24"/>
      <w:szCs w:val="24"/>
    </w:rPr>
  </w:style>
  <w:style w:customStyle="1" w:styleId="8E889B82CA684C09A4EBEE999BCF3BD42" w:type="paragraph">
    <w:name w:val="8E889B82CA684C09A4EBEE999BCF3BD42"/>
    <w:rsid w:val="000714FB"/>
    <w:pPr>
      <w:spacing w:after="0" w:line="240" w:lineRule="auto"/>
      <w:jc w:val="right"/>
    </w:pPr>
    <w:rPr>
      <w:rFonts w:ascii="Times New Roman" w:eastAsia="Times New Roman" w:hAnsi="Times New Roman"/>
      <w:sz w:val="24"/>
      <w:szCs w:val="24"/>
    </w:rPr>
  </w:style>
  <w:style w:customStyle="1" w:styleId="50E210BC598946C59CC45DC66EE147E1" w:type="paragraph">
    <w:name w:val="50E210BC598946C59CC45DC66EE147E1"/>
    <w:rsid w:val="000714FB"/>
    <w:pPr>
      <w:spacing w:after="0" w:line="240" w:lineRule="auto"/>
      <w:jc w:val="right"/>
    </w:pPr>
    <w:rPr>
      <w:rFonts w:ascii="Times New Roman" w:eastAsia="Times New Roman" w:hAnsi="Times New Roman"/>
      <w:sz w:val="24"/>
      <w:szCs w:val="24"/>
    </w:rPr>
  </w:style>
  <w:style w:customStyle="1" w:styleId="E100744690C94E8496AF6717CFF0F122" w:type="paragraph">
    <w:name w:val="E100744690C94E8496AF6717CFF0F122"/>
    <w:rsid w:val="000714FB"/>
    <w:pPr>
      <w:spacing w:after="0" w:line="240" w:lineRule="auto"/>
      <w:jc w:val="right"/>
    </w:pPr>
    <w:rPr>
      <w:rFonts w:ascii="Times New Roman" w:eastAsia="Times New Roman" w:hAnsi="Times New Roman"/>
      <w:sz w:val="24"/>
      <w:szCs w:val="24"/>
    </w:rPr>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UI/customUI.xml><?xml version="1.0" encoding="utf-8"?>
<!--RibbonX Visual Designer 2.22 for Microsoft Word CustomUI . XML Code produced on 2013-08-08-->
<customUI xmlns="http://schemas.microsoft.com/office/2006/01/customui" onLoad="RibbonOnload">
  <ribbon>
    <tabs>
      <tab id="eSpisDev" keytip="j" label="eSpis" visible="true">
        <group id="eSPISgroup00" label="Upravljanje" visible="true">
          <!--Kratke upute za uporabu MS Worda pri obradi eSPIS dokumenata-->
          <button description="Kratke upute za uporabu MS Worda pri obradi eSPIS dokumenata" enabled="true" id="Button11" imageMso="SlideMasterClipArtPlaceholderInsert" label="Upute" onAction="UputePrikaz" screentip="Kratke upute za uporabu MS Worda pri obradi eSPIS dokumenata" showImage="true" showLabel="true" supertip="Kratke upute za uporabu MS Worda pri obradi eSPIS dokumenata" visible="true"/>
          <!--
						Prekid obrade bez pohrane dokumenta (Cancel) i prijenos
						kontrole na eSPIS client program
					-->
          <button description="Prekid obrade bez pohrane dokumenta (Cancel) i prijenos kontrole na eSPIS client program" enabled="true" id="eSPIScb0_Cancel" imageMso="FilePermissionRestrictMenu" label="Prekid" onAction="Run_Cancel" screentip="Prekid obrade bez pohrane dokumenta (Cancel) i prijenos kontrole na eSPIS client program" showImage="true" showLabel="true" supertip="Prekid obrade bez pohrane dokumenta (Cancel) i prijenos kontrole na eSPIS client program" visible="true"/>
          <!--Kraj obrade i prijenos kontrole na eSPIS client program-->
          <button description="Kraj obrade i prijenos kontrole na eSPIS client program" getEnabled="getEnabled_ReadOnly" id="eSPIScb0_Kraj" imageMso="SaveSelectionToHeaderGallery" label="Kraj obrade" onAction="Run_Kraj" screentip="Kraj obrade i prijenos kontrole na eSPIS client program" showImage="true" showLabel="true" supertip="Kraj obrade i prijenos kontrole na eSPIS client program" visible="true"/>
          <!--Informacije o aktivnom dokumentu-->
          <button description="Informacije o aktivnom dokumentu" enabled="true" id="Button31" imageMso="SourceControlProperties" label="Info. o dokumentu" onAction="Get_DocumentInfo" screentip="Informacije o aktivnom dokumentu" showImage="true" showLabel="true" visible="true"/>
          <!--Pohrani aktivni dokument-->
          <button description="Pohrani aktivni dokument" enabled="true" id="Button37" imageMso="FileSave" label="Save" onAction="Run_FileSave" screentip="Pohrani aktivni dokument" showImage="true" showLabel="true" visible="true"/>
          <!--Pohrani aktivni dokument s odabranim nazivom i lokacijom-->
          <button description="Pohrani aktivni dokument s odabranim nazivom i lokacijom" enabled="true" id="Button38" imageMso="FileSaveAs" label="Save As" onAction="Run_FileSaveAS" screentip="Pohrani aktivni dokument s odabranim nazivom i lokacijom" showImage="true" showLabel="true" visible="true"/>
        </group>
        <group id="eSPISgroup01" label="Postavke obrade" visible="true">
          <!--
						Dozvoljen je unos i promjena samo teksta u Content Control
						formama
					-->
          <checkBox description="Dozvoljen je unos i promjena samo teksta u Content Control formama" getEnabled="getEnabled_ReadOnly" getPressed="getPressed" id="Checkbox1" label="Zaštita teksta" onAction="Checkbox1_onAction" screentip="Dozvoljen je unos i promjena samo teksta u Content Control formama" visible="true"/>
          <!--
						Prikaz slike grba Republike Hrvatske se može isključiti
						ili       uključiti
					-->
          <checkBox description="Prikaz slike grba Republike Hrvatske se može isključiti ili uključiti" enabled="true" getPressed="getPressed" id="Checkbox2" label="Prikaz grba RH" onAction="Checkbox2_onAction" screentip="Prikaz slike grba Republike Hrvatske se može isključiti ili uključiti" visible="true"/>
          <!--
						Označavanje Content Control polja bojom - može se
						isključiti ili uključiti
					-->
          <checkBox description="Označavanje Content Control polja bojom - može se isključiti ili uključiti" enabled="true" getPressed="getPressed" id="Checkbox3" label="Oznaka CC polja bojom" onAction="OznaciBojom_onAction" screentip="Označavanje Content Control polja bojom - može se isključiti ili uključiti" visible="true"/>
          <!--Sakrij selektirano-->
          <button description="Sakrij selektirano" getEnabled="getEnabled_ReadOnly" id="ButtonSS1" imageMso="ClearAllFormatting" label="Sakrij selektirano" onAction="Run_TekstOn" screentip="Sakrij selektirani tekst" showImage="true" showLabel="true" supertip="Sakrij selektirani tekst" visible="true"/>
          <!--Font color = black-->
          <button description="Prikaži skriveni tekst" getEnabled="getEnabled_ReadOnly" id="ButtonSS2" imageMso="GroupControlFormattingWeb" label="Prikaži skriveni tekst" onAction="Run_TekstOff" screentip="Prikaži skriveni tekst" showImage="true" showLabel="true" supertip="Prikaži skriveni tekst" visible="true"/>
        </group>
        <group id="eSPISgroup02" label="eSPIS funkcije" visible="true">
          <!--Aktiviraj kalendarski kalkulator-->
          <button description="Aktiviraj kalendarski kalkulator" getEnabled="getEnabled_ReadOnly" id="Button19" imageMso="ViewAppointmentInCalendar" label="Odredi datum" onAction="StartKalendarKalkulator" screentip="Aktiviraj kalendarski kalkulator" showImage="true" showLabel="true" supertip="Aktiviraj kalendarski kalkulator" visible="true"/>
          <!--Preuzmi tekst iz lokalnog repozitorija-->
          <button description="Preuzmi tekst iz lokalnog repozitorija" getEnabled="getEnabled_ReadOnly" id="Button27" imageMso="MasterDocumentInsertSubdocument" label="Preuzmi lokalni tekst" onAction="Run_PreuzmiLokalniTekst" screentip="Preuzmi tekst iz lokalnog repozitorija" showImage="true" showLabel="true" supertip="Preuzmi tekst iz lokalnog repozitorija" visible="true"/>
          <!--Pohrani odabrani tekst u lokalni repozitorij-->
          <button description="Pohrani odabrani tekst u lokalni repozitorij" getEnabled="getEnabled_ReadOnly" id="Button28" imageMso="ServerRestoreSqlDatabase" label="Pohrani lokalni tekst" onAction="Run_PohraniOdabraniTekst" screentip="Pohrani odabrani tekst u lokalni repozitorij" showImage="true" showLabel="true" visible="true"/>
          <gallery enabled="true" idMso="CustomGallery1" label="eSPIS Repozitorij" size="large"/>
        </group>
        <group id="eSPISgroup03" label="Pravopis" visible="true">
          <buttonGroup id="eSPIS3bg1" visible="true">
            <!--Za odabrani tekst postavi hrvatski jezik-->
            <button description="Za odabrani tekst postavi hrvatski jezik" getEnabled="getEnabled_ReadOnly" id="Button13" imageMso="AppointmentColor1" label="Hrvatski  " onAction="SelectionHrvatskiOn" screentip="Za odabrani tekst postavi hrvatski jezik" showImage="true" showLabel="true" supertip="Za odabrani tekst postavi hrvatski jezik" visible="true"/>
            <!--Za odabrani tekst se ne provjerava pravopis-->
            <button description="Za odabrani tekst se ne provjerava pravopis" getEnabled="getEnabled_ReadOnly" id="Button15" imageMso="PrintPreviewClose" label="Ne provjerava se" onAction="SelectionNoChecking" screentip="Za odabrani tekst se ne provjerava pravopis" showImage="true" showLabel="true" supertip="Za odabrani tekst se ne provjerava pravopis" visible="true"/>
          </buttonGroup>
          <buttonGroup id="eSPIS3bg2" visible="true">
            <!--Za odabrani tekst postavi engleski jezik-->
            <button description="Za odabrani tekst postavi engleski jezik" getEnabled="getEnabled_ReadOnly" id="Button14" imageMso="AppointmentColor2" label="Engleski " onAction="SelectionEngleskiOn" screentip="Za odabrani tekst postavi engleski jezik" showImage="true" showLabel="true" supertip="Za odabrani tekst postavi engleski jezik" visible="true"/>
            <!--Selektiraj cijeli tekst u dokumentu-->
            <button description="Selektiraj cijeli tekst u dokumentu" getEnabled="getEnabled_ReadOnly" id="Button16" imageMso="ViewPrintLayoutView" label="Selektiraj cijeli dokument" onAction="SellectAllDocument" screentip="Selektiraj cijeli tekst u dokumentu" showImage="true" showLabel="true" supertip="Selektiraj cijeli tekst u dokumentu" visible="true"/>
          </buttonGroup>
          <!--Provjera pravopisa za cijeli dokument-->
          <button description="Provjera pravopisa za cijeli dokument" getEnabled="getEnabled_ReadOnly" id="Button17" imageMso="FileStartWorkflow" label="Provjera pravopisa za cijeli dokument" onAction="Run_SpellCheck" screentip="Provjera pravopisa za cijeli dokument" showImage="true" showLabel="true" supertip="Provjera pravopisa za cijeli dokument" visible="true"/>
        </group>
        <group id="Dev" label="Rad s Content Control formama" visible="true">
          <!--Ažuriranje podataka za odabranu CC formu.-->
          <button description="Ažuriranje podataka za odabranu CC formu." getEnabled="getEnabled_ReadOnly" id="AzurirajCC" imageMso="ServerProperties" label="Ažuriraj CC" onAction="Run_AzurirajCC" screentip="Ažuriranje podataka za odabranu CC formu." showImage="true" showLabel="true" size="large" supertip="Ažuriranje podataka za odabranu CC formu." visible="true"/>
          <!--
						Na odabrano mjesto u dokumentu dodaj CC formu i poveznicu na
						eSPIS varijablu.
					-->
          <button description="Na odabrano mjesto u dokumentu dodaj CC formu i poveznicu na eSPIS varijablu." getEnabled="getEnabled_ReadOnly" id="DodajCC" imageMso="SignatureLineInsert" label="Dodaj CC" onAction="Run_DodajCC" showImage="true" showLabel="true" size="large" supertip="Na odabrano mjesto u dokumentu dodaj CC formu i poveznicu na eSPIS varijablu." visible="true"/>
          <!--Popis Content Control formi u dokumentu-->
          <button description="Popis Content Control formi u dokumentu" enabled="true" id="Button23" imageMso="GroupSearchScope" label="Popis CC formi    " onAction="Run_TraziCC" screentip="Popis Content Control formi u dokumentu" showImage="true" showLabel="true" size="large" supertip="Popis Content Control formi u dokumentu" visible="true"/>
          <!--Popis eSPIS varijabli.-->
          <button description="Popis eSPIS varijabli." enabled="true" id="PopisVarijabli" imageMso="FileManageMenu" label="Popis varijabli" onAction="Run_PopisVarijabli" screentip="Popis eSPIS varijabli." showImage="true" showLabel="true" size="large" supertip="Popis eSPIS varijabli." visible="true"/>
          <!-- Briši CC formu -->
          <button description="Briši selektirano" enabled="true" id="BrisiSelektirano" imageMso="RecordsDeleteRecord" label="Briši selektirano" onAction="Run_BrisiSelektirano" screentip="Obriši cijelo selektirano područje" showImage="true" showLabel="true" size="large" supertip="Obriši cijelo selektirano područje" visible="true"/>
        </group>
      </tab>
    </tabs>
  </ribbon>
</customUI>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travnja 2019.</izvorni_sadrzaj>
    <derivirana_varijabla naziv="DomainObject.DatumDonosenjaOdluke_1">2.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Pž-1351/2019-2</izvorni_sadrzaj>
    <derivirana_varijabla naziv="DomainObject.Oznaka_1">Pž-1351/2019-2</derivirana_varijabla>
  </DomainObject.Oznaka>
  <DomainObject.DonositeljOdluke.Ime>
    <izvorni_sadrzaj>Radovan</izvorni_sadrzaj>
    <derivirana_varijabla naziv="DomainObject.DonositeljOdluke.Ime_1">Radovan</derivirana_varijabla>
  </DomainObject.DonositeljOdluke.Ime>
  <DomainObject.DonositeljOdluke.Prezime>
    <izvorni_sadrzaj>Raduka</izvorni_sadrzaj>
    <derivirana_varijabla naziv="DomainObject.DonositeljOdluke.Prezime_1">Raduka</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SudskaRadnja.UcesniciObavijest>
    <izvorni_sadrzaj/>
    <derivirana_varijabla naziv="DomainObject.UcesnikSudskeRadnje.SudskaRadnja.UcesniciObavijest_1"/>
  </DomainObject.UcesnikSudskeRadnje.SudskaRadnja.UcesniciObavijest>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1351</izvorni_sadrzaj>
    <derivirana_varijabla naziv="DomainObject.Predmet.Broj_1">1351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veljače 2019.</izvorni_sadrzaj>
    <derivirana_varijabla naziv="DomainObject.Predmet.DatumOsnivanja_1">26. veljače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 travnja 2019.</izvorni_sadrzaj>
    <derivirana_varijabla naziv="DomainObject.Predmet.DatumRjesavanja_1">3. travnja 2019.</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Pž-1351/2019</izvorni_sadrzaj>
    <derivirana_varijabla naziv="DomainObject.Predmet.OznakaBroj_1">Pž-1351/2019</derivirana_varijabla>
  </DomainObject.Predmet.OznakaBroj>
  <DomainObject.Predmet.OznakaBrojOptuznogAkta>
    <izvorni_sadrzaj/>
    <derivirana_varijabla naziv="DomainObject.Predmet.OznakaBrojOptuznogAkta_1"/>
  </DomainObject.Predmet.OznakaBrojOptuznogAkta>
  <DomainObject.Predmet.PredmetRijesio.Ime>
    <izvorni_sadrzaj>Radovan</izvorni_sadrzaj>
    <derivirana_varijabla naziv="DomainObject.Predmet.PredmetRijesio.Ime_1">Radovan</derivirana_varijabla>
  </DomainObject.Predmet.PredmetRijesio.Ime>
  <DomainObject.Predmet.PredmetRijesio.Oib>
    <izvorni_sadrzaj>66555051282</izvorni_sadrzaj>
    <derivirana_varijabla naziv="DomainObject.Predmet.PredmetRijesio.Oib_1">66555051282</derivirana_varijabla>
  </DomainObject.Predmet.PredmetRijesio.Oib>
  <DomainObject.Predmet.PredmetRijesio.Prezime>
    <izvorni_sadrzaj>Raduka</izvorni_sadrzaj>
    <derivirana_varijabla naziv="DomainObject.Predmet.PredmetRijesio.Prezime_1">Raduka</derivirana_varijabla>
  </DomainObject.Predmet.PredmetRijesio.Prezime>
  <DomainObject.Predmet.PrimjedbaSuca>
    <izvorni_sadrzaj>razrješ/imenov. st. upravitelja</izvorni_sadrzaj>
    <derivirana_varijabla naziv="DomainObject.Predmet.PrimjedbaSuca_1">razrješ/imenov. st. upravitelja</derivirana_varijabla>
  </DomainObject.Predmet.PrimjedbaSuca>
  <DomainObject.Predmet.PrimjedbaUpisnicara>
    <izvorni_sadrzaj/>
    <derivirana_varijabla naziv="DomainObject.Predmet.PrimjedbaUpisnicara_1"/>
  </DomainObject.Predmet.PrimjedbaUpisnicara>
  <DomainObject.Predmet.ProtustrankaFormated>
    <izvorni_sadrzaj>  KERUM društvo s ograničenom odgovornošću, za unutarnju i vanjsku trgovinu, promet i usluge u stečaju</izvorni_sadrzaj>
    <derivirana_varijabla naziv="DomainObject.Predmet.ProtustrankaFormated_1">  KERUM društvo s ograničenom odgovornošću, za unutarnju i vanjsku trgovinu, promet i usluge u stečaju</derivirana_varijabla>
  </DomainObject.Predmet.ProtustrankaFormated>
  <DomainObject.Predmet.ProtustrankaFormatedOIB>
    <izvorni_sadrzaj>  KERUM društvo s ograničenom odgovornošću, za unutarnju i vanjsku trgovinu, promet i usluge u stečaju, OIB 66124057408</izvorni_sadrzaj>
    <derivirana_varijabla naziv="DomainObject.Predmet.ProtustrankaFormatedOIB_1">  KERUM društvo s ograničenom odgovornošću, za unutarnju i vanjsku trgovinu, promet i usluge u stečaju, OIB 66124057408</derivirana_varijabla>
  </DomainObject.Predmet.ProtustrankaFormatedOIB>
  <DomainObject.Predmet.ProtustrankaFormatedWithAdress>
    <izvorni_sadrzaj> KERUM društvo s ograničenom odgovornošću, za unutarnju i vanjsku trgovinu, promet i usluge u stečaju, Zrinjsko Frankopanska 68, 21000 Split</izvorni_sadrzaj>
    <derivirana_varijabla naziv="DomainObject.Predmet.ProtustrankaFormatedWithAdress_1"> KERUM društvo s ograničenom odgovornošću, za unutarnju i vanjsku trgovinu, promet i usluge u stečaju, Zrinjsko Frankopanska 68, 21000 Split</derivirana_varijabla>
  </DomainObject.Predmet.ProtustrankaFormatedWithAdress>
  <DomainObject.Predmet.ProtustrankaFormatedWithAdressOIB>
    <izvorni_sadrzaj> KERUM društvo s ograničenom odgovornošću, za unutarnju i vanjsku trgovinu, promet i usluge u stečaju, OIB 66124057408, Zrinjsko Frankopanska 68, 21000 Split</izvorni_sadrzaj>
    <derivirana_varijabla naziv="DomainObject.Predmet.ProtustrankaFormatedWithAdressOIB_1"> KERUM društvo s ograničenom odgovornošću, za unutarnju i vanjsku trgovinu, promet i usluge u stečaju, OIB 66124057408, Zrinjsko Frankopanska 68, 21000 Split</derivirana_varijabla>
  </DomainObject.Predmet.ProtustrankaFormatedWithAdressOIB>
  <DomainObject.Predmet.ProtustrankaWithAdress>
    <izvorni_sadrzaj>KERUM društvo s ograničenom odgovornošću, za unutarnju i vanjsku trgovinu, promet i usluge u stečaju Zrinjsko Frankopanska 68, 21000 Split</izvorni_sadrzaj>
    <derivirana_varijabla naziv="DomainObject.Predmet.ProtustrankaWithAdress_1">KERUM društvo s ograničenom odgovornošću, za unutarnju i vanjsku trgovinu, promet i usluge u stečaju Zrinjsko Frankopanska 68, 21000 Split</derivirana_varijabla>
  </DomainObject.Predmet.ProtustrankaWithAdress>
  <DomainObject.Predmet.ProtustrankaWithAdressOIB>
    <izvorni_sadrzaj>KERUM društvo s ograničenom odgovornošću, za unutarnju i vanjsku trgovinu, promet i usluge u stečaju, OIB 66124057408, Zrinjsko Frankopanska 68, 21000 Split</izvorni_sadrzaj>
    <derivirana_varijabla naziv="DomainObject.Predmet.ProtustrankaWithAdressOIB_1">KERUM društvo s ograničenom odgovornošću, za unutarnju i vanjsku trgovinu, promet i usluge u stečaju, OIB 66124057408, Zrinjsko Frankopanska 68, 21000 Split</derivirana_varijabla>
  </DomainObject.Predmet.ProtustrankaWithAdressOIB>
  <DomainObject.Predmet.ProtustrankaNazivFormated>
    <izvorni_sadrzaj>KERUM društvo s ograničenom odgovornošću, za unutarnju i vanjsku trgovinu, promet i usluge u stečaju</izvorni_sadrzaj>
    <derivirana_varijabla naziv="DomainObject.Predmet.ProtustrankaNazivFormated_1">KERUM društvo s ograničenom odgovornošću, za unutarnju i vanjsku trgovinu, promet i usluge u stečaju</derivirana_varijabla>
    <derivirana_varijabla naziv="Padez">KERUM društvo s ograničenom odgovornošću, za unutarnju i vanjsku trgovinu, promet i usluge u stečaju</derivirana_varijabla>
  </DomainObject.Predmet.ProtustrankaNazivFormated>
  <DomainObject.Predmet.ProtustrankaNazivFormatedOIB>
    <izvorni_sadrzaj>KERUM društvo s ograničenom odgovornošću, za unutarnju i vanjsku trgovinu, promet i usluge u stečaju, OIB 66124057408</izvorni_sadrzaj>
    <derivirana_varijabla naziv="DomainObject.Predmet.ProtustrankaNazivFormatedOIB_1">KERUM društvo s ograničenom odgovornošću, za unutarnju i vanjsku trgovinu, promet i usluge u stečaju, OIB 66124057408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 54 - Raduka</izvorni_sadrzaj>
    <derivirana_varijabla naziv="DomainObject.Predmet.Referada.Naziv_1">Ref. 54 - Raduka</derivirana_varijabla>
  </DomainObject.Predmet.Referada.Naziv>
  <DomainObject.Predmet.Referada.Oznaka>
    <izvorni_sadrzaj>54</izvorni_sadrzaj>
    <derivirana_varijabla naziv="DomainObject.Predmet.Referada.Oznaka_1">54</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Visoki trgovački sud Republike Hrvatske</izvorni_sadrzaj>
    <derivirana_varijabla naziv="DomainObject.Predmet.Referada.Sud.Naziv_1">Visoki trgovački sud Republike Hrvatske</derivirana_varijabla>
  </DomainObject.Predmet.Referada.Sud.Naziv>
  <DomainObject.Predmet.Referada.Sudac>
    <izvorni_sadrzaj>Radovan Raduka</izvorni_sadrzaj>
    <derivirana_varijabla naziv="DomainObject.Predmet.Referada.Sudac_1">Radovan Raduka</derivirana_varijabla>
    <derivirana_varijabla naziv="Dativ">Radovan Raduka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erivirana_varijabla naziv="Padez"/>
  </DomainObject.Predmet.StrankaNazivFormated>
  <DomainObject.Predmet.StrankaNazivFormatedOIB>
    <izvorni_sadrzaj/>
    <derivirana_varijabla naziv="DomainObject.Predmet.StrankaNazivFormatedOIB_1"/>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Berislavićeva 11</izvorni_sadrzaj>
    <derivirana_varijabla naziv="DomainObject.Predmet.Sud.Adresa.UlicaIKBR_1">Berislavićeva 11</derivirana_varijabla>
  </DomainObject.Predmet.Sud.Adresa.UlicaIKBR>
  <DomainObject.Predmet.Sud.Naziv>
    <izvorni_sadrzaj>Visoki trgovački sud Republike Hrvatske</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Prijepisno-otpremna pisarnica</izvorni_sadrzaj>
    <derivirana_varijabla naziv="DomainObject.Predmet.TrenutnaLokacijaSpisa.Naziv_1">Prijepisno-otpremna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Prijamna pisarnica</izvorni_sadrzaj>
    <derivirana_varijabla naziv="DomainObject.Predmet.UstrojstvenaJedinicaVodi.Naziv_1">Prijamna pisarnica</derivirana_varijabla>
  </DomainObject.Predmet.UstrojstvenaJedinicaVodi.Naziv>
  <DomainObject.Predmet.UstrojstvenaJedinicaVodi.Oznaka>
    <izvorni_sadrzaj>Prijamna</izvorni_sadrzaj>
    <derivirana_varijabla naziv="DomainObject.Predmet.UstrojstvenaJedinicaVodi.Oznaka_1">Prijamna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Visoki trgovački sud Republike Hrvatske</izvorni_sadrzaj>
    <derivirana_varijabla naziv="DomainObject.Predmet.UstrojstvenaJedinicaVodi.Sud.Naziv_1">Visoki trgovački sud Republike Hrvatske</derivirana_varijabla>
  </DomainObject.Predmet.UstrojstvenaJedinicaVodi.Sud.Naziv>
  <DomainObject.Predmet.VrstaSpora.Naziv>
    <izvorni_sadrzaj>Imenovanje stečajnog upravitelja</izvorni_sadrzaj>
    <derivirana_varijabla naziv="DomainObject.Predmet.VrstaSpora.Naziv_1">Imenovanje stečajnog upravitelja</derivirana_varijabla>
  </DomainObject.Predmet.VrstaSpora.Naziv>
  <DomainObject.Predmet.Zapisnicar>
    <izvorni_sadrzaj>Ivanka Čmrlec</izvorni_sadrzaj>
    <derivirana_varijabla naziv="DomainObject.Predmet.Zapisnicar_1">Ivanka Čmrlec</derivirana_varijabla>
    <derivirana_varijabla naziv="Padez">Ivanka Čmrlec</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KERUM društvo s ograničenom odgovornošću, za unutarnju i vanjsku trgovinu, promet i usluge u stečaju</item>
    </izvorni_sadrzaj>
    <derivirana_varijabla naziv="DomainObject.Predmet.ProtuStrankaListFormated_1">
      <item>KERUM društvo s ograničenom odgovornošću, za unutarnju i vanjsku trgovinu, promet i usluge u stečaju</item>
    </derivirana_varijabla>
  </DomainObject.Predmet.ProtuStrankaListFormated>
  <DomainObject.Predmet.ProtuStrankaListFormatedOIB>
    <izvorni_sadrzaj>
      <item>KERUM društvo s ograničenom odgovornošću, za unutarnju i vanjsku trgovinu, promet i usluge u stečaju, OIB 66124057408</item>
    </izvorni_sadrzaj>
    <derivirana_varijabla naziv="DomainObject.Predmet.ProtuStrankaListFormatedOIB_1">
      <item>KERUM društvo s ograničenom odgovornošću, za unutarnju i vanjsku trgovinu, promet i usluge u stečaju, OIB 66124057408</item>
    </derivirana_varijabla>
  </DomainObject.Predmet.ProtuStrankaListFormatedOIB>
  <DomainObject.Predmet.ProtuStrankaListFormatedWithAdress>
    <izvorni_sadrzaj>
      <item>KERUM društvo s ograničenom odgovornošću, za unutarnju i vanjsku trgovinu, promet i usluge u stečaju, Zrinjsko Frankopanska 68, 21000 Split</item>
    </izvorni_sadrzaj>
    <derivirana_varijabla naziv="DomainObject.Predmet.ProtuStrankaListFormatedWithAdress_1">
      <item>KERUM društvo s ograničenom odgovornošću, za unutarnju i vanjsku trgovinu, promet i usluge u stečaju, Zrinjsko Frankopanska 68, 21000 Split</item>
    </derivirana_varijabla>
  </DomainObject.Predmet.ProtuStrankaListFormatedWithAdress>
  <DomainObject.Predmet.ProtuStrankaListFormatedWithAdressOIB>
    <izvorni_sadrzaj>
      <item>KERUM društvo s ograničenom odgovornošću, za unutarnju i vanjsku trgovinu, promet i usluge u stečaju, OIB 66124057408, Zrinjsko Frankopanska 68, 21000 Split</item>
    </izvorni_sadrzaj>
    <derivirana_varijabla naziv="DomainObject.Predmet.ProtuStrankaListFormatedWithAdressOIB_1">
      <item>KERUM društvo s ograničenom odgovornošću, za unutarnju i vanjsku trgovinu, promet i usluge u stečaju, OIB 66124057408, Zrinjsko Frankopanska 68, 21000 Split</item>
    </derivirana_varijabla>
  </DomainObject.Predmet.ProtuStrankaListFormatedWithAdressOIB>
  <DomainObject.Predmet.ProtuStrankaListNazivFormated>
    <izvorni_sadrzaj>
      <item>KERUM društvo s ograničenom odgovornošću, za unutarnju i vanjsku trgovinu, promet i usluge u stečaju</item>
    </izvorni_sadrzaj>
    <derivirana_varijabla naziv="DomainObject.Predmet.ProtuStrankaListNazivFormated_1">
      <item>KERUM društvo s ograničenom odgovornošću, za unutarnju i vanjsku trgovinu, promet i usluge u stečaju</item>
    </derivirana_varijabla>
  </DomainObject.Predmet.ProtuStrankaListNazivFormated>
  <DomainObject.Predmet.ProtuStrankaListNazivFormatedOIB>
    <izvorni_sadrzaj>
      <item>KERUM društvo s ograničenom odgovornošću, za unutarnju i vanjsku trgovinu, promet i usluge u stečaju, OIB 66124057408</item>
    </izvorni_sadrzaj>
    <derivirana_varijabla naziv="DomainObject.Predmet.ProtuStrankaListNazivFormatedOIB_1">
      <item>KERUM društvo s ograničenom odgovornošću, za unutarnju i vanjsku trgovinu, promet i usluge u stečaju, OIB 66124057408</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Datum>
    <izvorni_sadrzaj>3. travnja 2019.</izvorni_sadrzaj>
    <derivirana_varijabla naziv="DomainObject.Datum_1">3. travnja 2019.</derivirana_varijabla>
  </DomainObject.Datum>
  <DomainObject.PoslovniBrojDokumenta>
    <izvorni_sadrzaj>Pž-1351/2019-2</izvorni_sadrzaj>
    <derivirana_varijabla naziv="DomainObject.PoslovniBrojDokumenta_1">Pž-1351/2019-2</derivirana_varijabla>
  </DomainObject.PoslovniBrojDokumenta>
  <DomainObject.Predmet.StrankaIDrugi>
    <izvorni_sadrzaj/>
    <derivirana_varijabla naziv="DomainObject.Predmet.StrankaIDrugi_1"/>
  </DomainObject.Predmet.StrankaIDrugi>
  <DomainObject.Predmet.ProtustrankaIDrugi>
    <izvorni_sadrzaj>KERUM društvo s ograničenom odgovornošću, za unutarnju i vanjsku trgovinu, promet i usluge u stečaju</izvorni_sadrzaj>
    <derivirana_varijabla naziv="DomainObject.Predmet.ProtustrankaIDrugi_1">KERUM društvo s ograničenom odgovornošću, za unutarnju i vanjsku trgovinu, promet i usluge u stečaju</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KERUM društvo s ograničenom odgovornošću, za unutarnju i vanjsku trgovinu, promet i usluge u stečaju, OIB 66124057408, Zrinjsko Frankopanska 68, 21000 Split</izvorni_sadrzaj>
    <derivirana_varijabla naziv="DomainObject.Predmet.ProtustrankaIDrugiAdressOIB_1">KERUM društvo s ograničenom odgovornošću, za unutarnju i vanjsku trgovinu, promet i usluge u stečaju, OIB 66124057408, Zrinjsko Frankopanska 68,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 travnja 2019.</izvorni_sadrzaj>
    <derivirana_varijabla naziv="DomainObject.Predmet.OdlukaRjesenje.DatumDonosenjaOdluke_1">2. travnja 2019.</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Pž-1351/2019-2</izvorni_sadrzaj>
    <derivirana_varijabla naziv="DomainObject.Predmet.OdlukaRjesenje.Oznaka_1">Pž-1351/2019-2</derivirana_varijabla>
  </DomainObject.Predmet.OdlukaRjesenje.Oznaka>
  <DomainObject.Predmet.SudioniciListNaziv>
    <izvorni_sadrzaj>
      <item>KERUM društvo s ograničenom odgovornošću, za unutarnju i vanjsku trgovinu, promet i usluge u stečaju</item>
    </izvorni_sadrzaj>
    <derivirana_varijabla naziv="DomainObject.Predmet.SudioniciListNaziv_1">
      <item>KERUM društvo s ograničenom odgovornošću, za unutarnju i vanjsku trgovinu, promet i usluge u stečaju</item>
    </derivirana_varijabla>
    <derivirana_varijabla naziv="OstaliSudionici">
      <item>KERUM društvo s ograničenom odgovornošću, za unutarnju i vanjsku trgovinu, promet i usluge u stečaju</item>
    </derivirana_varijabla>
  </DomainObject.Predmet.SudioniciListNaziv>
  <DomainObject.Predmet.SudioniciListAdressOIB>
    <izvorni_sadrzaj>
      <item>KERUM društvo s ograničenom odgovornošću, za unutarnju i vanjsku trgovinu, promet i usluge u stečaju, OIB 66124057408, Zrinjsko Frankopanska 68,21000 Split</item>
    </izvorni_sadrzaj>
    <derivirana_varijabla naziv="DomainObject.Predmet.SudioniciListAdressOIB_1">
      <item>KERUM društvo s ograničenom odgovornošću, za unutarnju i vanjsku trgovinu, promet i usluge u stečaju, OIB 66124057408, Zrinjsko Frankopanska 68,21000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66124057408</item>
    </izvorni_sadrzaj>
    <derivirana_varijabla naziv="DomainObject.Predmet.SudioniciListNazivOIB_1">
      <item>, OIB 66124057408</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St-2/2013</izvorni_sadrzaj>
    <derivirana_varijabla naziv="DomainObject.Predmet.OznakaNizestupanjskogPredmeta_1">St-2/2013</derivirana_varijabla>
  </DomainObject.Predmet.OznakaNizestupanjskogPredmeta>
  <DomainObject.Predmet.NazivNizestupanjskogSuda>
    <izvorni_sadrzaj>Trgovački sud u Splitu</izvorni_sadrzaj>
    <derivirana_varijabla naziv="DomainObject.Predmet.NazivNizestupanjskogSuda_1">Trgovački sud u Splitu</derivirana_varijabla>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E6123ED-D8AA-4822-8D29-C82D9D61008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1963</properties:Words>
  <properties:Characters>11031</properties:Characters>
  <properties:Lines>203</properties:Lines>
  <properties:Paragraphs>35</properties:Paragraphs>
  <properties:TotalTime>170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Standardni eSPIS MasterTemplate predložak za MS Word</vt:lpstr>
      <vt:lpstr>Standardni eSPIS MasterTemplate predložak za MS Word</vt:lpstr>
    </vt:vector>
  </properties:TitlesOfParts>
  <properties:LinksUpToDate>false</properties:LinksUpToDate>
  <properties:CharactersWithSpaces>12995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2018-06-12T11:47:00Z</dcterms:created>
  <dc:creator>Ivan Bauk</dc:creator>
  <dc:description>Ovaj predložak služi kao osnova za kreiranje novih eSPIS predložaka te za upravljanje eSPIS funkcijama tijekom obrade sudskih dokumenata.</dc:description>
  <cp:lastModifiedBy>Katarina Mikulić</cp:lastModifiedBy>
  <cp:lastPrinted>2019-04-03T08:46:00Z</cp:lastPrinted>
  <dcterms:modified xmlns:xsi="http://www.w3.org/2001/XMLSchema-instance" xsi:type="dcterms:W3CDTF">2019-04-09T09:48:00Z</dcterms:modified>
  <cp:revision>25</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Novi podnesak (Pž-1351-19.docx)</vt:lpwstr>
  </prop:property>
  <prop:property name="Predlozak_id" pid="6" fmtid="{D5CDD505-2E9C-101B-9397-08002B2CF9AE}">
    <vt:lpwstr>1000000655</vt:lpwstr>
  </prop:property>
  <prop:property name="Predlozak_oznaka" pid="7" fmtid="{D5CDD505-2E9C-101B-9397-08002B2CF9AE}">
    <vt:lpwstr>VTSRH-memorandum2018</vt:lpwstr>
  </prop:property>
  <prop:property name="Predlozak_naziv" pid="8" fmtid="{D5CDD505-2E9C-101B-9397-08002B2CF9AE}">
    <vt:lpwstr>VTSRH - memorandum 2018 s grbom, dopis, presuda, rješenje s poslovnim brojem </vt:lpwstr>
  </prop:property>
</prop:Properties>
</file>