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89a3" w14:paraId="a6489a3" w:rsidRDefault="00AC04C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</w:pPr>
    </w:p>
    <w:p w:rsidRDefault="00AC04C3" w:rsidP="00AC04C3" w:rsidR="00AE649C">
      <w:pPr>
        <w:pStyle w:val="Bezproreda"/>
      </w:pPr>
      <w:r>
        <w:t xml:space="preserve">     Republika Hrvatska</w:t>
      </w:r>
    </w:p>
    <w:p w:rsidRDefault="00AC04C3" w:rsidP="00AC04C3" w:rsidR="00AC04C3">
      <w:pPr>
        <w:pStyle w:val="Bezproreda"/>
      </w:pPr>
      <w:r>
        <w:t>Trgovački sud u Bjelovaru</w:t>
      </w:r>
    </w:p>
    <w:p w:rsidRDefault="00AC04C3" w:rsidP="00AC04C3" w:rsidR="00AC04C3">
      <w:pPr>
        <w:pStyle w:val="Bezproreda"/>
      </w:pPr>
      <w:r>
        <w:t>Bjelovar, Dr. I. Lebovića 42.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 w:left="4248"/>
      </w:pPr>
      <w:r>
        <w:t>Poslovni broj:1 St-992/2016-158</w:t>
      </w:r>
    </w:p>
    <w:p w:rsidRDefault="00AC04C3" w:rsidP="00AC04C3" w:rsidR="00AC04C3">
      <w:pPr>
        <w:pStyle w:val="Bezproreda"/>
        <w:ind w:firstLine="708" w:left="4248"/>
      </w:pP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jc w:val="center"/>
      </w:pPr>
      <w:r>
        <w:t>U   I M E     R E P U B L I K E      H R V A T S K E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jc w:val="center"/>
      </w:pPr>
      <w:r>
        <w:t>R J E Š E N J E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/>
      </w:pPr>
      <w:r>
        <w:t xml:space="preserve">Trgovački sud u Bjelovaru, po  sucu Branki Pleskalt, u stečajnom predmetu nad dužnikom SPAJIĆ proizvodnja i usluge d.o.o. u stečaju, Čačinci, Braće Radića 34, OIB: 36321371245,  29. ožujka 2019. </w:t>
      </w:r>
    </w:p>
    <w:p w:rsidRDefault="00AC04C3" w:rsidP="00AC04C3" w:rsidR="00AC04C3">
      <w:pPr>
        <w:pStyle w:val="Bezproreda"/>
        <w:ind w:firstLine="708"/>
      </w:pPr>
    </w:p>
    <w:p w:rsidRDefault="00AC04C3" w:rsidP="00AC04C3" w:rsidR="00AC04C3">
      <w:pPr>
        <w:pStyle w:val="Bezproreda"/>
        <w:jc w:val="center"/>
      </w:pPr>
      <w:r>
        <w:t>r i j e š i o     j e</w:t>
      </w:r>
    </w:p>
    <w:p w:rsidRDefault="00AC04C3" w:rsidP="00AC04C3" w:rsidR="00AC04C3">
      <w:pPr>
        <w:pStyle w:val="Bezproreda"/>
        <w:jc w:val="center"/>
      </w:pPr>
    </w:p>
    <w:p w:rsidRDefault="00AC04C3" w:rsidP="00AC04C3" w:rsidR="00AC04C3">
      <w:pPr>
        <w:spacing w:lineRule="auto" w:line="240" w:afterLines="30" w:after="72" w:beforeLines="30" w:before="72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 Iz iznosa od 90.773,00 kuna (slovima: devedesettisućasedamstosedamdesettrikune i 00lipa) dobivenog prodajom nekretnina stečajnog dužnika SPAJIĆ proizvodnja i usluge d.o.o. u stečaju, Čačinci,  upisana </w:t>
      </w:r>
      <w:r>
        <w:rPr>
          <w:rFonts w:cs="Times New Roman" w:hAnsi="Times New Roman" w:ascii="Times New Roman"/>
          <w:noProof/>
          <w:sz w:val="24"/>
          <w:szCs w:val="24"/>
        </w:rPr>
        <w:t>u zk. ul. br.  2519  k.o. Čačinci i to čkbr. 117 oranica Crnje, ukupne površine 10.682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 xml:space="preserve">2 </w:t>
      </w:r>
      <w:r>
        <w:rPr>
          <w:rFonts w:cs="Times New Roman" w:hAnsi="Times New Roman" w:ascii="Times New Roman"/>
          <w:noProof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nekretnina upisana </w:t>
      </w:r>
      <w:r>
        <w:rPr>
          <w:rFonts w:cs="Times New Roman" w:hAnsi="Times New Roman" w:ascii="Times New Roman"/>
          <w:noProof/>
          <w:sz w:val="24"/>
          <w:szCs w:val="24"/>
        </w:rPr>
        <w:t>u zk. ul. br.  2518  k.o. Čačinci i to čkbr. 107/2 oranica Crnje, ukupne površine 4.814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nekretnine upisane </w:t>
      </w:r>
      <w:r>
        <w:rPr>
          <w:rFonts w:cs="Times New Roman" w:hAnsi="Times New Roman" w:ascii="Times New Roman"/>
          <w:noProof/>
          <w:sz w:val="24"/>
          <w:szCs w:val="24"/>
        </w:rPr>
        <w:t>u zk. ul. br.  992  k.o. Čačinci i to čkbr. 2739 oranica Lipovac, ukupne površine 22.242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nekretnine upisane  </w:t>
      </w:r>
      <w:r>
        <w:rPr>
          <w:rFonts w:cs="Times New Roman" w:hAnsi="Times New Roman" w:ascii="Times New Roman"/>
          <w:noProof/>
          <w:sz w:val="24"/>
          <w:szCs w:val="24"/>
        </w:rPr>
        <w:t>u zk. ul. br.  1286 k.o. Čačinci i to čkbr. 2129 šuma Babinkovo brdo, ukupne površine 2.146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nekretnine upisane  </w:t>
      </w:r>
      <w:r>
        <w:rPr>
          <w:rFonts w:cs="Times New Roman" w:hAnsi="Times New Roman" w:ascii="Times New Roman"/>
          <w:noProof/>
          <w:sz w:val="24"/>
          <w:szCs w:val="24"/>
        </w:rPr>
        <w:t>u zk. ul. br.  1569  k.o. Čačinci i to čkbr. 44 oranica Crnje, ukupne površine 12.754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>, n</w:t>
      </w:r>
      <w:r>
        <w:rPr>
          <w:rFonts w:cs="Times New Roman" w:hAnsi="Times New Roman" w:ascii="Times New Roman"/>
          <w:sz w:val="24"/>
          <w:szCs w:val="24"/>
        </w:rPr>
        <w:t xml:space="preserve">ekretnine upisane  upisana </w:t>
      </w:r>
      <w:r>
        <w:rPr>
          <w:rFonts w:cs="Times New Roman" w:hAnsi="Times New Roman" w:ascii="Times New Roman"/>
          <w:noProof/>
          <w:sz w:val="24"/>
          <w:szCs w:val="24"/>
        </w:rPr>
        <w:t>u zk. ul. br.  1285  k.o. Čačinci i to čkbr. 50 oranica Crnje, ukupne površine 16.361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>, n</w:t>
      </w:r>
      <w:r>
        <w:rPr>
          <w:rFonts w:cs="Times New Roman" w:hAnsi="Times New Roman" w:ascii="Times New Roman"/>
          <w:sz w:val="24"/>
          <w:szCs w:val="24"/>
        </w:rPr>
        <w:t xml:space="preserve">ekretnine  upisana  </w:t>
      </w:r>
      <w:r>
        <w:rPr>
          <w:rFonts w:cs="Times New Roman" w:hAnsi="Times New Roman" w:ascii="Times New Roman"/>
          <w:noProof/>
          <w:sz w:val="24"/>
          <w:szCs w:val="24"/>
        </w:rPr>
        <w:t>u zk. ul. br.  117  k.o. Čačinci i to čkbr. 49 oranica Crnje, ukupne površine 24.119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>u 6/7 suvlasničkog dijela</w:t>
      </w:r>
      <w:r>
        <w:rPr>
          <w:noProof/>
        </w:rPr>
        <w:t>,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/>
      </w:pPr>
      <w:r>
        <w:t>namiruje se: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/>
      </w:pPr>
      <w:r>
        <w:t xml:space="preserve">l.  Trošak stečajnog postupka koji se odnosi na trošak unovčenja  temeljem odredbe članka  254. st. 2.  Stečajnog zakona u ukupnom  iznosu od 9.077,30 kuna (slovima: devettisućasedamdesetsedamkuna i tridesetlipa ),  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/>
      </w:pPr>
      <w:r>
        <w:t>2. Iznosom od 81.695,70 kuna (slovima: osamdesetjednutisućušestodevedesetpetkuna i sedamdesetlipa)  se namiruje razlučni vjerovnik Spajić Anka iz Donje Lomnice, Petra Preradovića 12, OIB: 95006897063.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/>
      </w:pPr>
      <w:r>
        <w:t>II. Isplata prema točki 1. i 2.   izreke ovog rješenja uslijediti će po pravomoćnosti ovog rješenja.</w:t>
      </w:r>
    </w:p>
    <w:p w:rsidRDefault="00AC04C3" w:rsidP="00AC04C3" w:rsidR="00AC04C3">
      <w:pPr>
        <w:pStyle w:val="Bezproreda"/>
        <w:ind w:firstLine="708"/>
      </w:pPr>
    </w:p>
    <w:p w:rsidRDefault="00AC04C3" w:rsidP="00AC04C3" w:rsidR="00AC04C3">
      <w:pPr>
        <w:pStyle w:val="Bezproreda"/>
        <w:ind w:firstLine="708"/>
      </w:pPr>
    </w:p>
    <w:p w:rsidRDefault="00AC04C3" w:rsidP="00AC04C3" w:rsidR="00AC04C3">
      <w:pPr>
        <w:pStyle w:val="Bezproreda"/>
        <w:ind w:firstLine="708"/>
      </w:pPr>
    </w:p>
    <w:p w:rsidRDefault="00AC04C3" w:rsidP="00AC04C3" w:rsidR="00AC04C3">
      <w:pPr>
        <w:pStyle w:val="Bezproreda"/>
        <w:jc w:val="center"/>
      </w:pPr>
      <w:r>
        <w:lastRenderedPageBreak/>
        <w:t>Obrazloženje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/>
      </w:pPr>
      <w:r>
        <w:t xml:space="preserve">U stečajnom postupku nad stečajnim dužnikom SPAJIĆ proizvodnja i usluge d.o.o. u stečaju, Čačinci, Braće Radića 34, OIB: 36321371245,  utvrđeno je da u dužnikovu stečajnu masu ulaze nekretnine  opisane u točki I. izreke ovog rješenja. </w:t>
      </w:r>
    </w:p>
    <w:p w:rsidRDefault="00AC04C3" w:rsidP="00AC04C3" w:rsidR="00AC04C3">
      <w:pPr>
        <w:spacing w:lineRule="auto" w:line="240" w:afterLines="30" w:after="72" w:beforeLines="30" w:before="72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Navedene nekretnine prodane su na javnoj dražbi održanoj kod Financijske agencije za ukupnu cijenu od 90.773,00 kuna, i to nekretnine upisane </w:t>
      </w:r>
      <w:r>
        <w:rPr>
          <w:rFonts w:cs="Times New Roman" w:hAnsi="Times New Roman" w:ascii="Times New Roman"/>
          <w:noProof/>
          <w:sz w:val="24"/>
          <w:szCs w:val="24"/>
        </w:rPr>
        <w:t>u zk. ul. br.  2519  k.o. Čačinci i to čkbr. 117 oranica Crnje, ukupne površine 10.682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 xml:space="preserve">,   prodane su kupcu </w:t>
      </w:r>
      <w:r>
        <w:rPr>
          <w:rFonts w:cs="Times New Roman" w:hAnsi="Times New Roman" w:ascii="Times New Roman"/>
          <w:sz w:val="24"/>
          <w:szCs w:val="24"/>
        </w:rPr>
        <w:t xml:space="preserve"> Đorđu Šušter iz Splita, Mažuranićevo šetalište 33, OIB: 26599539720, za iznos od 5.987,00 kuna, nekretnine upisane </w:t>
      </w:r>
      <w:r>
        <w:rPr>
          <w:rFonts w:cs="Times New Roman" w:hAnsi="Times New Roman" w:ascii="Times New Roman"/>
          <w:noProof/>
          <w:sz w:val="24"/>
          <w:szCs w:val="24"/>
        </w:rPr>
        <w:t>u zk. ul. br.  2518  k.o. Čačinci i to čkbr. 107/2 oranica Crnje, ukupne površine 4.814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 xml:space="preserve">,   prodane su kupcu </w:t>
      </w:r>
      <w:r>
        <w:rPr>
          <w:rFonts w:cs="Times New Roman" w:hAnsi="Times New Roman" w:ascii="Times New Roman"/>
          <w:sz w:val="24"/>
          <w:szCs w:val="24"/>
        </w:rPr>
        <w:t xml:space="preserve"> Đorđu Šušter iz Splita, Mažuranićevo šetalište 33, OIB: 26599539720, za  iznos od 4.396,00 kuna, nekretnine upisane </w:t>
      </w:r>
      <w:r>
        <w:rPr>
          <w:rFonts w:cs="Times New Roman" w:hAnsi="Times New Roman" w:ascii="Times New Roman"/>
          <w:noProof/>
          <w:sz w:val="24"/>
          <w:szCs w:val="24"/>
        </w:rPr>
        <w:t>u zk. ul. br.  992  k.o. Čačinci i to čkbr. 2739 oranica Lipovac, ukupne površine 22.242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 xml:space="preserve">,    prodane kupcu </w:t>
      </w:r>
      <w:r>
        <w:rPr>
          <w:rFonts w:cs="Times New Roman" w:hAnsi="Times New Roman" w:ascii="Times New Roman"/>
          <w:sz w:val="24"/>
          <w:szCs w:val="24"/>
        </w:rPr>
        <w:t xml:space="preserve"> Mirku Vukić iz Čačinaca, vlasnik OPG-a Mirko Vukić Čačinci, Braće Radića 17, OIB: 10660204465,  za  iznos od 23.010,00 kuna, nekretnine upisane </w:t>
      </w:r>
      <w:r>
        <w:rPr>
          <w:rFonts w:cs="Times New Roman" w:hAnsi="Times New Roman" w:ascii="Times New Roman"/>
          <w:noProof/>
          <w:sz w:val="24"/>
          <w:szCs w:val="24"/>
        </w:rPr>
        <w:t>u zk. ul. br.  1286 k.o. Čačinci i to čkbr. 2129 šuma Babinkovo brdo, ukupne površine 2.146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 xml:space="preserve">,    prodane su kupcu </w:t>
      </w:r>
      <w:r>
        <w:rPr>
          <w:rFonts w:cs="Times New Roman" w:hAnsi="Times New Roman" w:ascii="Times New Roman"/>
          <w:sz w:val="24"/>
          <w:szCs w:val="24"/>
        </w:rPr>
        <w:t xml:space="preserve"> Mirku Vukić iz Čačinaca, vlasnik OPG-a Mirko Vukić Čačinci, Braće Radića 17, OIB: 10660204465, za iznos od 2.900,00 kuna, nekretnine upisane </w:t>
      </w:r>
      <w:r>
        <w:rPr>
          <w:rFonts w:cs="Times New Roman" w:hAnsi="Times New Roman" w:ascii="Times New Roman"/>
          <w:noProof/>
          <w:sz w:val="24"/>
          <w:szCs w:val="24"/>
        </w:rPr>
        <w:t>u zk. ul. br.  1569  k.o. Čačinci i to čkbr. 44 oranica Crnje, ukupne površine 12.754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>,    prodane su</w:t>
      </w:r>
      <w:r>
        <w:rPr>
          <w:rFonts w:cs="Times New Roman" w:hAnsi="Times New Roman" w:ascii="Times New Roman"/>
          <w:sz w:val="24"/>
          <w:szCs w:val="24"/>
        </w:rPr>
        <w:t xml:space="preserve"> kupcu TERRA TISON d.o.o. Zagreb, Budmanijeva 3, OIB: 83919481568 za  iznos od 12.455,00 kuna, nekretnina upisana </w:t>
      </w:r>
      <w:r>
        <w:rPr>
          <w:rFonts w:cs="Times New Roman" w:hAnsi="Times New Roman" w:ascii="Times New Roman"/>
          <w:noProof/>
          <w:sz w:val="24"/>
          <w:szCs w:val="24"/>
        </w:rPr>
        <w:t>u zk. ul. br.  1285  k.o. Čačinci i to čkbr. 50 oranica Crnje, ukupne površine 16.361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>,  prodane su kupcu</w:t>
      </w:r>
      <w:r>
        <w:rPr>
          <w:rFonts w:cs="Times New Roman" w:hAnsi="Times New Roman" w:ascii="Times New Roman"/>
          <w:sz w:val="24"/>
          <w:szCs w:val="24"/>
        </w:rPr>
        <w:t xml:space="preserve"> TERRA FIRMA d.d. za ulaganje u nekretnine Zagreb, Budmanijeva 3, OIB: 22198253360, za iznos od 19.100,00 kuna, nekretnina upisana </w:t>
      </w:r>
      <w:r>
        <w:rPr>
          <w:rFonts w:cs="Times New Roman" w:hAnsi="Times New Roman" w:ascii="Times New Roman"/>
          <w:noProof/>
          <w:sz w:val="24"/>
          <w:szCs w:val="24"/>
        </w:rPr>
        <w:t>u zk. ul. br.  117  k.o. Čačinci i to čkbr. 49 oranica Crnje, ukupne površine 24.119 m</w:t>
      </w:r>
      <w:r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>u 6/7 suvlasničkog dijela,  prodanu su kupcu</w:t>
      </w:r>
      <w:r>
        <w:rPr>
          <w:rFonts w:cs="Times New Roman" w:hAnsi="Times New Roman" w:ascii="Times New Roman"/>
          <w:sz w:val="24"/>
          <w:szCs w:val="24"/>
        </w:rPr>
        <w:t>j TERRA FIRMA d.d. za ulaganje u nekretnine Zagreb, Budmanijeva 3, OIB: 22198253360,  za iznos od 22.925,00 kuna.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/>
      </w:pPr>
      <w:r>
        <w:t xml:space="preserve">Nakon što su kupci uplatili kupoprodajnu cijenu pristupljeno je  namirenju vjerovnika, u svezi čega je održano ročište dana 29. ožujka 2019. godine,  na koje ročište su  pozvani razlučni vjerovnici, koji su sukladno odredbi članka 124. Ovršnog zakona, u pozivu upozoreni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/>
      </w:pPr>
      <w:r>
        <w:t xml:space="preserve">Stečajni upravitelj je  u svom prijedlogu za diobu predložio  da se na ime troškova izdvoji  iznos od 9.077,30 kuna,  temeljem odredbe članka 254. st. 2. Stečajnog zakona  (NN br. 44/96, 29/99, 123/03, 82/06, 116/10, 25/12, 133/12 i 71/15 dalje: SZ). </w:t>
      </w:r>
    </w:p>
    <w:p w:rsidRDefault="00AC04C3" w:rsidP="00AC04C3" w:rsidR="00AC04C3">
      <w:pPr>
        <w:pStyle w:val="Bezproreda"/>
        <w:ind w:firstLine="708"/>
      </w:pPr>
    </w:p>
    <w:p w:rsidRDefault="00AC04C3" w:rsidP="00AC04C3" w:rsidR="00AC04C3">
      <w:pPr>
        <w:pStyle w:val="Bezproreda"/>
        <w:ind w:firstLine="708"/>
      </w:pPr>
      <w:r>
        <w:t>Iznosom od 81.695,70  kuna djelomično se namiruje razlučni vjerovnik Spajić Anka iz Donje Lomnice, Petra Preradovića 12.</w:t>
      </w:r>
    </w:p>
    <w:p w:rsidRDefault="00AC04C3" w:rsidP="00AC04C3" w:rsidR="00AC04C3">
      <w:pPr>
        <w:pStyle w:val="Bezproreda"/>
        <w:ind w:firstLine="708"/>
      </w:pPr>
      <w:r>
        <w:t xml:space="preserve"> </w:t>
      </w:r>
    </w:p>
    <w:p w:rsidRDefault="00AC04C3" w:rsidP="00AC04C3" w:rsidR="00AC04C3">
      <w:pPr>
        <w:pStyle w:val="Bezproreda"/>
        <w:ind w:firstLine="708"/>
      </w:pPr>
      <w:r>
        <w:t>Na ročištu održanom dana 29. ožujka 2019. godine punomoćnik razlučnog vjerovnika Spajić Anke iz Donje Lomnice  nije imao primjedbe na prijedlog diobe stečajnog upravitelja.</w:t>
      </w:r>
    </w:p>
    <w:p w:rsidRDefault="00AC04C3" w:rsidP="00AC04C3" w:rsidR="00AC04C3">
      <w:pPr>
        <w:pStyle w:val="Bezproreda"/>
        <w:ind w:firstLine="708"/>
      </w:pPr>
      <w:r>
        <w:t xml:space="preserve"> </w:t>
      </w:r>
    </w:p>
    <w:p w:rsidRDefault="00AC04C3" w:rsidP="00AC04C3" w:rsidR="00AC04C3">
      <w:pPr>
        <w:pStyle w:val="Bezproreda"/>
        <w:ind w:firstLine="708"/>
      </w:pPr>
      <w:r>
        <w:lastRenderedPageBreak/>
        <w:t>Iznosom kojim će biti namiren razlučni vjerovnik prebaciti će se na žiro-račun razlučnog vjerovnika Anke Spajić broj: IBAN HR96 23400093209079377,  a troškovi stečajnog postupka  prebaciti će se na račun stečajnog dužnika broj: IBAN HR8223600001300116472, nakon pravomoćnosti ovog rješenja.</w:t>
      </w:r>
    </w:p>
    <w:p w:rsidRDefault="00AC04C3" w:rsidP="00AC04C3" w:rsidR="00AC04C3">
      <w:pPr>
        <w:pStyle w:val="Bezproreda"/>
      </w:pPr>
      <w:r>
        <w:t xml:space="preserve"> </w:t>
      </w:r>
    </w:p>
    <w:p w:rsidRDefault="00AC04C3" w:rsidP="00AC04C3" w:rsidR="00AC04C3">
      <w:pPr>
        <w:pStyle w:val="Bezproreda"/>
        <w:ind w:firstLine="708"/>
      </w:pPr>
      <w:r>
        <w:t>Zbog navedenog riješeno je kao u izreci.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/>
      </w:pPr>
      <w:r>
        <w:t>U Bjelovaru  29. ožujka  2019.</w:t>
      </w:r>
    </w:p>
    <w:p w:rsidRDefault="00AC04C3" w:rsidP="00AC04C3" w:rsidR="00AC04C3">
      <w:pPr>
        <w:pStyle w:val="Bezproreda"/>
        <w:ind w:firstLine="708" w:left="4248"/>
      </w:pPr>
      <w:r>
        <w:t xml:space="preserve">           S u d a c</w:t>
      </w:r>
    </w:p>
    <w:p w:rsidRDefault="00AC04C3" w:rsidP="00AC04C3" w:rsidR="00AC04C3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Branka Pleskalt </w:t>
      </w:r>
      <w:r w:rsidR="00FC405E">
        <w:t>v.r.</w:t>
      </w:r>
    </w:p>
    <w:p w:rsidRDefault="00FC405E" w:rsidP="00AC04C3" w:rsidR="00FC405E">
      <w:pPr>
        <w:pStyle w:val="Bezproreda"/>
      </w:pPr>
    </w:p>
    <w:p w:rsidRDefault="00FC405E" w:rsidP="00AC04C3" w:rsidR="00FC405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FC405E" w:rsidP="00AC04C3" w:rsidR="00AC04C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AC04C3" w:rsidP="00AC04C3" w:rsidR="00AC04C3">
      <w:pPr>
        <w:pStyle w:val="Bezproreda"/>
      </w:pPr>
    </w:p>
    <w:p w:rsidRDefault="00AC04C3" w:rsidP="00AC04C3" w:rsidR="00AC04C3">
      <w:pPr>
        <w:pStyle w:val="Bezproreda"/>
        <w:ind w:firstLine="708"/>
      </w:pPr>
      <w:r>
        <w:t xml:space="preserve">Pouka o pravnom lijeku: protiv ovog rješenja pristoji pravo žalbe u roku od 8 dana dostave ovog rješenja putem e-oglasne ploče Trgovačkog suda u Bjelovaru, a smatrat će se da je ovo rješenje dostavljeno svima istekom 8 dana od dana njegovog objavljivanja na e-oglasnoj ploči suda na Visoki trgovački sud RH u Zagrebu, a putem ovog suda. Žalba se podnosi u 3 primjerka.  </w:t>
      </w:r>
    </w:p>
    <w:p w:rsidRDefault="00AC04C3" w:rsidP="00AC04C3" w:rsidR="00AC04C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C04C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1963322"/>
      <w:docPartObj>
        <w:docPartGallery w:val="Page Numbers (Top of Page)"/>
        <w:docPartUnique/>
      </w:docPartObj>
    </w:sdtPr>
    <w:sdtEndPr/>
    <w:sdtContent>
      <w:p w:rsidRDefault="00AC04C3" w:rsidR="00AC04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05E">
          <w:t>3</w:t>
        </w:r>
        <w:r>
          <w:fldChar w:fldCharType="end"/>
        </w:r>
      </w:p>
    </w:sdtContent>
  </w:sdt>
  <w:p w:rsidRDefault="00AC04C3" w:rsidR="008333A9">
    <w:pPr>
      <w:pStyle w:val="Zaglavlje"/>
    </w:pPr>
    <w:r>
      <w:t>Poslovni broj: 1 St-992/2016-158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834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4C3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05E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C04C3"/>
    <w:rPr>
      <w:rFonts w:eastAsiaTheme="minorEastAsia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eastAsiaTheme="minorHAnsi" w:hAnsi="Times New Roman" w:ascii="Times New Roman"/>
      <w:caps/>
      <w:spacing w:val="100"/>
      <w:sz w:val="24"/>
      <w:szCs w:val="24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eastAsiaTheme="minorHAnsi" w:hAnsi="Times New Roman" w:ascii="Times New Roman"/>
      <w:spacing w:val="100"/>
      <w:sz w:val="24"/>
      <w:szCs w:val="24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eastAsiaTheme="minorHAnsi" w:hAnsi="Times New Roman" w:ascii="Times New Roman"/>
      <w:noProof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eastAsiaTheme="minorHAnsi" w:hAnsi="Times New Roman" w:ascii="Times New Roman"/>
      <w:noProof/>
      <w:sz w:val="20"/>
      <w:szCs w:val="24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eastAsiaTheme="minorHAnsi" w:hAnsi="Times New Roman" w:ascii="Times New Roman"/>
      <w:b/>
      <w:caps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eastAsiaTheme="minorHAnsi" w:hAnsi="Times New Roman" w:ascii="Times New Roman"/>
      <w:noProof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eastAsiaTheme="minorHAnsi" w:hAnsi="Times New Roman" w:ascii="Times New Roman"/>
      <w:noProof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eastAsiaTheme="minorHAnsi" w:hAnsi="Times New Roman" w:ascii="Times New Roman"/>
      <w:b/>
      <w:bCs/>
      <w:i/>
      <w:iCs/>
      <w:color w:themeColor="accent1" w:val="4F81BD"/>
      <w:sz w:val="24"/>
      <w:szCs w:val="24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eastAsiaTheme="minorHAnsi" w:hAnsi="Times New Roman" w:ascii="Times New Roman"/>
      <w:noProof/>
      <w:sz w:val="24"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eastAsiaTheme="minorHAnsi" w:hAnsi="Times New Roman" w:ascii="Times New Roman"/>
      <w:i/>
      <w:iCs/>
      <w:color w:themeColor="text1" w:val="000000"/>
      <w:sz w:val="24"/>
      <w:szCs w:val="24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eastAsia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eastAsiaTheme="minorHAnsi" w:hAnsi="Times New Roman" w:ascii="Times New Roman"/>
      <w:noProof/>
      <w:sz w:val="24"/>
      <w:szCs w:val="24"/>
      <w:lang w:eastAsia="en-US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eastAsiaTheme="minorHAnsi" w:hAnsi="Times New Roman" w:ascii="Times New Roman"/>
      <w:noProof/>
      <w:sz w:val="24"/>
      <w:szCs w:val="24"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eastAsiaTheme="minorHAnsi" w:hAnsi="Times New Roman" w:ascii="Times New Roman"/>
      <w:noProof/>
      <w:sz w:val="24"/>
      <w:szCs w:val="24"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eastAsiaTheme="minorHAnsi" w:hAnsi="Times New Roman" w:ascii="Times New Roman"/>
      <w:noProof/>
      <w:sz w:val="24"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eastAsiaTheme="minorHAnsi" w:hAnsi="Times New Roman" w:ascii="Times New Roman"/>
      <w:noProof/>
      <w:sz w:val="24"/>
      <w:szCs w:val="24"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eastAsiaTheme="minorHAnsi" w:hAnsi="Times New Roman" w:ascii="Times New Roman"/>
      <w:noProof/>
      <w:sz w:val="24"/>
      <w:szCs w:val="24"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eastAsiaTheme="minorHAnsi" w:hAnsi="Times New Roman" w:ascii="Times New Roman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eastAsiaTheme="minorHAnsi" w:hAnsi="Times New Roman" w:ascii="Times New Roman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eastAsiaTheme="minorHAnsi" w:hAnsi="Times New Roman" w:ascii="Times New Roman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eastAsiaTheme="minorHAnsi" w:hAnsi="Times New Roman" w:ascii="Times New Roman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eastAsiaTheme="minorHAnsi" w:hAnsi="Times New Roman" w:ascii="Times New Roman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eastAsiaTheme="minorHAnsi" w:hAnsi="Times New Roman" w:ascii="Times New Roman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eastAsiaTheme="minorHAnsi" w:hAnsi="Times New Roman" w:ascii="Times New Roman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eastAsiaTheme="minorHAnsi" w:hAnsi="Times New Roman" w:ascii="Times New Roman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eastAsiaTheme="minorHAnsi" w:hAnsi="Times New Roman" w:ascii="Times New Roman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eastAsiaTheme="minorHAnsi" w:hAnsi="Times New Roman" w:ascii="Times New Roman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eastAsiaTheme="minorHAnsi" w:hAnsi="Times New Roman" w:ascii="Times New Roman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eastAsiaTheme="minorHAnsi" w:hAnsi="Times New Roman" w:ascii="Times New Roman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eastAsiaTheme="minorHAnsi" w:hAnsi="Times New Roman" w:ascii="Times New Roman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eastAsiaTheme="minorHAnsi" w:hAnsi="Times New Roman" w:ascii="Times New Roman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eastAsiaTheme="minorHAnsi" w:hAnsi="Times New Roman" w:ascii="Times New Roman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eastAsiaTheme="minorHAnsi" w:hAnsi="Times New Roman" w:ascii="Times New Roman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eastAsiaTheme="minorHAnsi" w:hAnsi="Times New Roman" w:ascii="Times New Roman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eastAsiaTheme="minorHAnsi" w:hAnsi="Times New Roman" w:ascii="Times New Roman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eastAsiaTheme="minorHAnsi" w:hAnsi="Times New Roman" w:ascii="Times New Roman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eastAsiaTheme="minorHAnsi" w:hAnsi="Times New Roman" w:ascii="Times New Roman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eastAsiaTheme="minorHAnsi" w:hAnsi="Times New Roman" w:ascii="Times New Roman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eastAsiaTheme="minorHAnsi" w:hAnsi="Times New Roman" w:ascii="Times New Roman"/>
      <w:sz w:val="20"/>
      <w:szCs w:val="24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eastAsiaTheme="minorHAnsi" w:hAnsi="Times New Roman" w:ascii="Times New Roman"/>
      <w:noProof/>
      <w:sz w:val="24"/>
      <w:szCs w:val="24"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C04C3"/>
    <w:rPr>
      <w:rFonts w:eastAsiaTheme="minorEastAsia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eastAsiaTheme="minorHAnsi" w:hAnsi="Times New Roman"/>
      <w:caps/>
      <w:spacing w:val="100"/>
      <w:sz w:val="24"/>
      <w:szCs w:val="24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eastAsiaTheme="minorHAnsi" w:hAnsi="Times New Roman"/>
      <w:spacing w:val="100"/>
      <w:sz w:val="24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eastAsiaTheme="minorHAnsi" w:hAnsi="Times New Roman"/>
      <w:noProof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eastAsiaTheme="minorHAnsi" w:hAnsi="Times New Roman"/>
      <w:noProof/>
      <w:sz w:val="20"/>
      <w:szCs w:val="24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eastAsiaTheme="minorHAnsi" w:hAnsi="Times New Roman"/>
      <w:b/>
      <w:caps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eastAsiaTheme="minorHAnsi" w:hAnsi="Times New Roman"/>
      <w:noProof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eastAsiaTheme="minorHAnsi" w:hAnsi="Times New Roman"/>
      <w:noProof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eastAsiaTheme="minorHAnsi" w:hAnsi="Times New Roman"/>
      <w:b/>
      <w:bCs/>
      <w:i/>
      <w:iCs/>
      <w:color w:themeColor="accent1" w:val="4F81BD"/>
      <w:sz w:val="24"/>
      <w:szCs w:val="24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eastAsiaTheme="minorHAnsi" w:hAnsi="Times New Roman"/>
      <w:noProof/>
      <w:sz w:val="24"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eastAsiaTheme="minorHAnsi" w:hAnsi="Times New Roman"/>
      <w:i/>
      <w:iCs/>
      <w:color w:themeColor="text1" w:val="000000"/>
      <w:sz w:val="24"/>
      <w:szCs w:val="24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eastAsia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eastAsiaTheme="minorHAnsi" w:hAnsi="Times New Roman"/>
      <w:noProof/>
      <w:sz w:val="24"/>
      <w:szCs w:val="24"/>
      <w:lang w:eastAsia="en-US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eastAsiaTheme="minorHAnsi" w:hAnsi="Times New Roman"/>
      <w:noProof/>
      <w:sz w:val="24"/>
      <w:szCs w:val="24"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eastAsiaTheme="minorHAnsi" w:hAnsi="Times New Roman"/>
      <w:noProof/>
      <w:sz w:val="24"/>
      <w:szCs w:val="24"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eastAsiaTheme="minorHAnsi" w:hAnsi="Times New Roman"/>
      <w:noProof/>
      <w:sz w:val="24"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eastAsiaTheme="minorHAnsi" w:hAnsi="Times New Roman"/>
      <w:noProof/>
      <w:sz w:val="24"/>
      <w:szCs w:val="24"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eastAsiaTheme="minorHAnsi" w:hAnsi="Times New Roman"/>
      <w:noProof/>
      <w:sz w:val="24"/>
      <w:szCs w:val="24"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eastAsiaTheme="minorHAnsi" w:hAnsi="Times New Roman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eastAsiaTheme="minorHAnsi" w:hAnsi="Times New Roman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eastAsiaTheme="minorHAnsi" w:hAnsi="Times New Roman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eastAsiaTheme="minorHAnsi" w:hAnsi="Times New Roman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eastAsiaTheme="minorHAnsi" w:hAnsi="Times New Roman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eastAsiaTheme="minorHAnsi" w:hAnsi="Times New Roman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eastAsiaTheme="minorHAnsi" w:hAnsi="Times New Roman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eastAsiaTheme="minorHAnsi" w:hAnsi="Times New Roman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eastAsiaTheme="minorHAnsi" w:hAnsi="Times New Roman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eastAsiaTheme="minorHAnsi" w:hAnsi="Times New Roman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eastAsiaTheme="minorHAnsi" w:hAnsi="Times New Roman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eastAsiaTheme="minorHAnsi" w:hAnsi="Times New Roman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eastAsiaTheme="minorHAnsi" w:hAnsi="Times New Roman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eastAsiaTheme="minorHAnsi" w:hAnsi="Times New Roman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eastAsiaTheme="minorHAnsi" w:hAnsi="Times New Roman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eastAsiaTheme="minorHAnsi" w:hAnsi="Times New Roman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eastAsiaTheme="minorHAnsi" w:hAnsi="Times New Roman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eastAsiaTheme="minorHAnsi" w:hAnsi="Times New Roman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eastAsiaTheme="minorHAnsi" w:hAnsi="Times New Roman"/>
      <w:sz w:val="20"/>
      <w:szCs w:val="24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eastAsiaTheme="minorHAnsi" w:hAnsi="Times New Roman"/>
      <w:noProof/>
      <w:sz w:val="24"/>
      <w:szCs w:val="24"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41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St-992/2016-157</izvorni_sadrzaj>
    <derivirana_varijabla naziv="DomainObject.Oznaka_1">St-992/2016-157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St-992/2016-157</izvorni_sadrzaj>
    <derivirana_varijabla naziv="DomainObject.PoslovniBrojDokumenta_1">St-992/2016-157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A317A-27A0-454A-971B-EC6A19873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4838</properties:Characters>
  <properties:Lines>112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2019-04-01T06:38:00Z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St-992/2016-157 / Odluka - Rješenje - o namirenju (odluka_St-992_2016-157.docx)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